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3EAB2">
      <w:pPr>
        <w:pStyle w:val="8"/>
        <w:spacing w:before="0" w:beforeAutospacing="0" w:after="0" w:afterAutospacing="0" w:line="596"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重庆市工艺美术学校</w:t>
      </w:r>
    </w:p>
    <w:p w14:paraId="7A288BF0">
      <w:pPr>
        <w:pStyle w:val="8"/>
        <w:spacing w:before="0" w:beforeAutospacing="0" w:after="0" w:afterAutospacing="0" w:line="596"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w:t>
      </w:r>
      <w:r>
        <w:rPr>
          <w:rFonts w:hint="default" w:ascii="Times New Roman" w:hAnsi="Times New Roman" w:eastAsia="方正小标宋_GBK" w:cs="Times New Roman"/>
          <w:b w:val="0"/>
          <w:bCs w:val="0"/>
          <w:sz w:val="44"/>
          <w:szCs w:val="44"/>
          <w:shd w:val="clear" w:color="auto" w:fill="FFFFFF"/>
          <w:lang w:val="en-US" w:eastAsia="zh-CN"/>
        </w:rPr>
        <w:t>度单位</w:t>
      </w:r>
      <w:r>
        <w:rPr>
          <w:rFonts w:hint="default" w:ascii="Times New Roman" w:hAnsi="Times New Roman" w:eastAsia="方正小标宋_GBK" w:cs="Times New Roman"/>
          <w:b w:val="0"/>
          <w:bCs w:val="0"/>
          <w:sz w:val="44"/>
          <w:szCs w:val="44"/>
          <w:shd w:val="clear" w:color="auto" w:fill="FFFFFF"/>
        </w:rPr>
        <w:t>决算</w:t>
      </w:r>
      <w:r>
        <w:rPr>
          <w:rFonts w:hint="default" w:ascii="Times New Roman" w:hAnsi="Times New Roman" w:eastAsia="方正小标宋_GBK" w:cs="Times New Roman"/>
          <w:b w:val="0"/>
          <w:bCs w:val="0"/>
          <w:sz w:val="44"/>
          <w:szCs w:val="44"/>
          <w:shd w:val="clear" w:color="auto" w:fill="FFFFFF"/>
          <w:lang w:val="en-US" w:eastAsia="zh-CN"/>
        </w:rPr>
        <w:t>情况</w:t>
      </w:r>
      <w:r>
        <w:rPr>
          <w:rFonts w:hint="default" w:ascii="Times New Roman" w:hAnsi="Times New Roman" w:eastAsia="方正小标宋_GBK" w:cs="Times New Roman"/>
          <w:b w:val="0"/>
          <w:bCs w:val="0"/>
          <w:sz w:val="44"/>
          <w:szCs w:val="44"/>
          <w:shd w:val="clear" w:color="auto" w:fill="FFFFFF"/>
        </w:rPr>
        <w:t>说明</w:t>
      </w:r>
    </w:p>
    <w:p w14:paraId="32DBB28F">
      <w:pPr>
        <w:keepNext w:val="0"/>
        <w:keepLines w:val="0"/>
        <w:pageBreakBefore w:val="0"/>
        <w:widowControl/>
        <w:kinsoku/>
        <w:wordWrap/>
        <w:overflowPunct/>
        <w:topLinePunct w:val="0"/>
        <w:autoSpaceDN/>
        <w:bidi w:val="0"/>
        <w:adjustRightInd/>
        <w:spacing w:beforeAutospacing="0" w:afterAutospacing="0" w:line="600" w:lineRule="exact"/>
        <w:ind w:firstLine="640" w:firstLineChars="200"/>
        <w:jc w:val="left"/>
        <w:textAlignment w:val="auto"/>
        <w:rPr>
          <w:rFonts w:hint="default" w:ascii="Times New Roman" w:hAnsi="Times New Roman" w:eastAsia="方正黑体_GBK" w:cs="Times New Roman"/>
          <w:bCs/>
          <w:kern w:val="0"/>
          <w:sz w:val="32"/>
          <w:szCs w:val="32"/>
        </w:rPr>
      </w:pPr>
    </w:p>
    <w:p w14:paraId="3A03D1B9">
      <w:pPr>
        <w:keepNext w:val="0"/>
        <w:keepLines w:val="0"/>
        <w:pageBreakBefore w:val="0"/>
        <w:widowControl/>
        <w:kinsoku/>
        <w:wordWrap/>
        <w:overflowPunct/>
        <w:topLinePunct w:val="0"/>
        <w:autoSpaceDN/>
        <w:bidi w:val="0"/>
        <w:adjustRightInd/>
        <w:spacing w:beforeAutospacing="0" w:afterAutospacing="0" w:line="600" w:lineRule="exact"/>
        <w:ind w:firstLine="640" w:firstLineChars="200"/>
        <w:jc w:val="left"/>
        <w:textAlignment w:val="auto"/>
        <w:rPr>
          <w:rFonts w:hint="default" w:ascii="Times New Roman" w:hAnsi="Times New Roman" w:eastAsia="方正黑体_GBK" w:cs="Times New Roman"/>
          <w:b/>
          <w:kern w:val="0"/>
          <w:sz w:val="32"/>
          <w:szCs w:val="32"/>
        </w:rPr>
      </w:pPr>
      <w:r>
        <w:rPr>
          <w:rFonts w:hint="default" w:ascii="Times New Roman" w:hAnsi="Times New Roman" w:eastAsia="方正黑体_GBK" w:cs="Times New Roman"/>
          <w:bCs/>
          <w:kern w:val="0"/>
          <w:sz w:val="32"/>
          <w:szCs w:val="32"/>
        </w:rPr>
        <w:t>一、</w:t>
      </w:r>
      <w:r>
        <w:rPr>
          <w:rFonts w:hint="default" w:ascii="Times New Roman" w:hAnsi="Times New Roman" w:eastAsia="方正黑体_GBK" w:cs="Times New Roman"/>
          <w:bCs/>
          <w:kern w:val="0"/>
          <w:sz w:val="32"/>
          <w:szCs w:val="32"/>
          <w:lang w:eastAsia="zh-CN"/>
        </w:rPr>
        <w:t>单位</w:t>
      </w:r>
      <w:r>
        <w:rPr>
          <w:rFonts w:hint="default" w:ascii="Times New Roman" w:hAnsi="Times New Roman" w:eastAsia="方正黑体_GBK" w:cs="Times New Roman"/>
          <w:bCs/>
          <w:kern w:val="0"/>
          <w:sz w:val="32"/>
          <w:szCs w:val="32"/>
        </w:rPr>
        <w:t>基本情况</w:t>
      </w:r>
    </w:p>
    <w:p w14:paraId="781243CD">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楷体_GBK" w:cs="Times New Roman"/>
          <w:b w:val="0"/>
          <w:bCs/>
          <w:color w:val="auto"/>
          <w:sz w:val="32"/>
          <w:szCs w:val="32"/>
        </w:rPr>
      </w:pPr>
      <w:r>
        <w:rPr>
          <w:rStyle w:val="11"/>
          <w:rFonts w:hint="default" w:ascii="Times New Roman" w:hAnsi="Times New Roman" w:eastAsia="方正楷体_GBK" w:cs="Times New Roman"/>
          <w:b w:val="0"/>
          <w:bCs/>
          <w:color w:val="auto"/>
          <w:sz w:val="32"/>
          <w:szCs w:val="32"/>
          <w:shd w:val="clear" w:color="auto" w:fill="FFFFFF"/>
        </w:rPr>
        <w:t>（一）职能职责</w:t>
      </w:r>
    </w:p>
    <w:p w14:paraId="6BDD1342">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学校是一所公办的全日制中等职业教育学校，由重庆市九龙坡区教育委员会举办，经九龙坡区事业单位管理局登记批准的事业单位。学校依法依规实施中等职业教育，培养初、中级技能人才。全面开展教学管理、学生教育</w:t>
      </w:r>
      <w:bookmarkStart w:id="0" w:name="_GoBack"/>
      <w:bookmarkEnd w:id="0"/>
      <w:r>
        <w:rPr>
          <w:rFonts w:hint="default" w:ascii="Times New Roman" w:hAnsi="Times New Roman" w:eastAsia="方正仿宋_GBK" w:cs="Times New Roman"/>
          <w:sz w:val="32"/>
          <w:szCs w:val="32"/>
        </w:rPr>
        <w:t>工作，承担招生、毕业生就业服务、职业技能培训与鉴定、学校行政管理等工作，负责校园安全管理及后勤保障工作。</w:t>
      </w:r>
    </w:p>
    <w:p w14:paraId="6B86C3F3">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rPr>
      </w:pPr>
      <w:r>
        <w:rPr>
          <w:rStyle w:val="11"/>
          <w:rFonts w:hint="default" w:ascii="Times New Roman" w:hAnsi="Times New Roman" w:eastAsia="方正楷体_GBK" w:cs="Times New Roman"/>
          <w:b w:val="0"/>
          <w:bCs/>
          <w:sz w:val="32"/>
          <w:szCs w:val="32"/>
          <w:shd w:val="clear" w:color="auto" w:fill="FFFFFF"/>
          <w:lang w:eastAsia="zh-CN"/>
        </w:rPr>
        <w:t>（</w:t>
      </w:r>
      <w:r>
        <w:rPr>
          <w:rStyle w:val="11"/>
          <w:rFonts w:hint="default" w:ascii="Times New Roman" w:hAnsi="Times New Roman" w:eastAsia="方正楷体_GBK" w:cs="Times New Roman"/>
          <w:b w:val="0"/>
          <w:bCs/>
          <w:sz w:val="32"/>
          <w:szCs w:val="32"/>
          <w:shd w:val="clear" w:color="auto" w:fill="FFFFFF"/>
          <w:lang w:val="en-US" w:eastAsia="zh-CN"/>
        </w:rPr>
        <w:t>二</w:t>
      </w:r>
      <w:r>
        <w:rPr>
          <w:rStyle w:val="11"/>
          <w:rFonts w:hint="default" w:ascii="Times New Roman" w:hAnsi="Times New Roman" w:eastAsia="方正楷体_GBK" w:cs="Times New Roman"/>
          <w:b w:val="0"/>
          <w:bCs/>
          <w:sz w:val="32"/>
          <w:szCs w:val="32"/>
          <w:shd w:val="clear" w:color="auto" w:fill="FFFFFF"/>
          <w:lang w:eastAsia="zh-CN"/>
        </w:rPr>
        <w:t>）</w:t>
      </w:r>
      <w:r>
        <w:rPr>
          <w:rStyle w:val="11"/>
          <w:rFonts w:hint="default" w:ascii="Times New Roman" w:hAnsi="Times New Roman" w:eastAsia="方正楷体_GBK" w:cs="Times New Roman"/>
          <w:b w:val="0"/>
          <w:bCs/>
          <w:sz w:val="32"/>
          <w:szCs w:val="32"/>
          <w:shd w:val="clear" w:color="auto" w:fill="FFFFFF"/>
        </w:rPr>
        <w:t>机构设置</w:t>
      </w:r>
    </w:p>
    <w:p w14:paraId="159811C7">
      <w:pPr>
        <w:pStyle w:val="8"/>
        <w:keepNext w:val="0"/>
        <w:keepLines w:val="0"/>
        <w:pageBreakBefore w:val="0"/>
        <w:widowControl/>
        <w:numPr>
          <w:ilvl w:val="0"/>
          <w:numId w:val="0"/>
        </w:numPr>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rPr>
        <w:t>学校设党政办公室、教学服务中心、学生发展中心、</w:t>
      </w:r>
      <w:r>
        <w:rPr>
          <w:rFonts w:hint="default" w:ascii="Times New Roman" w:hAnsi="Times New Roman" w:eastAsia="方正仿宋_GBK" w:cs="Times New Roman"/>
          <w:sz w:val="32"/>
          <w:szCs w:val="32"/>
          <w:lang w:val="en-US" w:eastAsia="zh-CN"/>
        </w:rPr>
        <w:t>纪检办公室</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教师发展中心</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质量监测中心</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后勤服务中心</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招生就业培训中心</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B区管理办公室</w:t>
      </w:r>
      <w:r>
        <w:rPr>
          <w:rFonts w:hint="default" w:ascii="Times New Roman" w:hAnsi="Times New Roman" w:eastAsia="方正仿宋_GBK" w:cs="Times New Roman"/>
          <w:sz w:val="32"/>
          <w:szCs w:val="32"/>
        </w:rPr>
        <w:t>共计9个管理部门，分别承担相应的管理职能。</w:t>
      </w:r>
    </w:p>
    <w:p w14:paraId="130188C4">
      <w:pPr>
        <w:keepNext w:val="0"/>
        <w:keepLines w:val="0"/>
        <w:pageBreakBefore w:val="0"/>
        <w:widowControl/>
        <w:kinsoku/>
        <w:wordWrap/>
        <w:overflowPunct/>
        <w:topLinePunct w:val="0"/>
        <w:autoSpaceDN/>
        <w:bidi w:val="0"/>
        <w:adjustRightInd/>
        <w:spacing w:beforeAutospacing="0" w:afterAutospacing="0" w:line="600" w:lineRule="exact"/>
        <w:ind w:firstLine="640" w:firstLineChars="200"/>
        <w:jc w:val="left"/>
        <w:textAlignment w:val="auto"/>
        <w:rPr>
          <w:rFonts w:hint="default" w:ascii="Times New Roman" w:hAnsi="Times New Roman" w:eastAsia="方正黑体_GBK" w:cs="Times New Roman"/>
          <w:bCs/>
          <w:kern w:val="0"/>
          <w:sz w:val="32"/>
          <w:szCs w:val="32"/>
        </w:rPr>
      </w:pPr>
      <w:r>
        <w:rPr>
          <w:rFonts w:hint="default" w:ascii="Times New Roman" w:hAnsi="Times New Roman" w:eastAsia="方正黑体_GBK" w:cs="Times New Roman"/>
          <w:bCs/>
          <w:kern w:val="0"/>
          <w:sz w:val="32"/>
          <w:szCs w:val="32"/>
        </w:rPr>
        <w:t>二、</w:t>
      </w:r>
      <w:r>
        <w:rPr>
          <w:rFonts w:hint="default" w:ascii="Times New Roman" w:hAnsi="Times New Roman" w:eastAsia="方正黑体_GBK" w:cs="Times New Roman"/>
          <w:bCs/>
          <w:kern w:val="0"/>
          <w:sz w:val="32"/>
          <w:szCs w:val="32"/>
          <w:lang w:eastAsia="zh-CN"/>
        </w:rPr>
        <w:t>单位</w:t>
      </w:r>
      <w:r>
        <w:rPr>
          <w:rFonts w:hint="default" w:ascii="Times New Roman" w:hAnsi="Times New Roman" w:eastAsia="方正黑体_GBK" w:cs="Times New Roman"/>
          <w:bCs/>
          <w:kern w:val="0"/>
          <w:sz w:val="32"/>
          <w:szCs w:val="32"/>
        </w:rPr>
        <w:t>决算</w:t>
      </w:r>
      <w:r>
        <w:rPr>
          <w:rFonts w:hint="default" w:ascii="Times New Roman" w:hAnsi="Times New Roman" w:eastAsia="方正黑体_GBK" w:cs="Times New Roman"/>
          <w:bCs/>
          <w:kern w:val="0"/>
          <w:sz w:val="32"/>
          <w:szCs w:val="32"/>
          <w:lang w:eastAsia="zh-CN"/>
        </w:rPr>
        <w:t>收支</w:t>
      </w:r>
      <w:r>
        <w:rPr>
          <w:rFonts w:hint="default" w:ascii="Times New Roman" w:hAnsi="Times New Roman" w:eastAsia="方正黑体_GBK" w:cs="Times New Roman"/>
          <w:bCs/>
          <w:kern w:val="0"/>
          <w:sz w:val="32"/>
          <w:szCs w:val="32"/>
        </w:rPr>
        <w:t>情况说明</w:t>
      </w:r>
    </w:p>
    <w:p w14:paraId="3577F5FE">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lang w:eastAsia="zh-CN"/>
        </w:rPr>
      </w:pPr>
      <w:r>
        <w:rPr>
          <w:rStyle w:val="11"/>
          <w:rFonts w:hint="default" w:ascii="Times New Roman" w:hAnsi="Times New Roman" w:eastAsia="方正楷体_GBK" w:cs="Times New Roman"/>
          <w:b w:val="0"/>
          <w:bCs/>
          <w:sz w:val="32"/>
          <w:szCs w:val="32"/>
          <w:shd w:val="clear" w:color="auto" w:fill="FFFFFF"/>
          <w:lang w:eastAsia="zh-CN"/>
        </w:rPr>
        <w:t>（一）收入支出决算总体情况说明。</w:t>
      </w:r>
    </w:p>
    <w:p w14:paraId="3641C1AE">
      <w:pPr>
        <w:keepNext w:val="0"/>
        <w:keepLines w:val="0"/>
        <w:pageBreakBefore w:val="0"/>
        <w:widowControl/>
        <w:kinsoku/>
        <w:wordWrap/>
        <w:overflowPunct/>
        <w:topLinePunct w:val="0"/>
        <w:autoSpaceDN/>
        <w:bidi w:val="0"/>
        <w:adjustRightInd/>
        <w:spacing w:beforeAutospacing="0" w:afterAutospacing="0" w:line="600" w:lineRule="exact"/>
        <w:ind w:firstLine="643" w:firstLineChars="200"/>
        <w:jc w:val="left"/>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度收入总计4713.00万元，支出总计</w:t>
      </w:r>
      <w:r>
        <w:rPr>
          <w:rFonts w:hint="default" w:ascii="Times New Roman" w:hAnsi="Times New Roman" w:eastAsia="方正仿宋_GBK" w:cs="Times New Roman"/>
          <w:sz w:val="32"/>
          <w:szCs w:val="32"/>
        </w:rPr>
        <w:t>4713.00</w:t>
      </w:r>
      <w:r>
        <w:rPr>
          <w:rFonts w:hint="default" w:ascii="Times New Roman" w:hAnsi="Times New Roman" w:eastAsia="方正仿宋_GBK" w:cs="Times New Roman"/>
          <w:sz w:val="32"/>
          <w:szCs w:val="32"/>
          <w:shd w:val="clear" w:color="auto" w:fill="FFFFFF"/>
        </w:rPr>
        <w:t>万元。收、支与2023年度相比，减少861.07万元，下降15.5%，主要原因是政策调整导致人员经费</w:t>
      </w:r>
      <w:r>
        <w:rPr>
          <w:rFonts w:hint="default" w:ascii="Times New Roman" w:hAnsi="Times New Roman" w:eastAsia="方正仿宋_GBK" w:cs="Times New Roman"/>
          <w:sz w:val="32"/>
          <w:szCs w:val="32"/>
          <w:shd w:val="clear" w:color="auto" w:fill="FFFFFF"/>
          <w:lang w:val="en-US" w:eastAsia="zh-CN"/>
        </w:rPr>
        <w:t>减少</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宿舍楼改造设备配置项目经费减少</w:t>
      </w:r>
      <w:r>
        <w:rPr>
          <w:rFonts w:hint="default" w:ascii="Times New Roman" w:hAnsi="Times New Roman" w:eastAsia="方正仿宋_GBK" w:cs="Times New Roman"/>
          <w:sz w:val="32"/>
          <w:szCs w:val="32"/>
          <w:shd w:val="clear" w:color="auto" w:fill="FFFFFF"/>
        </w:rPr>
        <w:t>及中职双优校项目建设经费</w:t>
      </w:r>
      <w:r>
        <w:rPr>
          <w:rFonts w:hint="default" w:ascii="Times New Roman" w:hAnsi="Times New Roman" w:eastAsia="方正仿宋_GBK" w:cs="Times New Roman"/>
          <w:sz w:val="32"/>
          <w:szCs w:val="32"/>
          <w:shd w:val="clear" w:color="auto" w:fill="FFFFFF"/>
          <w:lang w:val="en-US" w:eastAsia="zh-CN"/>
        </w:rPr>
        <w:t>减少</w:t>
      </w:r>
      <w:r>
        <w:rPr>
          <w:rFonts w:hint="default" w:ascii="Times New Roman" w:hAnsi="Times New Roman" w:eastAsia="方正仿宋_GBK" w:cs="Times New Roman"/>
          <w:sz w:val="32"/>
          <w:szCs w:val="32"/>
          <w:shd w:val="clear" w:color="auto" w:fill="FFFFFF"/>
          <w:lang w:eastAsia="zh-CN"/>
        </w:rPr>
        <w:t>。</w:t>
      </w:r>
    </w:p>
    <w:p w14:paraId="3C6391F2">
      <w:pPr>
        <w:keepNext w:val="0"/>
        <w:keepLines w:val="0"/>
        <w:pageBreakBefore w:val="0"/>
        <w:widowControl/>
        <w:kinsoku/>
        <w:wordWrap/>
        <w:overflowPunct/>
        <w:topLinePunct w:val="0"/>
        <w:autoSpaceDN/>
        <w:bidi w:val="0"/>
        <w:adjustRightInd/>
        <w:spacing w:beforeAutospacing="0" w:afterAutospacing="0" w:line="600" w:lineRule="exact"/>
        <w:ind w:firstLine="643" w:firstLineChars="200"/>
        <w:jc w:val="left"/>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度收入合计4713.00万元，与2023年度相比，减少861.07万元，下降15.5%，主要原因是政策调整导致人员经费减少、宿舍楼改造设备配置项目经费减少及中职双优校项目建设经费减少</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4596.77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97.53</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116.23</w:t>
      </w:r>
      <w:r>
        <w:rPr>
          <w:rFonts w:hint="default" w:ascii="Times New Roman" w:hAnsi="Times New Roman" w:eastAsia="方正仿宋_GBK" w:cs="Times New Roman"/>
          <w:sz w:val="32"/>
          <w:szCs w:val="32"/>
          <w:shd w:val="clear" w:color="auto" w:fill="FFFFFF"/>
        </w:rPr>
        <w:t>万元，占2.47%。</w:t>
      </w:r>
    </w:p>
    <w:p w14:paraId="184BA702">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4713.00</w:t>
      </w:r>
      <w:r>
        <w:rPr>
          <w:rFonts w:hint="default" w:ascii="Times New Roman" w:hAnsi="Times New Roman" w:eastAsia="方正仿宋_GBK" w:cs="Times New Roman"/>
          <w:sz w:val="32"/>
          <w:szCs w:val="32"/>
          <w:shd w:val="clear" w:color="auto" w:fill="FFFFFF"/>
        </w:rPr>
        <w:t>万元，与2023年度相比，减少861.07万元，下降15.5%，主要原因是政策调整导致人员经费减少、宿舍楼改造设备配置项目经费减少及中职双优校项目建设经费减少</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3283.91</w:t>
      </w:r>
      <w:r>
        <w:rPr>
          <w:rFonts w:hint="default" w:ascii="Times New Roman" w:hAnsi="Times New Roman" w:eastAsia="方正仿宋_GBK" w:cs="Times New Roman"/>
          <w:sz w:val="32"/>
          <w:szCs w:val="32"/>
          <w:shd w:val="clear" w:color="auto" w:fill="FFFFFF"/>
        </w:rPr>
        <w:t>万元，占69.68%；项目支出</w:t>
      </w:r>
      <w:r>
        <w:rPr>
          <w:rFonts w:hint="default" w:ascii="Times New Roman" w:hAnsi="Times New Roman" w:eastAsia="方正仿宋_GBK" w:cs="Times New Roman"/>
          <w:sz w:val="32"/>
          <w:szCs w:val="32"/>
        </w:rPr>
        <w:t>1429.09</w:t>
      </w:r>
      <w:r>
        <w:rPr>
          <w:rFonts w:hint="default" w:ascii="Times New Roman" w:hAnsi="Times New Roman" w:eastAsia="方正仿宋_GBK" w:cs="Times New Roman"/>
          <w:sz w:val="32"/>
          <w:szCs w:val="32"/>
          <w:shd w:val="clear" w:color="auto" w:fill="FFFFFF"/>
        </w:rPr>
        <w:t>万元，占30.32%。</w:t>
      </w:r>
    </w:p>
    <w:p w14:paraId="1B5081F7">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万元，与2023年度相比，无增减，主要原因是本年度收支平衡</w:t>
      </w:r>
      <w:r>
        <w:rPr>
          <w:rFonts w:hint="default" w:ascii="Times New Roman" w:hAnsi="Times New Roman" w:eastAsia="方正仿宋_GBK" w:cs="Times New Roman"/>
          <w:sz w:val="32"/>
          <w:szCs w:val="32"/>
          <w:shd w:val="clear" w:color="auto" w:fill="FFFFFF"/>
          <w:lang w:eastAsia="zh-CN"/>
        </w:rPr>
        <w:t>。</w:t>
      </w:r>
    </w:p>
    <w:p w14:paraId="66AC6402">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lang w:eastAsia="zh-CN"/>
        </w:rPr>
      </w:pPr>
      <w:r>
        <w:rPr>
          <w:rStyle w:val="11"/>
          <w:rFonts w:hint="default" w:ascii="Times New Roman" w:hAnsi="Times New Roman" w:eastAsia="方正楷体_GBK" w:cs="Times New Roman"/>
          <w:b w:val="0"/>
          <w:bCs/>
          <w:sz w:val="32"/>
          <w:szCs w:val="32"/>
          <w:shd w:val="clear" w:color="auto" w:fill="FFFFFF"/>
          <w:lang w:eastAsia="zh-CN"/>
        </w:rPr>
        <w:t>（二）财政拨款收入支出决算总体情况说明</w:t>
      </w:r>
    </w:p>
    <w:p w14:paraId="68F714F6">
      <w:pPr>
        <w:keepNext w:val="0"/>
        <w:keepLines w:val="0"/>
        <w:pageBreakBefore w:val="0"/>
        <w:widowControl/>
        <w:kinsoku/>
        <w:wordWrap/>
        <w:overflowPunct/>
        <w:topLinePunct w:val="0"/>
        <w:autoSpaceDN/>
        <w:bidi w:val="0"/>
        <w:adjustRightInd/>
        <w:spacing w:beforeAutospacing="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度财政拨款收、支总计4596.77万元。与202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年相比，财政拨款收、支总计各减少863.07万元，下降15.8%。主要原因是政策调整导致人员经费减少、宿舍楼改造设备配置项目经费减少及中职双优校项目建设经费减少</w:t>
      </w:r>
      <w:r>
        <w:rPr>
          <w:rFonts w:hint="default" w:ascii="Times New Roman" w:hAnsi="Times New Roman" w:eastAsia="方正仿宋_GBK" w:cs="Times New Roman"/>
          <w:sz w:val="32"/>
          <w:szCs w:val="32"/>
          <w:shd w:val="clear" w:color="auto" w:fill="FFFFFF"/>
          <w:lang w:eastAsia="zh-CN"/>
        </w:rPr>
        <w:t>。</w:t>
      </w:r>
    </w:p>
    <w:p w14:paraId="704CDD4B">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lang w:eastAsia="zh-CN"/>
        </w:rPr>
      </w:pPr>
      <w:r>
        <w:rPr>
          <w:rStyle w:val="11"/>
          <w:rFonts w:hint="default" w:ascii="Times New Roman" w:hAnsi="Times New Roman" w:eastAsia="方正楷体_GBK" w:cs="Times New Roman"/>
          <w:b w:val="0"/>
          <w:bCs/>
          <w:sz w:val="32"/>
          <w:szCs w:val="32"/>
          <w:shd w:val="clear" w:color="auto" w:fill="FFFFFF"/>
          <w:lang w:eastAsia="zh-CN"/>
        </w:rPr>
        <w:t>（三）一般公共预算财政拨款收入支出决算情况说明</w:t>
      </w:r>
    </w:p>
    <w:p w14:paraId="3411A096">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4596.77</w:t>
      </w:r>
      <w:r>
        <w:rPr>
          <w:rFonts w:hint="default" w:ascii="Times New Roman" w:hAnsi="Times New Roman" w:eastAsia="方正仿宋_GBK" w:cs="Times New Roman"/>
          <w:sz w:val="32"/>
          <w:szCs w:val="32"/>
          <w:shd w:val="clear" w:color="auto" w:fill="FFFFFF"/>
        </w:rPr>
        <w:t>万元，与2023年度相比，减少863.07万元，下降15.8%。主要原因是政策调整导致人员经费减少、宿舍楼改造设备配置项目经费减少及中职双优校项目建设经费减少</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较年初预算数增加1075.19万元，增长30.5%。主要原因是</w:t>
      </w:r>
      <w:r>
        <w:rPr>
          <w:rFonts w:hint="default" w:ascii="Times New Roman" w:hAnsi="Times New Roman" w:eastAsia="方正仿宋_GBK" w:cs="Times New Roman"/>
          <w:sz w:val="32"/>
          <w:szCs w:val="32"/>
          <w:shd w:val="clear" w:color="auto" w:fill="FFFFFF"/>
          <w:lang w:val="en-US" w:eastAsia="zh-CN"/>
        </w:rPr>
        <w:t>增加了中职学生资助项目、暑期维修项目、中职教育质量提升项目</w:t>
      </w:r>
      <w:r>
        <w:rPr>
          <w:rFonts w:hint="default" w:ascii="Times New Roman" w:hAnsi="Times New Roman" w:eastAsia="方正仿宋_GBK" w:cs="Times New Roman"/>
          <w:sz w:val="32"/>
          <w:szCs w:val="32"/>
          <w:shd w:val="clear" w:color="auto" w:fill="FFFFFF"/>
        </w:rPr>
        <w:t>。</w:t>
      </w:r>
    </w:p>
    <w:p w14:paraId="46D80163">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11"/>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4596.77</w:t>
      </w:r>
      <w:r>
        <w:rPr>
          <w:rFonts w:hint="default" w:ascii="Times New Roman" w:hAnsi="Times New Roman" w:eastAsia="方正仿宋_GBK" w:cs="Times New Roman"/>
          <w:sz w:val="32"/>
          <w:szCs w:val="32"/>
          <w:shd w:val="clear" w:color="auto" w:fill="FFFFFF"/>
        </w:rPr>
        <w:t>万元，与2023年度相比，减少863.07万元，下降15.8%。主要原因是政策调整导致人员经费减少、宿舍楼改造设备配置项目经费减少及中职双优校项目建设经费减少</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较年初预算数增加1075.19万元，增长30.5%。主要原因是增加了中职学生资助项目、暑期维修项目、中职教育质量提升项目</w:t>
      </w:r>
      <w:r>
        <w:rPr>
          <w:rFonts w:hint="default" w:ascii="Times New Roman" w:hAnsi="Times New Roman" w:eastAsia="方正仿宋_GBK" w:cs="Times New Roman"/>
          <w:sz w:val="32"/>
          <w:szCs w:val="32"/>
          <w:shd w:val="clear" w:color="auto" w:fill="FFFFFF"/>
          <w:lang w:eastAsia="zh-CN"/>
        </w:rPr>
        <w:t>。</w:t>
      </w:r>
    </w:p>
    <w:p w14:paraId="41227A96">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万元，与2023年度相比，无增减，主要原因是本年度收支平衡</w:t>
      </w:r>
      <w:r>
        <w:rPr>
          <w:rFonts w:hint="default" w:ascii="Times New Roman" w:hAnsi="Times New Roman" w:eastAsia="方正仿宋_GBK" w:cs="Times New Roman"/>
          <w:sz w:val="32"/>
          <w:szCs w:val="32"/>
          <w:shd w:val="clear" w:color="auto" w:fill="FFFFFF"/>
          <w:lang w:eastAsia="zh-CN"/>
        </w:rPr>
        <w:t>。</w:t>
      </w:r>
    </w:p>
    <w:p w14:paraId="38A0EABB">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6295D004">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）教育支出</w:t>
      </w:r>
      <w:r>
        <w:rPr>
          <w:rFonts w:hint="default" w:ascii="Times New Roman" w:hAnsi="Times New Roman" w:eastAsia="方正仿宋_GBK" w:cs="Times New Roman"/>
          <w:sz w:val="32"/>
          <w:szCs w:val="32"/>
        </w:rPr>
        <w:t>3793.01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82.51</w:t>
      </w:r>
      <w:r>
        <w:rPr>
          <w:rFonts w:hint="default" w:ascii="Times New Roman" w:hAnsi="Times New Roman" w:eastAsia="方正仿宋_GBK" w:cs="Times New Roman"/>
          <w:sz w:val="32"/>
          <w:szCs w:val="32"/>
          <w:shd w:val="clear" w:color="auto" w:fill="FFFFFF"/>
        </w:rPr>
        <w:t>%，较年初预算数增加1175.80万元，增长44.9%，主要原因是增加了中职学生资助项目、暑期维修项目、中职教育质量提升项目</w:t>
      </w:r>
      <w:r>
        <w:rPr>
          <w:rFonts w:hint="default" w:ascii="Times New Roman" w:hAnsi="Times New Roman" w:eastAsia="方正仿宋_GBK" w:cs="Times New Roman"/>
          <w:sz w:val="32"/>
          <w:szCs w:val="32"/>
          <w:shd w:val="clear" w:color="auto" w:fill="FFFFFF"/>
          <w:lang w:eastAsia="zh-CN"/>
        </w:rPr>
        <w:t>。</w:t>
      </w:r>
    </w:p>
    <w:p w14:paraId="727758AB">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415.89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9.05</w:t>
      </w:r>
      <w:r>
        <w:rPr>
          <w:rFonts w:hint="default" w:ascii="Times New Roman" w:hAnsi="Times New Roman" w:eastAsia="方正仿宋_GBK" w:cs="Times New Roman"/>
          <w:sz w:val="32"/>
          <w:szCs w:val="32"/>
          <w:shd w:val="clear" w:color="auto" w:fill="FFFFFF"/>
        </w:rPr>
        <w:t>%，较年初预算数减少115.99万元，下降21.8%，主要原因是</w:t>
      </w:r>
      <w:r>
        <w:rPr>
          <w:rFonts w:hint="eastAsia" w:ascii="Times New Roman" w:hAnsi="Times New Roman" w:eastAsia="方正仿宋_GBK" w:cs="Times New Roman"/>
          <w:sz w:val="32"/>
          <w:szCs w:val="32"/>
          <w:shd w:val="clear" w:color="auto" w:fill="FFFFFF"/>
          <w:lang w:val="en-US" w:eastAsia="zh-CN"/>
        </w:rPr>
        <w:t>政策性调整</w:t>
      </w:r>
      <w:r>
        <w:rPr>
          <w:rFonts w:hint="default" w:ascii="Times New Roman" w:hAnsi="Times New Roman" w:eastAsia="方正仿宋_GBK" w:cs="Times New Roman"/>
          <w:sz w:val="32"/>
          <w:szCs w:val="32"/>
          <w:shd w:val="clear" w:color="auto" w:fill="FFFFFF"/>
          <w:lang w:eastAsia="zh-CN"/>
        </w:rPr>
        <w:t>。</w:t>
      </w:r>
    </w:p>
    <w:p w14:paraId="306A15A9">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143.75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3.13</w:t>
      </w:r>
      <w:r>
        <w:rPr>
          <w:rFonts w:hint="default" w:ascii="Times New Roman" w:hAnsi="Times New Roman" w:eastAsia="方正仿宋_GBK" w:cs="Times New Roman"/>
          <w:sz w:val="32"/>
          <w:szCs w:val="32"/>
          <w:shd w:val="clear" w:color="auto" w:fill="FFFFFF"/>
        </w:rPr>
        <w:t>%，较年初预算数增加2.05万元，增长1.5%，主要原因是政策调整导致人员经费增加后相应人员</w:t>
      </w:r>
      <w:r>
        <w:rPr>
          <w:rFonts w:hint="default" w:ascii="Times New Roman" w:hAnsi="Times New Roman" w:eastAsia="方正仿宋_GBK" w:cs="Times New Roman"/>
          <w:sz w:val="32"/>
          <w:szCs w:val="32"/>
          <w:shd w:val="clear" w:color="auto" w:fill="FFFFFF"/>
          <w:lang w:val="en-US" w:eastAsia="zh-CN"/>
        </w:rPr>
        <w:t>卫生健康支出</w:t>
      </w:r>
      <w:r>
        <w:rPr>
          <w:rFonts w:hint="default" w:ascii="Times New Roman" w:hAnsi="Times New Roman" w:eastAsia="方正仿宋_GBK" w:cs="Times New Roman"/>
          <w:sz w:val="32"/>
          <w:szCs w:val="32"/>
          <w:shd w:val="clear" w:color="auto" w:fill="FFFFFF"/>
        </w:rPr>
        <w:t>增加</w:t>
      </w:r>
      <w:r>
        <w:rPr>
          <w:rFonts w:hint="default" w:ascii="Times New Roman" w:hAnsi="Times New Roman" w:eastAsia="方正仿宋_GBK" w:cs="Times New Roman"/>
          <w:sz w:val="32"/>
          <w:szCs w:val="32"/>
          <w:shd w:val="clear" w:color="auto" w:fill="FFFFFF"/>
          <w:lang w:eastAsia="zh-CN"/>
        </w:rPr>
        <w:t>。</w:t>
      </w:r>
    </w:p>
    <w:p w14:paraId="2E572C22">
      <w:pPr>
        <w:keepNext w:val="0"/>
        <w:keepLines w:val="0"/>
        <w:pageBreakBefore w:val="0"/>
        <w:widowControl/>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住房保障支出244.13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5.31</w:t>
      </w:r>
      <w:r>
        <w:rPr>
          <w:rFonts w:hint="default" w:ascii="Times New Roman" w:hAnsi="Times New Roman" w:eastAsia="方正仿宋_GBK" w:cs="Times New Roman"/>
          <w:sz w:val="32"/>
          <w:szCs w:val="32"/>
          <w:shd w:val="clear" w:color="auto" w:fill="FFFFFF"/>
        </w:rPr>
        <w:t>%，较年初预算数增加13.34万元，增长5.8%，主要原因是政策调整导致人员经费增加</w:t>
      </w:r>
      <w:r>
        <w:rPr>
          <w:rFonts w:hint="default" w:ascii="Times New Roman" w:hAnsi="Times New Roman" w:eastAsia="方正仿宋_GBK" w:cs="Times New Roman"/>
          <w:sz w:val="32"/>
          <w:szCs w:val="32"/>
          <w:shd w:val="clear" w:color="auto" w:fill="FFFFFF"/>
          <w:lang w:val="en-US" w:eastAsia="zh-CN"/>
        </w:rPr>
        <w:t>后相应人员</w:t>
      </w:r>
      <w:r>
        <w:rPr>
          <w:rFonts w:hint="default" w:ascii="Times New Roman" w:hAnsi="Times New Roman" w:eastAsia="方正仿宋_GBK" w:cs="Times New Roman"/>
          <w:sz w:val="32"/>
          <w:szCs w:val="32"/>
          <w:shd w:val="clear" w:color="auto" w:fill="FFFFFF"/>
        </w:rPr>
        <w:t>住房保障支出增加</w:t>
      </w:r>
      <w:r>
        <w:rPr>
          <w:rFonts w:hint="default" w:ascii="Times New Roman" w:hAnsi="Times New Roman" w:eastAsia="方正仿宋_GBK" w:cs="Times New Roman"/>
          <w:sz w:val="32"/>
          <w:szCs w:val="32"/>
          <w:shd w:val="clear" w:color="auto" w:fill="FFFFFF"/>
          <w:lang w:eastAsia="zh-CN"/>
        </w:rPr>
        <w:t>。</w:t>
      </w:r>
    </w:p>
    <w:p w14:paraId="1096E9FD">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lang w:eastAsia="zh-CN"/>
        </w:rPr>
      </w:pPr>
      <w:r>
        <w:rPr>
          <w:rStyle w:val="11"/>
          <w:rFonts w:hint="default" w:ascii="Times New Roman" w:hAnsi="Times New Roman" w:eastAsia="方正楷体_GBK" w:cs="Times New Roman"/>
          <w:b w:val="0"/>
          <w:bCs/>
          <w:sz w:val="32"/>
          <w:szCs w:val="32"/>
          <w:shd w:val="clear" w:color="auto" w:fill="FFFFFF"/>
          <w:lang w:eastAsia="zh-CN"/>
        </w:rPr>
        <w:t>（四）一般公共预算财政拨款基本支出决算情况说明</w:t>
      </w:r>
    </w:p>
    <w:p w14:paraId="20C52529">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3283.91</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2760.97</w:t>
      </w:r>
      <w:r>
        <w:rPr>
          <w:rFonts w:hint="default" w:ascii="Times New Roman" w:hAnsi="Times New Roman" w:eastAsia="方正仿宋_GBK" w:cs="Times New Roman"/>
          <w:sz w:val="32"/>
          <w:szCs w:val="32"/>
          <w:shd w:val="clear" w:color="auto" w:fill="FFFFFF"/>
        </w:rPr>
        <w:t>万元，与2023年度相比，减少68.28万元，下降2.4%，主要原因是202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default" w:ascii="Times New Roman" w:hAnsi="Times New Roman" w:eastAsia="方正仿宋_GBK" w:cs="Times New Roman"/>
          <w:sz w:val="32"/>
          <w:szCs w:val="32"/>
          <w:shd w:val="clear" w:color="auto" w:fill="FFFFFF"/>
          <w:lang w:val="en-US" w:eastAsia="zh-CN"/>
        </w:rPr>
        <w:t>减少4</w:t>
      </w:r>
      <w:r>
        <w:rPr>
          <w:rFonts w:hint="default" w:ascii="Times New Roman" w:hAnsi="Times New Roman" w:eastAsia="方正仿宋_GBK" w:cs="Times New Roman"/>
          <w:sz w:val="32"/>
          <w:szCs w:val="32"/>
          <w:shd w:val="clear" w:color="auto" w:fill="FFFFFF"/>
        </w:rPr>
        <w:t>人，相应人员经费</w:t>
      </w:r>
      <w:r>
        <w:rPr>
          <w:rFonts w:hint="default" w:ascii="Times New Roman" w:hAnsi="Times New Roman" w:eastAsia="方正仿宋_GBK" w:cs="Times New Roman"/>
          <w:sz w:val="32"/>
          <w:szCs w:val="32"/>
          <w:shd w:val="clear" w:color="auto" w:fill="FFFFFF"/>
          <w:lang w:val="en-US" w:eastAsia="zh-CN"/>
        </w:rPr>
        <w:t>减少</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人员经费用途主要包括基本工资、津贴补贴、绩效工资、社会保障缴费、其他工资福利支出</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522.94</w:t>
      </w:r>
      <w:r>
        <w:rPr>
          <w:rFonts w:hint="default" w:ascii="Times New Roman" w:hAnsi="Times New Roman" w:eastAsia="方正仿宋_GBK" w:cs="Times New Roman"/>
          <w:sz w:val="32"/>
          <w:szCs w:val="32"/>
          <w:shd w:val="clear" w:color="auto" w:fill="FFFFFF"/>
        </w:rPr>
        <w:t>万元，与2023年度相比，减少53.50万元，下降9.3%，主要原因是认真贯彻落实</w:t>
      </w:r>
      <w:r>
        <w:rPr>
          <w:rFonts w:hint="eastAsia" w:ascii="Times New Roman" w:hAnsi="Times New Roman" w:eastAsia="方正仿宋_GBK" w:cs="Times New Roman"/>
          <w:sz w:val="32"/>
          <w:szCs w:val="32"/>
          <w:shd w:val="clear" w:color="auto" w:fill="FFFFFF"/>
          <w:lang w:eastAsia="zh-CN"/>
        </w:rPr>
        <w:t>中央八项规定精神</w:t>
      </w:r>
      <w:r>
        <w:rPr>
          <w:rFonts w:hint="default" w:ascii="Times New Roman" w:hAnsi="Times New Roman" w:eastAsia="方正仿宋_GBK" w:cs="Times New Roman"/>
          <w:sz w:val="32"/>
          <w:szCs w:val="32"/>
          <w:shd w:val="clear" w:color="auto" w:fill="FFFFFF"/>
        </w:rPr>
        <w:t>和厉行节约要求，从严控制公用经费开支</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公用经费用途主要包括办公费、水电费、邮电费、物业管理费、差旅费、维修（护）费、培训费、其他商品和服务支出</w:t>
      </w:r>
      <w:r>
        <w:rPr>
          <w:rFonts w:hint="eastAsia" w:ascii="Times New Roman" w:hAnsi="Times New Roman" w:eastAsia="方正仿宋_GBK" w:cs="Times New Roman"/>
          <w:sz w:val="32"/>
          <w:szCs w:val="32"/>
          <w:shd w:val="clear" w:color="auto" w:fill="FFFFFF"/>
          <w:lang w:val="en-US" w:eastAsia="zh-CN"/>
        </w:rPr>
        <w:t>等</w:t>
      </w:r>
      <w:r>
        <w:rPr>
          <w:rFonts w:hint="default" w:ascii="Times New Roman" w:hAnsi="Times New Roman" w:eastAsia="方正仿宋_GBK" w:cs="Times New Roman"/>
          <w:sz w:val="32"/>
          <w:szCs w:val="32"/>
          <w:shd w:val="clear" w:color="auto" w:fill="FFFFFF"/>
          <w:lang w:eastAsia="zh-CN"/>
        </w:rPr>
        <w:t>。</w:t>
      </w:r>
    </w:p>
    <w:p w14:paraId="0A0C0514">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lang w:eastAsia="zh-CN"/>
        </w:rPr>
      </w:pPr>
      <w:r>
        <w:rPr>
          <w:rStyle w:val="11"/>
          <w:rFonts w:hint="default" w:ascii="Times New Roman" w:hAnsi="Times New Roman" w:eastAsia="方正楷体_GBK" w:cs="Times New Roman"/>
          <w:b w:val="0"/>
          <w:bCs/>
          <w:sz w:val="32"/>
          <w:szCs w:val="32"/>
          <w:shd w:val="clear" w:color="auto" w:fill="FFFFFF"/>
          <w:lang w:eastAsia="zh-CN"/>
        </w:rPr>
        <w:t>（五）政府性基金预算收支决算情况说明</w:t>
      </w:r>
    </w:p>
    <w:p w14:paraId="1DFCC9BF">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Style w:val="11"/>
          <w:rFonts w:hint="default" w:ascii="Times New Roman" w:hAnsi="Times New Roman" w:eastAsia="方正仿宋_GBK" w:cs="Times New Roman"/>
          <w:sz w:val="32"/>
          <w:szCs w:val="32"/>
          <w:shd w:val="clear" w:color="auto" w:fill="FFFF00"/>
        </w:rPr>
      </w:pP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lang w:val="en-US" w:eastAsia="zh-CN" w:bidi="ar-SA"/>
        </w:rPr>
        <w:t>2024</w:t>
      </w:r>
      <w:r>
        <w:rPr>
          <w:rFonts w:hint="default" w:ascii="Times New Roman" w:hAnsi="Times New Roman" w:eastAsia="方正仿宋_GBK" w:cs="Times New Roman"/>
          <w:sz w:val="32"/>
          <w:szCs w:val="32"/>
          <w:shd w:val="clear" w:color="auto" w:fill="FFFFFF"/>
        </w:rPr>
        <w:t>年度无政府性基金预算财政拨款收支。</w:t>
      </w:r>
    </w:p>
    <w:p w14:paraId="580B0208">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lang w:eastAsia="zh-CN"/>
        </w:rPr>
      </w:pPr>
      <w:r>
        <w:rPr>
          <w:rStyle w:val="11"/>
          <w:rFonts w:hint="default" w:ascii="Times New Roman" w:hAnsi="Times New Roman" w:eastAsia="方正楷体_GBK" w:cs="Times New Roman"/>
          <w:b w:val="0"/>
          <w:bCs/>
          <w:sz w:val="32"/>
          <w:szCs w:val="32"/>
          <w:shd w:val="clear" w:color="auto" w:fill="FFFFFF"/>
          <w:lang w:eastAsia="zh-CN"/>
        </w:rPr>
        <w:t>（六）国有资本经营预算财政拨款支出决算情况说明</w:t>
      </w:r>
    </w:p>
    <w:p w14:paraId="6D541449">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Style w:val="11"/>
          <w:rFonts w:hint="default" w:ascii="Times New Roman" w:hAnsi="Times New Roman" w:eastAsia="方正仿宋_GBK" w:cs="Times New Roman"/>
          <w:sz w:val="32"/>
          <w:szCs w:val="32"/>
          <w:shd w:val="clear" w:color="auto" w:fill="FFFF00"/>
        </w:rPr>
      </w:pP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lang w:val="en-US" w:eastAsia="zh-CN" w:bidi="ar-SA"/>
        </w:rPr>
        <w:t>2024</w:t>
      </w:r>
      <w:r>
        <w:rPr>
          <w:rFonts w:hint="default" w:ascii="Times New Roman" w:hAnsi="Times New Roman" w:eastAsia="方正仿宋_GBK" w:cs="Times New Roman"/>
          <w:sz w:val="32"/>
          <w:szCs w:val="32"/>
          <w:shd w:val="clear" w:color="auto" w:fill="FFFFFF"/>
        </w:rPr>
        <w:t>年度无国有资本经营预算财政拨款支出。</w:t>
      </w:r>
    </w:p>
    <w:p w14:paraId="4EE7A6BB">
      <w:pPr>
        <w:keepNext w:val="0"/>
        <w:keepLines w:val="0"/>
        <w:pageBreakBefore w:val="0"/>
        <w:widowControl/>
        <w:kinsoku/>
        <w:wordWrap/>
        <w:overflowPunct/>
        <w:topLinePunct w:val="0"/>
        <w:autoSpaceDN/>
        <w:bidi w:val="0"/>
        <w:adjustRightInd/>
        <w:spacing w:beforeAutospacing="0" w:afterAutospacing="0" w:line="600" w:lineRule="exact"/>
        <w:ind w:firstLine="640" w:firstLineChars="200"/>
        <w:jc w:val="left"/>
        <w:textAlignment w:val="auto"/>
        <w:rPr>
          <w:rFonts w:hint="default" w:ascii="Times New Roman" w:hAnsi="Times New Roman" w:eastAsia="方正黑体_GBK" w:cs="Times New Roman"/>
          <w:bCs/>
          <w:kern w:val="0"/>
          <w:sz w:val="32"/>
          <w:szCs w:val="32"/>
        </w:rPr>
      </w:pPr>
      <w:r>
        <w:rPr>
          <w:rFonts w:hint="default" w:ascii="Times New Roman" w:hAnsi="Times New Roman" w:eastAsia="方正黑体_GBK" w:cs="Times New Roman"/>
          <w:bCs/>
          <w:kern w:val="0"/>
          <w:sz w:val="32"/>
          <w:szCs w:val="32"/>
        </w:rPr>
        <w:t>三、</w:t>
      </w:r>
      <w:r>
        <w:rPr>
          <w:rFonts w:hint="default" w:ascii="Times New Roman" w:hAnsi="Times New Roman" w:eastAsia="方正黑体_GBK" w:cs="Times New Roman"/>
          <w:bCs/>
          <w:kern w:val="0"/>
          <w:sz w:val="32"/>
          <w:szCs w:val="32"/>
          <w:lang w:eastAsia="zh-CN"/>
        </w:rPr>
        <w:t>财政拨款</w:t>
      </w:r>
      <w:r>
        <w:rPr>
          <w:rFonts w:hint="eastAsia" w:ascii="Times New Roman" w:hAnsi="Times New Roman" w:eastAsia="方正黑体_GBK" w:cs="Times New Roman"/>
          <w:bCs/>
          <w:kern w:val="0"/>
          <w:sz w:val="32"/>
          <w:szCs w:val="32"/>
          <w:lang w:eastAsia="zh-CN"/>
        </w:rPr>
        <w:t>“</w:t>
      </w:r>
      <w:r>
        <w:rPr>
          <w:rFonts w:hint="default" w:ascii="Times New Roman" w:hAnsi="Times New Roman" w:eastAsia="方正黑体_GBK" w:cs="Times New Roman"/>
          <w:bCs/>
          <w:kern w:val="0"/>
          <w:sz w:val="32"/>
          <w:szCs w:val="32"/>
        </w:rPr>
        <w:t>三公</w:t>
      </w:r>
      <w:r>
        <w:rPr>
          <w:rFonts w:hint="eastAsia" w:ascii="Times New Roman" w:hAnsi="Times New Roman" w:eastAsia="方正黑体_GBK" w:cs="Times New Roman"/>
          <w:bCs/>
          <w:kern w:val="0"/>
          <w:sz w:val="32"/>
          <w:szCs w:val="32"/>
          <w:lang w:eastAsia="zh-CN"/>
        </w:rPr>
        <w:t>”</w:t>
      </w:r>
      <w:r>
        <w:rPr>
          <w:rFonts w:hint="default" w:ascii="Times New Roman" w:hAnsi="Times New Roman" w:eastAsia="方正黑体_GBK" w:cs="Times New Roman"/>
          <w:bCs/>
          <w:kern w:val="0"/>
          <w:sz w:val="32"/>
          <w:szCs w:val="32"/>
        </w:rPr>
        <w:t>经费情况说明</w:t>
      </w:r>
    </w:p>
    <w:p w14:paraId="6B4B84BC">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lang w:eastAsia="zh-CN"/>
        </w:rPr>
      </w:pPr>
      <w:r>
        <w:rPr>
          <w:rStyle w:val="11"/>
          <w:rFonts w:hint="default" w:ascii="Times New Roman" w:hAnsi="Times New Roman" w:eastAsia="方正楷体_GBK" w:cs="Times New Roman"/>
          <w:b w:val="0"/>
          <w:bCs/>
          <w:sz w:val="32"/>
          <w:szCs w:val="32"/>
          <w:shd w:val="clear" w:color="auto" w:fill="FFFFFF"/>
          <w:lang w:eastAsia="zh-CN"/>
        </w:rPr>
        <w:t>（一）</w:t>
      </w:r>
      <w:r>
        <w:rPr>
          <w:rStyle w:val="11"/>
          <w:rFonts w:hint="eastAsia" w:ascii="Times New Roman" w:hAnsi="Times New Roman" w:eastAsia="方正楷体_GBK" w:cs="Times New Roman"/>
          <w:b w:val="0"/>
          <w:bCs/>
          <w:sz w:val="32"/>
          <w:szCs w:val="32"/>
          <w:shd w:val="clear" w:color="auto" w:fill="FFFFFF"/>
          <w:lang w:eastAsia="zh-CN"/>
        </w:rPr>
        <w:t>“</w:t>
      </w:r>
      <w:r>
        <w:rPr>
          <w:rStyle w:val="11"/>
          <w:rFonts w:hint="default" w:ascii="Times New Roman" w:hAnsi="Times New Roman" w:eastAsia="方正楷体_GBK" w:cs="Times New Roman"/>
          <w:b w:val="0"/>
          <w:bCs/>
          <w:sz w:val="32"/>
          <w:szCs w:val="32"/>
          <w:shd w:val="clear" w:color="auto" w:fill="FFFFFF"/>
          <w:lang w:eastAsia="zh-CN"/>
        </w:rPr>
        <w:t>三公</w:t>
      </w:r>
      <w:r>
        <w:rPr>
          <w:rStyle w:val="11"/>
          <w:rFonts w:hint="eastAsia" w:ascii="Times New Roman" w:hAnsi="Times New Roman" w:eastAsia="方正楷体_GBK" w:cs="Times New Roman"/>
          <w:b w:val="0"/>
          <w:bCs/>
          <w:sz w:val="32"/>
          <w:szCs w:val="32"/>
          <w:shd w:val="clear" w:color="auto" w:fill="FFFFFF"/>
          <w:lang w:eastAsia="zh-CN"/>
        </w:rPr>
        <w:t>”</w:t>
      </w:r>
      <w:r>
        <w:rPr>
          <w:rStyle w:val="11"/>
          <w:rFonts w:hint="default" w:ascii="Times New Roman" w:hAnsi="Times New Roman" w:eastAsia="方正楷体_GBK" w:cs="Times New Roman"/>
          <w:b w:val="0"/>
          <w:bCs/>
          <w:sz w:val="32"/>
          <w:szCs w:val="32"/>
          <w:shd w:val="clear" w:color="auto" w:fill="FFFFFF"/>
          <w:lang w:eastAsia="zh-CN"/>
        </w:rPr>
        <w:t>经费支出总体情况说明</w:t>
      </w:r>
    </w:p>
    <w:p w14:paraId="777955F8">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万元，较年初预算数无增减，主要原因是本单位202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年度未发生财政预算</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支出</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较上年支出数无增减，主要原因是本单位2024年度未发生财政预算</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支出</w:t>
      </w:r>
      <w:r>
        <w:rPr>
          <w:rFonts w:hint="eastAsia" w:ascii="Times New Roman" w:hAnsi="Times New Roman" w:eastAsia="方正仿宋_GBK" w:cs="Times New Roman"/>
          <w:sz w:val="32"/>
          <w:szCs w:val="32"/>
          <w:shd w:val="clear" w:color="auto" w:fill="FFFFFF"/>
          <w:lang w:eastAsia="zh-CN"/>
        </w:rPr>
        <w:t>，</w:t>
      </w:r>
      <w:r>
        <w:rPr>
          <w:rFonts w:hint="eastAsia" w:ascii="方正仿宋_GBK" w:hAnsi="方正仿宋_GBK" w:eastAsia="方正仿宋_GBK" w:cs="方正仿宋_GBK"/>
          <w:sz w:val="32"/>
          <w:szCs w:val="32"/>
          <w:highlight w:val="none"/>
          <w:lang w:val="en-US" w:eastAsia="zh-CN" w:bidi="ar-SA"/>
        </w:rPr>
        <w:t>与上年决算数持平</w:t>
      </w:r>
      <w:r>
        <w:rPr>
          <w:rFonts w:hint="default" w:ascii="Times New Roman" w:hAnsi="Times New Roman" w:eastAsia="方正仿宋_GBK" w:cs="Times New Roman"/>
          <w:sz w:val="32"/>
          <w:szCs w:val="32"/>
          <w:shd w:val="clear" w:color="auto" w:fill="FFFFFF"/>
          <w:lang w:eastAsia="zh-CN"/>
        </w:rPr>
        <w:t>。</w:t>
      </w:r>
    </w:p>
    <w:p w14:paraId="1D31015F">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lang w:eastAsia="zh-CN"/>
        </w:rPr>
      </w:pPr>
      <w:r>
        <w:rPr>
          <w:rStyle w:val="11"/>
          <w:rFonts w:hint="default" w:ascii="Times New Roman" w:hAnsi="Times New Roman" w:eastAsia="方正楷体_GBK" w:cs="Times New Roman"/>
          <w:b w:val="0"/>
          <w:bCs/>
          <w:sz w:val="32"/>
          <w:szCs w:val="32"/>
          <w:shd w:val="clear" w:color="auto" w:fill="FFFFFF"/>
          <w:lang w:eastAsia="zh-CN"/>
        </w:rPr>
        <w:t>（二）</w:t>
      </w:r>
      <w:r>
        <w:rPr>
          <w:rStyle w:val="11"/>
          <w:rFonts w:hint="eastAsia" w:ascii="Times New Roman" w:hAnsi="Times New Roman" w:eastAsia="方正楷体_GBK" w:cs="Times New Roman"/>
          <w:b w:val="0"/>
          <w:bCs/>
          <w:sz w:val="32"/>
          <w:szCs w:val="32"/>
          <w:shd w:val="clear" w:color="auto" w:fill="FFFFFF"/>
          <w:lang w:eastAsia="zh-CN"/>
        </w:rPr>
        <w:t>“</w:t>
      </w:r>
      <w:r>
        <w:rPr>
          <w:rStyle w:val="11"/>
          <w:rFonts w:hint="default" w:ascii="Times New Roman" w:hAnsi="Times New Roman" w:eastAsia="方正楷体_GBK" w:cs="Times New Roman"/>
          <w:b w:val="0"/>
          <w:bCs/>
          <w:sz w:val="32"/>
          <w:szCs w:val="32"/>
          <w:shd w:val="clear" w:color="auto" w:fill="FFFFFF"/>
          <w:lang w:eastAsia="zh-CN"/>
        </w:rPr>
        <w:t>三公</w:t>
      </w:r>
      <w:r>
        <w:rPr>
          <w:rStyle w:val="11"/>
          <w:rFonts w:hint="eastAsia" w:ascii="Times New Roman" w:hAnsi="Times New Roman" w:eastAsia="方正楷体_GBK" w:cs="Times New Roman"/>
          <w:b w:val="0"/>
          <w:bCs/>
          <w:sz w:val="32"/>
          <w:szCs w:val="32"/>
          <w:shd w:val="clear" w:color="auto" w:fill="FFFFFF"/>
          <w:lang w:eastAsia="zh-CN"/>
        </w:rPr>
        <w:t>”</w:t>
      </w:r>
      <w:r>
        <w:rPr>
          <w:rStyle w:val="11"/>
          <w:rFonts w:hint="default" w:ascii="Times New Roman" w:hAnsi="Times New Roman" w:eastAsia="方正楷体_GBK" w:cs="Times New Roman"/>
          <w:b w:val="0"/>
          <w:bCs/>
          <w:sz w:val="32"/>
          <w:szCs w:val="32"/>
          <w:shd w:val="clear" w:color="auto" w:fill="FFFFFF"/>
          <w:lang w:eastAsia="zh-CN"/>
        </w:rPr>
        <w:t>经费分项支出情况</w:t>
      </w:r>
    </w:p>
    <w:p w14:paraId="0494CDEF">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万元，费用支出较年初预算数无增减，较上年支出数无增减，主要原因是本单位</w:t>
      </w:r>
      <w:r>
        <w:rPr>
          <w:rFonts w:hint="default" w:ascii="Times New Roman" w:hAnsi="Times New Roman" w:eastAsia="方正仿宋_GBK" w:cs="Times New Roman"/>
          <w:sz w:val="32"/>
          <w:szCs w:val="32"/>
          <w:lang w:val="en-US" w:eastAsia="zh-CN" w:bidi="ar-SA"/>
        </w:rPr>
        <w:t>2024</w:t>
      </w:r>
      <w:r>
        <w:rPr>
          <w:rFonts w:hint="default" w:ascii="Times New Roman" w:hAnsi="Times New Roman" w:eastAsia="方正仿宋_GBK" w:cs="Times New Roman"/>
          <w:sz w:val="32"/>
          <w:szCs w:val="32"/>
          <w:shd w:val="clear" w:color="auto" w:fill="FFFFFF"/>
        </w:rPr>
        <w:t>年度未发生因公出国（境）费用支出</w:t>
      </w:r>
      <w:r>
        <w:rPr>
          <w:rFonts w:hint="eastAsia" w:ascii="Times New Roman" w:hAnsi="Times New Roman" w:eastAsia="方正仿宋_GBK" w:cs="Times New Roman"/>
          <w:sz w:val="32"/>
          <w:szCs w:val="32"/>
          <w:shd w:val="clear" w:color="auto" w:fill="FFFFFF"/>
          <w:lang w:eastAsia="zh-CN"/>
        </w:rPr>
        <w:t>，</w:t>
      </w:r>
      <w:r>
        <w:rPr>
          <w:rFonts w:hint="eastAsia" w:ascii="方正仿宋_GBK" w:hAnsi="方正仿宋_GBK" w:eastAsia="方正仿宋_GBK" w:cs="方正仿宋_GBK"/>
          <w:sz w:val="32"/>
          <w:szCs w:val="32"/>
          <w:highlight w:val="none"/>
          <w:lang w:val="en-US" w:eastAsia="zh-CN" w:bidi="ar-SA"/>
        </w:rPr>
        <w:t>与上年决算数持平</w:t>
      </w:r>
      <w:r>
        <w:rPr>
          <w:rFonts w:hint="default" w:ascii="Times New Roman" w:hAnsi="Times New Roman" w:eastAsia="方正仿宋_GBK" w:cs="Times New Roman"/>
          <w:sz w:val="32"/>
          <w:szCs w:val="32"/>
          <w:shd w:val="clear" w:color="auto" w:fill="FFFFFF"/>
        </w:rPr>
        <w:t>。</w:t>
      </w:r>
    </w:p>
    <w:p w14:paraId="669D714F">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万元，费用支出较年初预算数无增减，较上年支出数无增减，主要原因是本单位</w:t>
      </w:r>
      <w:r>
        <w:rPr>
          <w:rFonts w:hint="default" w:ascii="Times New Roman" w:hAnsi="Times New Roman" w:eastAsia="方正仿宋_GBK" w:cs="Times New Roman"/>
          <w:sz w:val="32"/>
          <w:szCs w:val="32"/>
          <w:lang w:val="en-US" w:eastAsia="zh-CN" w:bidi="ar-SA"/>
        </w:rPr>
        <w:t>2024</w:t>
      </w:r>
      <w:r>
        <w:rPr>
          <w:rFonts w:hint="default" w:ascii="Times New Roman" w:hAnsi="Times New Roman" w:eastAsia="方正仿宋_GBK" w:cs="Times New Roman"/>
          <w:sz w:val="32"/>
          <w:szCs w:val="32"/>
          <w:shd w:val="clear" w:color="auto" w:fill="FFFFFF"/>
        </w:rPr>
        <w:t>年度未发生公务车购置费支出</w:t>
      </w:r>
      <w:r>
        <w:rPr>
          <w:rFonts w:hint="eastAsia" w:ascii="Times New Roman" w:hAnsi="Times New Roman" w:eastAsia="方正仿宋_GBK" w:cs="Times New Roman"/>
          <w:sz w:val="32"/>
          <w:szCs w:val="32"/>
          <w:shd w:val="clear" w:color="auto" w:fill="FFFFFF"/>
          <w:lang w:eastAsia="zh-CN"/>
        </w:rPr>
        <w:t>，</w:t>
      </w:r>
      <w:r>
        <w:rPr>
          <w:rFonts w:hint="eastAsia" w:ascii="方正仿宋_GBK" w:hAnsi="方正仿宋_GBK" w:eastAsia="方正仿宋_GBK" w:cs="方正仿宋_GBK"/>
          <w:sz w:val="32"/>
          <w:szCs w:val="32"/>
          <w:highlight w:val="none"/>
          <w:lang w:val="en-US" w:eastAsia="zh-CN" w:bidi="ar-SA"/>
        </w:rPr>
        <w:t>与上年决算数持平</w:t>
      </w:r>
      <w:r>
        <w:rPr>
          <w:rFonts w:hint="default" w:ascii="Times New Roman" w:hAnsi="Times New Roman" w:eastAsia="方正仿宋_GBK" w:cs="Times New Roman"/>
          <w:sz w:val="32"/>
          <w:szCs w:val="32"/>
          <w:shd w:val="clear" w:color="auto" w:fill="FFFFFF"/>
        </w:rPr>
        <w:t>。</w:t>
      </w:r>
    </w:p>
    <w:p w14:paraId="73E7F9F2">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万元，费用支出较年初预算数无增减，主较上年支出数无增减，主要原因是</w:t>
      </w:r>
      <w:r>
        <w:rPr>
          <w:rFonts w:hint="default" w:ascii="Times New Roman" w:hAnsi="Times New Roman" w:eastAsia="方正仿宋_GBK" w:cs="Times New Roman"/>
          <w:b w:val="0"/>
          <w:bCs/>
          <w:color w:val="000000" w:themeColor="text1"/>
          <w:sz w:val="32"/>
          <w:szCs w:val="32"/>
          <w14:textFill>
            <w14:solidFill>
              <w14:schemeClr w14:val="tx1"/>
            </w14:solidFill>
          </w14:textFill>
        </w:rPr>
        <w:t>本单位202</w:t>
      </w: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b w:val="0"/>
          <w:bCs/>
          <w:color w:val="000000" w:themeColor="text1"/>
          <w:sz w:val="32"/>
          <w:szCs w:val="32"/>
          <w14:textFill>
            <w14:solidFill>
              <w14:schemeClr w14:val="tx1"/>
            </w14:solidFill>
          </w14:textFill>
        </w:rPr>
        <w:t>年度未发生</w:t>
      </w:r>
      <w:r>
        <w:rPr>
          <w:rFonts w:hint="default" w:ascii="Times New Roman" w:hAnsi="Times New Roman" w:eastAsia="方正仿宋_GBK" w:cs="Times New Roman"/>
          <w:b w:val="0"/>
          <w:bCs/>
          <w:color w:val="000000" w:themeColor="text1"/>
          <w:sz w:val="32"/>
          <w:szCs w:val="32"/>
          <w:lang w:eastAsia="zh-CN"/>
          <w14:textFill>
            <w14:solidFill>
              <w14:schemeClr w14:val="tx1"/>
            </w14:solidFill>
          </w14:textFill>
        </w:rPr>
        <w:t>财政预算</w:t>
      </w:r>
      <w:r>
        <w:rPr>
          <w:rFonts w:hint="default" w:ascii="Times New Roman" w:hAnsi="Times New Roman" w:eastAsia="方正仿宋_GBK" w:cs="Times New Roman"/>
          <w:sz w:val="32"/>
          <w:szCs w:val="32"/>
          <w:shd w:val="clear" w:color="auto" w:fill="FFFFFF"/>
        </w:rPr>
        <w:t>公务车运行维护</w:t>
      </w:r>
      <w:r>
        <w:rPr>
          <w:rFonts w:hint="default" w:ascii="Times New Roman" w:hAnsi="Times New Roman" w:eastAsia="方正仿宋_GBK" w:cs="Times New Roman"/>
          <w:b w:val="0"/>
          <w:bCs/>
          <w:color w:val="000000" w:themeColor="text1"/>
          <w:sz w:val="32"/>
          <w:szCs w:val="32"/>
          <w14:textFill>
            <w14:solidFill>
              <w14:schemeClr w14:val="tx1"/>
            </w14:solidFill>
          </w14:textFill>
        </w:rPr>
        <w:t>支出</w:t>
      </w:r>
      <w:r>
        <w:rPr>
          <w:rFonts w:hint="eastAsia" w:ascii="Times New Roman" w:hAnsi="Times New Roman" w:eastAsia="方正仿宋_GBK" w:cs="Times New Roman"/>
          <w:b w:val="0"/>
          <w:bCs/>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sz w:val="32"/>
          <w:szCs w:val="32"/>
          <w:highlight w:val="none"/>
          <w:lang w:val="en-US" w:eastAsia="zh-CN" w:bidi="ar-SA"/>
        </w:rPr>
        <w:t>与上年决算数持平</w:t>
      </w:r>
      <w:r>
        <w:rPr>
          <w:rFonts w:hint="default" w:ascii="Times New Roman" w:hAnsi="Times New Roman" w:eastAsia="方正仿宋_GBK" w:cs="Times New Roman"/>
          <w:b w:val="0"/>
          <w:bCs/>
          <w:color w:val="000000" w:themeColor="text1"/>
          <w:sz w:val="32"/>
          <w:szCs w:val="32"/>
          <w14:textFill>
            <w14:solidFill>
              <w14:schemeClr w14:val="tx1"/>
            </w14:solidFill>
          </w14:textFill>
        </w:rPr>
        <w:t>。</w:t>
      </w:r>
    </w:p>
    <w:p w14:paraId="3A042BD1">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万元，费用支出较年初预算数无增减，较上年支出数无增减，主要原因是本单位</w:t>
      </w:r>
      <w:r>
        <w:rPr>
          <w:rFonts w:hint="default" w:ascii="Times New Roman" w:hAnsi="Times New Roman" w:eastAsia="方正仿宋_GBK" w:cs="Times New Roman"/>
          <w:sz w:val="32"/>
          <w:szCs w:val="32"/>
          <w:lang w:val="en-US" w:eastAsia="zh-CN" w:bidi="ar-SA"/>
        </w:rPr>
        <w:t>2024</w:t>
      </w:r>
      <w:r>
        <w:rPr>
          <w:rFonts w:hint="default" w:ascii="Times New Roman" w:hAnsi="Times New Roman" w:eastAsia="方正仿宋_GBK" w:cs="Times New Roman"/>
          <w:sz w:val="32"/>
          <w:szCs w:val="32"/>
          <w:shd w:val="clear" w:color="auto" w:fill="FFFFFF"/>
        </w:rPr>
        <w:t>年度未发生公务接待费支出</w:t>
      </w:r>
      <w:r>
        <w:rPr>
          <w:rFonts w:hint="eastAsia" w:ascii="Times New Roman" w:hAnsi="Times New Roman" w:eastAsia="方正仿宋_GBK" w:cs="Times New Roman"/>
          <w:sz w:val="32"/>
          <w:szCs w:val="32"/>
          <w:shd w:val="clear" w:color="auto" w:fill="FFFFFF"/>
          <w:lang w:eastAsia="zh-CN"/>
        </w:rPr>
        <w:t>，</w:t>
      </w:r>
      <w:r>
        <w:rPr>
          <w:rFonts w:hint="eastAsia" w:ascii="方正仿宋_GBK" w:hAnsi="方正仿宋_GBK" w:eastAsia="方正仿宋_GBK" w:cs="方正仿宋_GBK"/>
          <w:sz w:val="32"/>
          <w:szCs w:val="32"/>
          <w:highlight w:val="none"/>
          <w:lang w:val="en-US" w:eastAsia="zh-CN" w:bidi="ar-SA"/>
        </w:rPr>
        <w:t>与上年决算数持平</w:t>
      </w:r>
      <w:r>
        <w:rPr>
          <w:rFonts w:hint="default" w:ascii="Times New Roman" w:hAnsi="Times New Roman" w:eastAsia="方正仿宋_GBK" w:cs="Times New Roman"/>
          <w:sz w:val="32"/>
          <w:szCs w:val="32"/>
          <w:shd w:val="clear" w:color="auto" w:fill="FFFFFF"/>
        </w:rPr>
        <w:t>。</w:t>
      </w:r>
    </w:p>
    <w:p w14:paraId="4758A3F5">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lang w:eastAsia="zh-CN"/>
        </w:rPr>
      </w:pPr>
      <w:r>
        <w:rPr>
          <w:rStyle w:val="11"/>
          <w:rFonts w:hint="default" w:ascii="Times New Roman" w:hAnsi="Times New Roman" w:eastAsia="方正楷体_GBK" w:cs="Times New Roman"/>
          <w:b w:val="0"/>
          <w:bCs/>
          <w:sz w:val="32"/>
          <w:szCs w:val="32"/>
          <w:shd w:val="clear" w:color="auto" w:fill="FFFFFF"/>
          <w:lang w:eastAsia="zh-CN"/>
        </w:rPr>
        <w:t>（三）</w:t>
      </w:r>
      <w:r>
        <w:rPr>
          <w:rStyle w:val="11"/>
          <w:rFonts w:hint="eastAsia" w:ascii="Times New Roman" w:hAnsi="Times New Roman" w:eastAsia="方正楷体_GBK" w:cs="Times New Roman"/>
          <w:b w:val="0"/>
          <w:bCs/>
          <w:sz w:val="32"/>
          <w:szCs w:val="32"/>
          <w:shd w:val="clear" w:color="auto" w:fill="FFFFFF"/>
          <w:lang w:eastAsia="zh-CN"/>
        </w:rPr>
        <w:t>“</w:t>
      </w:r>
      <w:r>
        <w:rPr>
          <w:rStyle w:val="11"/>
          <w:rFonts w:hint="default" w:ascii="Times New Roman" w:hAnsi="Times New Roman" w:eastAsia="方正楷体_GBK" w:cs="Times New Roman"/>
          <w:b w:val="0"/>
          <w:bCs/>
          <w:sz w:val="32"/>
          <w:szCs w:val="32"/>
          <w:shd w:val="clear" w:color="auto" w:fill="FFFFFF"/>
          <w:lang w:eastAsia="zh-CN"/>
        </w:rPr>
        <w:t>三公</w:t>
      </w:r>
      <w:r>
        <w:rPr>
          <w:rStyle w:val="11"/>
          <w:rFonts w:hint="eastAsia" w:ascii="Times New Roman" w:hAnsi="Times New Roman" w:eastAsia="方正楷体_GBK" w:cs="Times New Roman"/>
          <w:b w:val="0"/>
          <w:bCs/>
          <w:sz w:val="32"/>
          <w:szCs w:val="32"/>
          <w:shd w:val="clear" w:color="auto" w:fill="FFFFFF"/>
          <w:lang w:eastAsia="zh-CN"/>
        </w:rPr>
        <w:t>”</w:t>
      </w:r>
      <w:r>
        <w:rPr>
          <w:rStyle w:val="11"/>
          <w:rFonts w:hint="default" w:ascii="Times New Roman" w:hAnsi="Times New Roman" w:eastAsia="方正楷体_GBK" w:cs="Times New Roman"/>
          <w:b w:val="0"/>
          <w:bCs/>
          <w:sz w:val="32"/>
          <w:szCs w:val="32"/>
          <w:shd w:val="clear" w:color="auto" w:fill="FFFFFF"/>
          <w:lang w:eastAsia="zh-CN"/>
        </w:rPr>
        <w:t>经费实物量情况</w:t>
      </w:r>
    </w:p>
    <w:p w14:paraId="2ECA1B5B">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398F3697">
      <w:pPr>
        <w:keepNext w:val="0"/>
        <w:keepLines w:val="0"/>
        <w:pageBreakBefore w:val="0"/>
        <w:widowControl/>
        <w:kinsoku/>
        <w:wordWrap/>
        <w:overflowPunct/>
        <w:topLinePunct w:val="0"/>
        <w:autoSpaceDE/>
        <w:autoSpaceDN/>
        <w:bidi w:val="0"/>
        <w:adjustRightInd/>
        <w:spacing w:beforeAutospacing="0" w:afterAutospacing="0" w:line="600" w:lineRule="exact"/>
        <w:ind w:firstLine="640" w:firstLineChars="200"/>
        <w:jc w:val="left"/>
        <w:textAlignment w:val="auto"/>
        <w:rPr>
          <w:rFonts w:hint="default" w:ascii="Times New Roman" w:hAnsi="Times New Roman" w:eastAsia="方正黑体_GBK" w:cs="Times New Roman"/>
          <w:bCs/>
          <w:kern w:val="0"/>
          <w:sz w:val="32"/>
          <w:szCs w:val="32"/>
        </w:rPr>
      </w:pPr>
      <w:r>
        <w:rPr>
          <w:rFonts w:hint="default" w:ascii="Times New Roman" w:hAnsi="Times New Roman" w:eastAsia="方正黑体_GBK" w:cs="Times New Roman"/>
          <w:bCs/>
          <w:kern w:val="0"/>
          <w:sz w:val="32"/>
          <w:szCs w:val="32"/>
        </w:rPr>
        <w:t>四、其他需要说明的事项</w:t>
      </w:r>
    </w:p>
    <w:p w14:paraId="467EB4C7">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lang w:eastAsia="zh-CN"/>
        </w:rPr>
      </w:pPr>
      <w:r>
        <w:rPr>
          <w:rStyle w:val="11"/>
          <w:rFonts w:hint="default" w:ascii="Times New Roman" w:hAnsi="Times New Roman" w:eastAsia="方正楷体_GBK" w:cs="Times New Roman"/>
          <w:b w:val="0"/>
          <w:bCs/>
          <w:sz w:val="32"/>
          <w:szCs w:val="32"/>
          <w:shd w:val="clear" w:color="auto" w:fill="FFFFFF"/>
          <w:lang w:eastAsia="zh-CN"/>
        </w:rPr>
        <w:t>（一）财政拨款会议费和培训费情况说明</w:t>
      </w:r>
    </w:p>
    <w:p w14:paraId="0D9B677F">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0.76</w:t>
      </w:r>
      <w:r>
        <w:rPr>
          <w:rFonts w:hint="default" w:ascii="Times New Roman" w:hAnsi="Times New Roman" w:eastAsia="方正仿宋_GBK" w:cs="Times New Roman"/>
          <w:sz w:val="32"/>
          <w:szCs w:val="32"/>
          <w:shd w:val="clear" w:color="auto" w:fill="FFFFFF"/>
        </w:rPr>
        <w:t>万元，与2023年度相比，增加0.06万元，增长8.6%，</w:t>
      </w:r>
      <w:r>
        <w:rPr>
          <w:rFonts w:hint="default" w:ascii="Times New Roman" w:hAnsi="Times New Roman" w:eastAsia="方正仿宋_GBK" w:cs="Times New Roman"/>
          <w:sz w:val="32"/>
          <w:szCs w:val="32"/>
          <w:shd w:val="clear" w:color="auto" w:fill="FFFFFF"/>
          <w:lang w:val="en-US" w:eastAsia="zh-CN"/>
        </w:rPr>
        <w:t>比</w:t>
      </w:r>
      <w:r>
        <w:rPr>
          <w:rFonts w:hint="default" w:ascii="Times New Roman" w:hAnsi="Times New Roman" w:eastAsia="方正仿宋_GBK" w:cs="Times New Roman"/>
          <w:sz w:val="32"/>
          <w:szCs w:val="32"/>
          <w:shd w:val="clear" w:color="auto" w:fill="FFFFFF"/>
        </w:rPr>
        <w:t>上年</w:t>
      </w:r>
      <w:r>
        <w:rPr>
          <w:rFonts w:hint="default" w:ascii="Times New Roman" w:hAnsi="Times New Roman" w:eastAsia="方正仿宋_GBK" w:cs="Times New Roman"/>
          <w:sz w:val="32"/>
          <w:szCs w:val="32"/>
          <w:shd w:val="clear" w:color="auto" w:fill="FFFFFF"/>
          <w:lang w:val="en-US" w:eastAsia="zh-CN"/>
        </w:rPr>
        <w:t>略有增加</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28.03</w:t>
      </w:r>
      <w:r>
        <w:rPr>
          <w:rFonts w:hint="default" w:ascii="Times New Roman" w:hAnsi="Times New Roman" w:eastAsia="方正仿宋_GBK" w:cs="Times New Roman"/>
          <w:sz w:val="32"/>
          <w:szCs w:val="32"/>
          <w:shd w:val="clear" w:color="auto" w:fill="FFFFFF"/>
        </w:rPr>
        <w:t>万元，与2023年度相比，减少87.04万元，下降75.6%，主要原因是</w:t>
      </w:r>
      <w:r>
        <w:rPr>
          <w:rFonts w:hint="default" w:ascii="Times New Roman" w:hAnsi="Times New Roman" w:eastAsia="方正仿宋_GBK" w:cs="Times New Roman"/>
          <w:sz w:val="32"/>
          <w:szCs w:val="32"/>
          <w:shd w:val="clear" w:color="auto" w:fill="FFFFFF"/>
          <w:lang w:val="en-US" w:eastAsia="zh-CN"/>
        </w:rPr>
        <w:t>本单位2024年减少了</w:t>
      </w:r>
      <w:r>
        <w:rPr>
          <w:rFonts w:hint="default" w:ascii="Times New Roman" w:hAnsi="Times New Roman" w:eastAsia="方正仿宋_GBK" w:cs="Times New Roman"/>
          <w:sz w:val="32"/>
          <w:szCs w:val="32"/>
          <w:shd w:val="clear" w:color="auto" w:fill="FFFFFF"/>
        </w:rPr>
        <w:t>师资培训经费投入。</w:t>
      </w:r>
    </w:p>
    <w:p w14:paraId="0670458F">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lang w:eastAsia="zh-CN"/>
        </w:rPr>
      </w:pPr>
      <w:r>
        <w:rPr>
          <w:rStyle w:val="11"/>
          <w:rFonts w:hint="default" w:ascii="Times New Roman" w:hAnsi="Times New Roman" w:eastAsia="方正楷体_GBK" w:cs="Times New Roman"/>
          <w:b w:val="0"/>
          <w:bCs/>
          <w:sz w:val="32"/>
          <w:szCs w:val="32"/>
          <w:shd w:val="clear" w:color="auto" w:fill="FFFFFF"/>
          <w:lang w:eastAsia="zh-CN"/>
        </w:rPr>
        <w:t>（二）机关运行经费情况说明</w:t>
      </w:r>
    </w:p>
    <w:p w14:paraId="0316BA30">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按照部门决算列报口径，我单位不在机关运行经费统计范围之内。</w:t>
      </w:r>
    </w:p>
    <w:p w14:paraId="09DE7202">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lang w:eastAsia="zh-CN"/>
        </w:rPr>
      </w:pPr>
      <w:r>
        <w:rPr>
          <w:rStyle w:val="11"/>
          <w:rFonts w:hint="default" w:ascii="Times New Roman" w:hAnsi="Times New Roman" w:eastAsia="方正楷体_GBK" w:cs="Times New Roman"/>
          <w:b w:val="0"/>
          <w:bCs/>
          <w:sz w:val="32"/>
          <w:szCs w:val="32"/>
          <w:shd w:val="clear" w:color="auto" w:fill="FFFFFF"/>
          <w:lang w:eastAsia="zh-CN"/>
        </w:rPr>
        <w:t>（三）国有资产占用情况说明</w:t>
      </w:r>
    </w:p>
    <w:p w14:paraId="1762200A">
      <w:pPr>
        <w:keepNext w:val="0"/>
        <w:keepLines w:val="0"/>
        <w:pageBreakBefore w:val="0"/>
        <w:widowControl/>
        <w:kinsoku/>
        <w:wordWrap/>
        <w:overflowPunct/>
        <w:topLinePunct w:val="0"/>
        <w:autoSpaceDN/>
        <w:bidi w:val="0"/>
        <w:adjustRightInd/>
        <w:spacing w:beforeAutospacing="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5FFE273B">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lang w:val="en-US" w:eastAsia="zh-CN"/>
        </w:rPr>
      </w:pPr>
      <w:r>
        <w:rPr>
          <w:rStyle w:val="11"/>
          <w:rFonts w:hint="default" w:ascii="Times New Roman" w:hAnsi="Times New Roman" w:eastAsia="方正楷体_GBK" w:cs="Times New Roman"/>
          <w:b w:val="0"/>
          <w:bCs/>
          <w:sz w:val="32"/>
          <w:szCs w:val="32"/>
          <w:shd w:val="clear" w:color="auto" w:fill="FFFFFF"/>
          <w:lang w:val="en-US" w:eastAsia="zh-CN"/>
        </w:rPr>
        <w:t>（四）政府采购支出情况说明</w:t>
      </w:r>
    </w:p>
    <w:p w14:paraId="6F065F63">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政府采购支出总额</w:t>
      </w:r>
      <w:r>
        <w:rPr>
          <w:rFonts w:hint="default" w:ascii="Times New Roman" w:hAnsi="Times New Roman" w:eastAsia="方正仿宋_GBK" w:cs="Times New Roman"/>
          <w:sz w:val="32"/>
          <w:szCs w:val="32"/>
        </w:rPr>
        <w:t>336.38</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10.78</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237.80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87.80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248.58万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73.90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248.58</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73.90</w:t>
      </w:r>
      <w:r>
        <w:rPr>
          <w:rFonts w:hint="default" w:ascii="Times New Roman" w:hAnsi="Times New Roman" w:eastAsia="方正仿宋_GBK" w:cs="Times New Roman"/>
          <w:sz w:val="32"/>
          <w:szCs w:val="32"/>
          <w:shd w:val="clear" w:color="auto" w:fill="FFFFFF"/>
        </w:rPr>
        <w:t xml:space="preserve"> %。主要用于采购校舍维修改造。</w:t>
      </w:r>
    </w:p>
    <w:p w14:paraId="079557C6">
      <w:pPr>
        <w:keepNext w:val="0"/>
        <w:keepLines w:val="0"/>
        <w:pageBreakBefore w:val="0"/>
        <w:widowControl/>
        <w:kinsoku/>
        <w:wordWrap/>
        <w:overflowPunct/>
        <w:topLinePunct w:val="0"/>
        <w:autoSpaceDN/>
        <w:bidi w:val="0"/>
        <w:adjustRightInd/>
        <w:spacing w:beforeAutospacing="0" w:afterAutospacing="0" w:line="600" w:lineRule="exact"/>
        <w:ind w:firstLine="640" w:firstLineChars="200"/>
        <w:jc w:val="left"/>
        <w:textAlignment w:val="auto"/>
        <w:rPr>
          <w:rFonts w:hint="default" w:ascii="Times New Roman" w:hAnsi="Times New Roman" w:eastAsia="方正黑体_GBK" w:cs="Times New Roman"/>
          <w:bCs/>
          <w:kern w:val="0"/>
          <w:sz w:val="32"/>
          <w:szCs w:val="32"/>
          <w:lang w:val="en-US" w:eastAsia="zh-CN"/>
        </w:rPr>
      </w:pPr>
      <w:r>
        <w:rPr>
          <w:rFonts w:hint="default" w:ascii="Times New Roman" w:hAnsi="Times New Roman" w:eastAsia="方正黑体_GBK" w:cs="Times New Roman"/>
          <w:bCs/>
          <w:kern w:val="0"/>
          <w:sz w:val="32"/>
          <w:szCs w:val="32"/>
          <w:lang w:val="en-US" w:eastAsia="zh-CN"/>
        </w:rPr>
        <w:t>五、预算绩效管理情况说明</w:t>
      </w:r>
    </w:p>
    <w:p w14:paraId="10AFAFEC">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lang w:val="en-US" w:eastAsia="zh-CN"/>
        </w:rPr>
      </w:pPr>
      <w:r>
        <w:rPr>
          <w:rStyle w:val="11"/>
          <w:rFonts w:hint="default" w:ascii="Times New Roman" w:hAnsi="Times New Roman" w:eastAsia="方正楷体_GBK" w:cs="Times New Roman"/>
          <w:b w:val="0"/>
          <w:bCs/>
          <w:sz w:val="32"/>
          <w:szCs w:val="32"/>
          <w:shd w:val="clear" w:color="auto" w:fill="FFFFFF"/>
          <w:lang w:val="en-US" w:eastAsia="zh-CN"/>
        </w:rPr>
        <w:t>（一）单位自评情况</w:t>
      </w:r>
    </w:p>
    <w:p w14:paraId="2B5D3400">
      <w:pPr>
        <w:keepNext w:val="0"/>
        <w:keepLines w:val="0"/>
        <w:pageBreakBefore w:val="0"/>
        <w:widowControl/>
        <w:tabs>
          <w:tab w:val="center" w:pos="4153"/>
          <w:tab w:val="left" w:pos="7275"/>
        </w:tabs>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根据预算绩效管理要求，我单位对</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个项目开展了绩效自评，涉及财政拨款项</w:t>
      </w:r>
      <w:r>
        <w:rPr>
          <w:rFonts w:hint="default" w:ascii="Times New Roman" w:hAnsi="Times New Roman" w:eastAsia="方正仿宋_GBK" w:cs="Times New Roman"/>
          <w:sz w:val="32"/>
          <w:szCs w:val="32"/>
          <w:highlight w:val="none"/>
        </w:rPr>
        <w:t>目支出</w:t>
      </w:r>
      <w:r>
        <w:rPr>
          <w:rFonts w:hint="eastAsia" w:ascii="Times New Roman" w:hAnsi="Times New Roman" w:eastAsia="方正仿宋_GBK" w:cs="Times New Roman"/>
          <w:sz w:val="32"/>
          <w:szCs w:val="32"/>
          <w:highlight w:val="none"/>
          <w:lang w:val="en-US" w:eastAsia="zh-CN"/>
        </w:rPr>
        <w:t>1312.86</w:t>
      </w:r>
      <w:r>
        <w:rPr>
          <w:rFonts w:hint="default" w:ascii="Times New Roman" w:hAnsi="Times New Roman" w:eastAsia="方正仿宋_GBK" w:cs="Times New Roman"/>
          <w:sz w:val="32"/>
          <w:szCs w:val="32"/>
        </w:rPr>
        <w:t>万元。从评价情况来看，我单位项目立项规范、依据充分，绩效目标设置合理，资金到位及时、使用合规、执行有效，项目实施顺利、基本实现预定目标。</w:t>
      </w:r>
    </w:p>
    <w:p w14:paraId="44065812">
      <w:pPr>
        <w:tabs>
          <w:tab w:val="center" w:pos="4153"/>
          <w:tab w:val="left" w:pos="7275"/>
        </w:tabs>
        <w:spacing w:line="596" w:lineRule="exact"/>
        <w:jc w:val="center"/>
        <w:rPr>
          <w:rFonts w:hint="default" w:ascii="Times New Roman" w:hAnsi="Times New Roman" w:eastAsia="方正黑体_GBK" w:cs="Times New Roman"/>
          <w:kern w:val="0"/>
          <w:szCs w:val="32"/>
        </w:rPr>
      </w:pPr>
      <w:r>
        <w:rPr>
          <w:rFonts w:hint="default" w:ascii="Times New Roman" w:hAnsi="Times New Roman" w:eastAsia="方正黑体_GBK" w:cs="Times New Roman"/>
          <w:color w:val="000000"/>
          <w:kern w:val="0"/>
          <w:sz w:val="32"/>
          <w:szCs w:val="32"/>
          <w:lang w:val="en-US" w:eastAsia="zh-CN" w:bidi="ar"/>
        </w:rPr>
        <w:t>重庆市工艺美术学校</w:t>
      </w:r>
      <w:r>
        <w:rPr>
          <w:rFonts w:hint="default" w:ascii="Times New Roman" w:hAnsi="Times New Roman" w:eastAsia="方正黑体_GBK" w:cs="Times New Roman"/>
          <w:color w:val="000000"/>
          <w:kern w:val="0"/>
          <w:sz w:val="32"/>
          <w:szCs w:val="32"/>
          <w:lang w:bidi="ar"/>
        </w:rPr>
        <w:t>2024年度项目支出绩效自评表</w:t>
      </w:r>
    </w:p>
    <w:tbl>
      <w:tblPr>
        <w:tblStyle w:val="9"/>
        <w:tblW w:w="8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
        <w:gridCol w:w="739"/>
        <w:gridCol w:w="2074"/>
        <w:gridCol w:w="640"/>
        <w:gridCol w:w="900"/>
        <w:gridCol w:w="737"/>
        <w:gridCol w:w="627"/>
        <w:gridCol w:w="859"/>
        <w:gridCol w:w="682"/>
        <w:gridCol w:w="573"/>
        <w:gridCol w:w="619"/>
      </w:tblGrid>
      <w:tr w14:paraId="5FB36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383" w:type="dxa"/>
            <w:tcBorders>
              <w:top w:val="single" w:color="auto" w:sz="4" w:space="0"/>
            </w:tcBorders>
            <w:noWrap w:val="0"/>
            <w:vAlign w:val="center"/>
          </w:tcPr>
          <w:p w14:paraId="5FEDD50B">
            <w:pPr>
              <w:widowControl/>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序号</w:t>
            </w:r>
          </w:p>
        </w:tc>
        <w:tc>
          <w:tcPr>
            <w:tcW w:w="739" w:type="dxa"/>
            <w:tcBorders>
              <w:top w:val="single" w:color="auto" w:sz="4" w:space="0"/>
            </w:tcBorders>
            <w:noWrap w:val="0"/>
            <w:vAlign w:val="center"/>
          </w:tcPr>
          <w:p w14:paraId="16BAF0F7">
            <w:pPr>
              <w:widowControl/>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项目名称</w:t>
            </w:r>
          </w:p>
        </w:tc>
        <w:tc>
          <w:tcPr>
            <w:tcW w:w="2074" w:type="dxa"/>
            <w:tcBorders>
              <w:top w:val="single" w:color="auto" w:sz="4" w:space="0"/>
            </w:tcBorders>
            <w:noWrap w:val="0"/>
            <w:vAlign w:val="center"/>
          </w:tcPr>
          <w:p w14:paraId="76425147">
            <w:pPr>
              <w:widowControl/>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指标名称</w:t>
            </w:r>
          </w:p>
        </w:tc>
        <w:tc>
          <w:tcPr>
            <w:tcW w:w="640" w:type="dxa"/>
            <w:tcBorders>
              <w:top w:val="single" w:color="auto" w:sz="4" w:space="0"/>
            </w:tcBorders>
            <w:noWrap w:val="0"/>
            <w:vAlign w:val="center"/>
          </w:tcPr>
          <w:p w14:paraId="20A9CCF1">
            <w:pPr>
              <w:widowControl/>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指标性质</w:t>
            </w:r>
          </w:p>
        </w:tc>
        <w:tc>
          <w:tcPr>
            <w:tcW w:w="900" w:type="dxa"/>
            <w:tcBorders>
              <w:top w:val="single" w:color="auto" w:sz="4" w:space="0"/>
            </w:tcBorders>
            <w:noWrap w:val="0"/>
            <w:vAlign w:val="center"/>
          </w:tcPr>
          <w:p w14:paraId="40B0482E">
            <w:pPr>
              <w:widowControl/>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指标值</w:t>
            </w:r>
          </w:p>
        </w:tc>
        <w:tc>
          <w:tcPr>
            <w:tcW w:w="737" w:type="dxa"/>
            <w:tcBorders>
              <w:top w:val="single" w:color="auto" w:sz="4" w:space="0"/>
            </w:tcBorders>
            <w:noWrap w:val="0"/>
            <w:vAlign w:val="center"/>
          </w:tcPr>
          <w:p w14:paraId="5F46F942">
            <w:pPr>
              <w:widowControl/>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计量单位</w:t>
            </w:r>
          </w:p>
        </w:tc>
        <w:tc>
          <w:tcPr>
            <w:tcW w:w="627" w:type="dxa"/>
            <w:tcBorders>
              <w:top w:val="single" w:color="auto" w:sz="4" w:space="0"/>
            </w:tcBorders>
            <w:noWrap w:val="0"/>
            <w:vAlign w:val="center"/>
          </w:tcPr>
          <w:p w14:paraId="43B30384">
            <w:pPr>
              <w:widowControl/>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指标权重</w:t>
            </w:r>
          </w:p>
        </w:tc>
        <w:tc>
          <w:tcPr>
            <w:tcW w:w="859" w:type="dxa"/>
            <w:tcBorders>
              <w:top w:val="single" w:color="auto" w:sz="4" w:space="0"/>
            </w:tcBorders>
            <w:noWrap w:val="0"/>
            <w:vAlign w:val="center"/>
          </w:tcPr>
          <w:p w14:paraId="2E51D9B2">
            <w:pPr>
              <w:widowControl/>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全年完成值</w:t>
            </w:r>
          </w:p>
        </w:tc>
        <w:tc>
          <w:tcPr>
            <w:tcW w:w="682" w:type="dxa"/>
            <w:tcBorders>
              <w:top w:val="single" w:color="auto" w:sz="4" w:space="0"/>
            </w:tcBorders>
            <w:noWrap w:val="0"/>
            <w:vAlign w:val="center"/>
          </w:tcPr>
          <w:p w14:paraId="4B2F844F">
            <w:pPr>
              <w:widowControl/>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指标得分</w:t>
            </w:r>
          </w:p>
        </w:tc>
        <w:tc>
          <w:tcPr>
            <w:tcW w:w="573" w:type="dxa"/>
            <w:tcBorders>
              <w:top w:val="single" w:color="auto" w:sz="4" w:space="0"/>
            </w:tcBorders>
            <w:noWrap w:val="0"/>
            <w:vAlign w:val="center"/>
          </w:tcPr>
          <w:p w14:paraId="1522E756">
            <w:pPr>
              <w:widowControl/>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说明</w:t>
            </w:r>
          </w:p>
        </w:tc>
        <w:tc>
          <w:tcPr>
            <w:tcW w:w="619" w:type="dxa"/>
            <w:tcBorders>
              <w:top w:val="single" w:color="auto" w:sz="4" w:space="0"/>
            </w:tcBorders>
            <w:noWrap w:val="0"/>
            <w:vAlign w:val="center"/>
          </w:tcPr>
          <w:p w14:paraId="74B545B8">
            <w:pPr>
              <w:widowControl/>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自评得分</w:t>
            </w:r>
          </w:p>
        </w:tc>
      </w:tr>
      <w:tr w14:paraId="6282F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3" w:type="dxa"/>
            <w:vMerge w:val="restart"/>
            <w:noWrap/>
            <w:vAlign w:val="center"/>
          </w:tcPr>
          <w:p w14:paraId="6D6CBA6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w:t>
            </w:r>
          </w:p>
        </w:tc>
        <w:tc>
          <w:tcPr>
            <w:tcW w:w="739" w:type="dxa"/>
            <w:vMerge w:val="restart"/>
            <w:noWrap/>
            <w:vAlign w:val="center"/>
          </w:tcPr>
          <w:p w14:paraId="7ED2DDE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2024年中等职业学校国家奖学金</w:t>
            </w:r>
          </w:p>
        </w:tc>
        <w:tc>
          <w:tcPr>
            <w:tcW w:w="2074" w:type="dxa"/>
            <w:noWrap/>
            <w:vAlign w:val="center"/>
          </w:tcPr>
          <w:p w14:paraId="2616213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执行率</w:t>
            </w:r>
          </w:p>
        </w:tc>
        <w:tc>
          <w:tcPr>
            <w:tcW w:w="640" w:type="dxa"/>
            <w:noWrap/>
            <w:vAlign w:val="center"/>
          </w:tcPr>
          <w:p w14:paraId="455D7F3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900" w:type="dxa"/>
            <w:noWrap/>
            <w:vAlign w:val="center"/>
          </w:tcPr>
          <w:p w14:paraId="02AB222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100</w:t>
            </w:r>
          </w:p>
        </w:tc>
        <w:tc>
          <w:tcPr>
            <w:tcW w:w="737" w:type="dxa"/>
            <w:noWrap/>
            <w:vAlign w:val="center"/>
          </w:tcPr>
          <w:p w14:paraId="4FB0767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627" w:type="dxa"/>
            <w:noWrap/>
            <w:vAlign w:val="center"/>
          </w:tcPr>
          <w:p w14:paraId="7AA0644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w:t>
            </w:r>
          </w:p>
        </w:tc>
        <w:tc>
          <w:tcPr>
            <w:tcW w:w="859" w:type="dxa"/>
            <w:noWrap/>
            <w:vAlign w:val="center"/>
          </w:tcPr>
          <w:p w14:paraId="0A74831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100</w:t>
            </w:r>
          </w:p>
        </w:tc>
        <w:tc>
          <w:tcPr>
            <w:tcW w:w="682" w:type="dxa"/>
            <w:noWrap/>
            <w:vAlign w:val="center"/>
          </w:tcPr>
          <w:p w14:paraId="61C78B9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w:t>
            </w:r>
          </w:p>
        </w:tc>
        <w:tc>
          <w:tcPr>
            <w:tcW w:w="573" w:type="dxa"/>
            <w:noWrap/>
            <w:vAlign w:val="center"/>
          </w:tcPr>
          <w:p w14:paraId="419ABB6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p>
        </w:tc>
        <w:tc>
          <w:tcPr>
            <w:tcW w:w="619" w:type="dxa"/>
            <w:vMerge w:val="restart"/>
            <w:noWrap/>
            <w:vAlign w:val="center"/>
          </w:tcPr>
          <w:p w14:paraId="760C4F9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100</w:t>
            </w:r>
          </w:p>
        </w:tc>
      </w:tr>
      <w:tr w14:paraId="49963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3" w:type="dxa"/>
            <w:vMerge w:val="continue"/>
            <w:noWrap/>
            <w:vAlign w:val="center"/>
          </w:tcPr>
          <w:p w14:paraId="0FC0CDB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000000"/>
                <w:sz w:val="20"/>
                <w:szCs w:val="20"/>
              </w:rPr>
            </w:pPr>
          </w:p>
        </w:tc>
        <w:tc>
          <w:tcPr>
            <w:tcW w:w="739" w:type="dxa"/>
            <w:vMerge w:val="continue"/>
            <w:noWrap/>
            <w:vAlign w:val="center"/>
          </w:tcPr>
          <w:p w14:paraId="58A37D7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p>
        </w:tc>
        <w:tc>
          <w:tcPr>
            <w:tcW w:w="2074" w:type="dxa"/>
            <w:noWrap/>
            <w:vAlign w:val="center"/>
          </w:tcPr>
          <w:p w14:paraId="0BD56B1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项目成本</w:t>
            </w:r>
          </w:p>
        </w:tc>
        <w:tc>
          <w:tcPr>
            <w:tcW w:w="640" w:type="dxa"/>
            <w:noWrap/>
            <w:vAlign w:val="center"/>
          </w:tcPr>
          <w:p w14:paraId="19AD6D5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Times New Roman" w:hAnsi="Times New Roman" w:eastAsia="方正仿宋_GBK" w:cs="Times New Roman"/>
                <w:color w:val="000000"/>
                <w:sz w:val="20"/>
                <w:szCs w:val="20"/>
                <w:lang w:eastAsia="zh-CN"/>
              </w:rPr>
            </w:pPr>
            <w:r>
              <w:rPr>
                <w:rFonts w:hint="eastAsia" w:ascii="Times New Roman" w:hAnsi="Times New Roman" w:eastAsia="方正仿宋_GBK" w:cs="Times New Roman"/>
                <w:color w:val="000000"/>
                <w:sz w:val="20"/>
                <w:szCs w:val="20"/>
                <w:lang w:val="en-US" w:eastAsia="zh-CN"/>
              </w:rPr>
              <w:t>=</w:t>
            </w:r>
          </w:p>
        </w:tc>
        <w:tc>
          <w:tcPr>
            <w:tcW w:w="900" w:type="dxa"/>
            <w:noWrap/>
            <w:vAlign w:val="center"/>
          </w:tcPr>
          <w:p w14:paraId="732D4D1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48000</w:t>
            </w:r>
          </w:p>
        </w:tc>
        <w:tc>
          <w:tcPr>
            <w:tcW w:w="737" w:type="dxa"/>
            <w:noWrap/>
            <w:vAlign w:val="center"/>
          </w:tcPr>
          <w:p w14:paraId="27BA23E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元</w:t>
            </w:r>
          </w:p>
        </w:tc>
        <w:tc>
          <w:tcPr>
            <w:tcW w:w="627" w:type="dxa"/>
            <w:noWrap/>
            <w:vAlign w:val="center"/>
          </w:tcPr>
          <w:p w14:paraId="027BDAE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10</w:t>
            </w:r>
          </w:p>
        </w:tc>
        <w:tc>
          <w:tcPr>
            <w:tcW w:w="859" w:type="dxa"/>
            <w:noWrap/>
            <w:vAlign w:val="center"/>
          </w:tcPr>
          <w:p w14:paraId="03D22B4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48000</w:t>
            </w:r>
          </w:p>
        </w:tc>
        <w:tc>
          <w:tcPr>
            <w:tcW w:w="682" w:type="dxa"/>
            <w:noWrap/>
            <w:vAlign w:val="center"/>
          </w:tcPr>
          <w:p w14:paraId="26B38A3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10</w:t>
            </w:r>
          </w:p>
        </w:tc>
        <w:tc>
          <w:tcPr>
            <w:tcW w:w="573" w:type="dxa"/>
            <w:noWrap/>
            <w:vAlign w:val="center"/>
          </w:tcPr>
          <w:p w14:paraId="15625B0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p>
        </w:tc>
        <w:tc>
          <w:tcPr>
            <w:tcW w:w="619" w:type="dxa"/>
            <w:vMerge w:val="continue"/>
            <w:noWrap/>
            <w:vAlign w:val="center"/>
          </w:tcPr>
          <w:p w14:paraId="21C4A8B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p>
        </w:tc>
      </w:tr>
      <w:tr w14:paraId="459A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3" w:type="dxa"/>
            <w:vMerge w:val="continue"/>
            <w:noWrap/>
            <w:vAlign w:val="center"/>
          </w:tcPr>
          <w:p w14:paraId="243C695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000000"/>
                <w:sz w:val="20"/>
                <w:szCs w:val="20"/>
              </w:rPr>
            </w:pPr>
          </w:p>
        </w:tc>
        <w:tc>
          <w:tcPr>
            <w:tcW w:w="739" w:type="dxa"/>
            <w:vMerge w:val="continue"/>
            <w:noWrap/>
            <w:vAlign w:val="center"/>
          </w:tcPr>
          <w:p w14:paraId="58AFBBB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p>
        </w:tc>
        <w:tc>
          <w:tcPr>
            <w:tcW w:w="2074" w:type="dxa"/>
            <w:noWrap/>
            <w:vAlign w:val="center"/>
          </w:tcPr>
          <w:p w14:paraId="22D3820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项目资金到位时间</w:t>
            </w:r>
          </w:p>
        </w:tc>
        <w:tc>
          <w:tcPr>
            <w:tcW w:w="640" w:type="dxa"/>
            <w:noWrap/>
            <w:vAlign w:val="center"/>
          </w:tcPr>
          <w:p w14:paraId="6C1DBE4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lang w:val="en-US" w:eastAsia="zh-CN"/>
              </w:rPr>
              <w:t>=</w:t>
            </w:r>
          </w:p>
        </w:tc>
        <w:tc>
          <w:tcPr>
            <w:tcW w:w="900" w:type="dxa"/>
            <w:noWrap/>
            <w:vAlign w:val="center"/>
          </w:tcPr>
          <w:p w14:paraId="42DB9A9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2024</w:t>
            </w:r>
          </w:p>
        </w:tc>
        <w:tc>
          <w:tcPr>
            <w:tcW w:w="737" w:type="dxa"/>
            <w:noWrap/>
            <w:vAlign w:val="center"/>
          </w:tcPr>
          <w:p w14:paraId="739E8D6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年</w:t>
            </w:r>
          </w:p>
        </w:tc>
        <w:tc>
          <w:tcPr>
            <w:tcW w:w="627" w:type="dxa"/>
            <w:noWrap/>
            <w:vAlign w:val="center"/>
          </w:tcPr>
          <w:p w14:paraId="470C54C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20</w:t>
            </w:r>
          </w:p>
        </w:tc>
        <w:tc>
          <w:tcPr>
            <w:tcW w:w="859" w:type="dxa"/>
            <w:noWrap/>
            <w:vAlign w:val="center"/>
          </w:tcPr>
          <w:p w14:paraId="429C3C6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2024</w:t>
            </w:r>
          </w:p>
        </w:tc>
        <w:tc>
          <w:tcPr>
            <w:tcW w:w="682" w:type="dxa"/>
            <w:noWrap/>
            <w:vAlign w:val="center"/>
          </w:tcPr>
          <w:p w14:paraId="11BC142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20</w:t>
            </w:r>
          </w:p>
        </w:tc>
        <w:tc>
          <w:tcPr>
            <w:tcW w:w="573" w:type="dxa"/>
            <w:noWrap/>
            <w:vAlign w:val="center"/>
          </w:tcPr>
          <w:p w14:paraId="3E852D49">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20"/>
                <w:szCs w:val="20"/>
              </w:rPr>
            </w:pPr>
          </w:p>
        </w:tc>
        <w:tc>
          <w:tcPr>
            <w:tcW w:w="619" w:type="dxa"/>
            <w:vMerge w:val="continue"/>
            <w:noWrap/>
            <w:vAlign w:val="center"/>
          </w:tcPr>
          <w:p w14:paraId="1B194995">
            <w:pPr>
              <w:jc w:val="center"/>
              <w:rPr>
                <w:rFonts w:hint="default" w:ascii="Times New Roman" w:hAnsi="Times New Roman" w:cs="Times New Roman"/>
                <w:color w:val="000000"/>
                <w:sz w:val="20"/>
                <w:szCs w:val="20"/>
              </w:rPr>
            </w:pPr>
          </w:p>
        </w:tc>
      </w:tr>
      <w:tr w14:paraId="3CE78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3" w:type="dxa"/>
            <w:vMerge w:val="continue"/>
            <w:noWrap/>
            <w:vAlign w:val="center"/>
          </w:tcPr>
          <w:p w14:paraId="179D132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000000"/>
                <w:sz w:val="20"/>
                <w:szCs w:val="20"/>
              </w:rPr>
            </w:pPr>
          </w:p>
        </w:tc>
        <w:tc>
          <w:tcPr>
            <w:tcW w:w="739" w:type="dxa"/>
            <w:vMerge w:val="continue"/>
            <w:noWrap/>
            <w:vAlign w:val="center"/>
          </w:tcPr>
          <w:p w14:paraId="41AFEF8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p>
        </w:tc>
        <w:tc>
          <w:tcPr>
            <w:tcW w:w="2074" w:type="dxa"/>
            <w:noWrap/>
            <w:vAlign w:val="center"/>
          </w:tcPr>
          <w:p w14:paraId="63B2185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中等职业教育国家奖学金奖励人数</w:t>
            </w:r>
          </w:p>
        </w:tc>
        <w:tc>
          <w:tcPr>
            <w:tcW w:w="640" w:type="dxa"/>
            <w:noWrap/>
            <w:vAlign w:val="center"/>
          </w:tcPr>
          <w:p w14:paraId="1CC2492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900" w:type="dxa"/>
            <w:noWrap/>
            <w:vAlign w:val="center"/>
          </w:tcPr>
          <w:p w14:paraId="62E61FC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8</w:t>
            </w:r>
          </w:p>
        </w:tc>
        <w:tc>
          <w:tcPr>
            <w:tcW w:w="737" w:type="dxa"/>
            <w:noWrap/>
            <w:vAlign w:val="center"/>
          </w:tcPr>
          <w:p w14:paraId="11EDB9D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人</w:t>
            </w:r>
          </w:p>
        </w:tc>
        <w:tc>
          <w:tcPr>
            <w:tcW w:w="627" w:type="dxa"/>
            <w:noWrap/>
            <w:vAlign w:val="center"/>
          </w:tcPr>
          <w:p w14:paraId="555A675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10</w:t>
            </w:r>
          </w:p>
        </w:tc>
        <w:tc>
          <w:tcPr>
            <w:tcW w:w="859" w:type="dxa"/>
            <w:noWrap/>
            <w:vAlign w:val="center"/>
          </w:tcPr>
          <w:p w14:paraId="1268EB9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8</w:t>
            </w:r>
          </w:p>
        </w:tc>
        <w:tc>
          <w:tcPr>
            <w:tcW w:w="682" w:type="dxa"/>
            <w:noWrap/>
            <w:vAlign w:val="center"/>
          </w:tcPr>
          <w:p w14:paraId="728EC25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10</w:t>
            </w:r>
          </w:p>
        </w:tc>
        <w:tc>
          <w:tcPr>
            <w:tcW w:w="573" w:type="dxa"/>
            <w:noWrap/>
            <w:vAlign w:val="center"/>
          </w:tcPr>
          <w:p w14:paraId="564B57E1">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20"/>
                <w:szCs w:val="20"/>
              </w:rPr>
            </w:pPr>
          </w:p>
        </w:tc>
        <w:tc>
          <w:tcPr>
            <w:tcW w:w="619" w:type="dxa"/>
            <w:vMerge w:val="continue"/>
            <w:noWrap/>
            <w:vAlign w:val="center"/>
          </w:tcPr>
          <w:p w14:paraId="3E864771">
            <w:pPr>
              <w:jc w:val="center"/>
              <w:rPr>
                <w:rFonts w:hint="default" w:ascii="Times New Roman" w:hAnsi="Times New Roman" w:cs="Times New Roman"/>
                <w:color w:val="000000"/>
                <w:sz w:val="20"/>
                <w:szCs w:val="20"/>
              </w:rPr>
            </w:pPr>
          </w:p>
        </w:tc>
      </w:tr>
      <w:tr w14:paraId="1117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3" w:type="dxa"/>
            <w:vMerge w:val="continue"/>
            <w:noWrap/>
            <w:vAlign w:val="center"/>
          </w:tcPr>
          <w:p w14:paraId="64236E8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000000"/>
                <w:sz w:val="20"/>
                <w:szCs w:val="20"/>
              </w:rPr>
            </w:pPr>
          </w:p>
        </w:tc>
        <w:tc>
          <w:tcPr>
            <w:tcW w:w="739" w:type="dxa"/>
            <w:vMerge w:val="continue"/>
            <w:noWrap/>
            <w:vAlign w:val="center"/>
          </w:tcPr>
          <w:p w14:paraId="6416109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p>
        </w:tc>
        <w:tc>
          <w:tcPr>
            <w:tcW w:w="2074" w:type="dxa"/>
            <w:noWrap/>
            <w:vAlign w:val="center"/>
          </w:tcPr>
          <w:p w14:paraId="15BF8B8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资助资金及时到位率</w:t>
            </w:r>
          </w:p>
        </w:tc>
        <w:tc>
          <w:tcPr>
            <w:tcW w:w="640" w:type="dxa"/>
            <w:noWrap/>
            <w:vAlign w:val="center"/>
          </w:tcPr>
          <w:p w14:paraId="15FBADB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900" w:type="dxa"/>
            <w:noWrap/>
            <w:vAlign w:val="center"/>
          </w:tcPr>
          <w:p w14:paraId="620B006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100</w:t>
            </w:r>
          </w:p>
        </w:tc>
        <w:tc>
          <w:tcPr>
            <w:tcW w:w="737" w:type="dxa"/>
            <w:noWrap/>
            <w:vAlign w:val="center"/>
          </w:tcPr>
          <w:p w14:paraId="7193FB8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627" w:type="dxa"/>
            <w:noWrap/>
            <w:vAlign w:val="center"/>
          </w:tcPr>
          <w:p w14:paraId="773BA05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10</w:t>
            </w:r>
          </w:p>
        </w:tc>
        <w:tc>
          <w:tcPr>
            <w:tcW w:w="859" w:type="dxa"/>
            <w:noWrap/>
            <w:vAlign w:val="center"/>
          </w:tcPr>
          <w:p w14:paraId="31710A5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100</w:t>
            </w:r>
          </w:p>
        </w:tc>
        <w:tc>
          <w:tcPr>
            <w:tcW w:w="682" w:type="dxa"/>
            <w:noWrap/>
            <w:vAlign w:val="center"/>
          </w:tcPr>
          <w:p w14:paraId="7115A3E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10</w:t>
            </w:r>
          </w:p>
        </w:tc>
        <w:tc>
          <w:tcPr>
            <w:tcW w:w="573" w:type="dxa"/>
            <w:noWrap/>
            <w:vAlign w:val="center"/>
          </w:tcPr>
          <w:p w14:paraId="3B516C69">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20"/>
                <w:szCs w:val="20"/>
              </w:rPr>
            </w:pPr>
          </w:p>
        </w:tc>
        <w:tc>
          <w:tcPr>
            <w:tcW w:w="619" w:type="dxa"/>
            <w:vMerge w:val="continue"/>
            <w:noWrap/>
            <w:vAlign w:val="center"/>
          </w:tcPr>
          <w:p w14:paraId="1D660D8A">
            <w:pPr>
              <w:jc w:val="center"/>
              <w:rPr>
                <w:rFonts w:hint="default" w:ascii="Times New Roman" w:hAnsi="Times New Roman" w:cs="Times New Roman"/>
                <w:color w:val="000000"/>
                <w:sz w:val="20"/>
                <w:szCs w:val="20"/>
              </w:rPr>
            </w:pPr>
          </w:p>
        </w:tc>
      </w:tr>
      <w:tr w14:paraId="65DF2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3" w:type="dxa"/>
            <w:vMerge w:val="continue"/>
            <w:noWrap/>
            <w:vAlign w:val="center"/>
          </w:tcPr>
          <w:p w14:paraId="23C9839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000000"/>
                <w:sz w:val="20"/>
                <w:szCs w:val="20"/>
              </w:rPr>
            </w:pPr>
          </w:p>
        </w:tc>
        <w:tc>
          <w:tcPr>
            <w:tcW w:w="739" w:type="dxa"/>
            <w:vMerge w:val="continue"/>
            <w:noWrap/>
            <w:vAlign w:val="center"/>
          </w:tcPr>
          <w:p w14:paraId="7549EF6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p>
        </w:tc>
        <w:tc>
          <w:tcPr>
            <w:tcW w:w="2074" w:type="dxa"/>
            <w:noWrap/>
            <w:vAlign w:val="center"/>
          </w:tcPr>
          <w:p w14:paraId="2A72000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保证学生顺利完成学业</w:t>
            </w:r>
          </w:p>
        </w:tc>
        <w:tc>
          <w:tcPr>
            <w:tcW w:w="640" w:type="dxa"/>
            <w:noWrap/>
            <w:vAlign w:val="center"/>
          </w:tcPr>
          <w:p w14:paraId="046D84E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900" w:type="dxa"/>
            <w:noWrap/>
            <w:vAlign w:val="center"/>
          </w:tcPr>
          <w:p w14:paraId="2FFA25D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100</w:t>
            </w:r>
          </w:p>
        </w:tc>
        <w:tc>
          <w:tcPr>
            <w:tcW w:w="737" w:type="dxa"/>
            <w:noWrap/>
            <w:vAlign w:val="center"/>
          </w:tcPr>
          <w:p w14:paraId="59CF2A9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w:t>
            </w:r>
          </w:p>
        </w:tc>
        <w:tc>
          <w:tcPr>
            <w:tcW w:w="627" w:type="dxa"/>
            <w:noWrap/>
            <w:vAlign w:val="center"/>
          </w:tcPr>
          <w:p w14:paraId="24E58D5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15</w:t>
            </w:r>
          </w:p>
        </w:tc>
        <w:tc>
          <w:tcPr>
            <w:tcW w:w="859" w:type="dxa"/>
            <w:noWrap/>
            <w:vAlign w:val="center"/>
          </w:tcPr>
          <w:p w14:paraId="5A6ECD4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100</w:t>
            </w:r>
          </w:p>
        </w:tc>
        <w:tc>
          <w:tcPr>
            <w:tcW w:w="682" w:type="dxa"/>
            <w:noWrap/>
            <w:vAlign w:val="center"/>
          </w:tcPr>
          <w:p w14:paraId="7251585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15</w:t>
            </w:r>
          </w:p>
        </w:tc>
        <w:tc>
          <w:tcPr>
            <w:tcW w:w="573" w:type="dxa"/>
            <w:noWrap/>
            <w:vAlign w:val="center"/>
          </w:tcPr>
          <w:p w14:paraId="6CFB3020">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20"/>
                <w:szCs w:val="20"/>
              </w:rPr>
            </w:pPr>
          </w:p>
        </w:tc>
        <w:tc>
          <w:tcPr>
            <w:tcW w:w="619" w:type="dxa"/>
            <w:vMerge w:val="continue"/>
            <w:noWrap/>
            <w:vAlign w:val="center"/>
          </w:tcPr>
          <w:p w14:paraId="6EF0CAED">
            <w:pPr>
              <w:jc w:val="center"/>
              <w:rPr>
                <w:rFonts w:hint="default" w:ascii="Times New Roman" w:hAnsi="Times New Roman" w:cs="Times New Roman"/>
                <w:color w:val="000000"/>
                <w:sz w:val="20"/>
                <w:szCs w:val="20"/>
              </w:rPr>
            </w:pPr>
          </w:p>
        </w:tc>
      </w:tr>
      <w:tr w14:paraId="76D60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3" w:type="dxa"/>
            <w:vMerge w:val="continue"/>
            <w:noWrap/>
            <w:vAlign w:val="center"/>
          </w:tcPr>
          <w:p w14:paraId="3B22100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000000"/>
                <w:sz w:val="20"/>
                <w:szCs w:val="20"/>
              </w:rPr>
            </w:pPr>
          </w:p>
        </w:tc>
        <w:tc>
          <w:tcPr>
            <w:tcW w:w="739" w:type="dxa"/>
            <w:vMerge w:val="continue"/>
            <w:noWrap/>
            <w:vAlign w:val="center"/>
          </w:tcPr>
          <w:p w14:paraId="06AFBBB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p>
        </w:tc>
        <w:tc>
          <w:tcPr>
            <w:tcW w:w="2074" w:type="dxa"/>
            <w:noWrap/>
            <w:vAlign w:val="center"/>
          </w:tcPr>
          <w:p w14:paraId="37D914E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项目作用时间</w:t>
            </w:r>
          </w:p>
        </w:tc>
        <w:tc>
          <w:tcPr>
            <w:tcW w:w="640" w:type="dxa"/>
            <w:noWrap/>
            <w:vAlign w:val="center"/>
          </w:tcPr>
          <w:p w14:paraId="7DF60BB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w:t>
            </w:r>
          </w:p>
        </w:tc>
        <w:tc>
          <w:tcPr>
            <w:tcW w:w="900" w:type="dxa"/>
            <w:noWrap/>
            <w:vAlign w:val="center"/>
          </w:tcPr>
          <w:p w14:paraId="6B3809B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1</w:t>
            </w:r>
          </w:p>
        </w:tc>
        <w:tc>
          <w:tcPr>
            <w:tcW w:w="737" w:type="dxa"/>
            <w:noWrap/>
            <w:vAlign w:val="center"/>
          </w:tcPr>
          <w:p w14:paraId="6F60B17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年</w:t>
            </w:r>
          </w:p>
        </w:tc>
        <w:tc>
          <w:tcPr>
            <w:tcW w:w="627" w:type="dxa"/>
            <w:noWrap/>
            <w:vAlign w:val="center"/>
          </w:tcPr>
          <w:p w14:paraId="6A1FAF3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15</w:t>
            </w:r>
          </w:p>
        </w:tc>
        <w:tc>
          <w:tcPr>
            <w:tcW w:w="859" w:type="dxa"/>
            <w:noWrap/>
            <w:vAlign w:val="center"/>
          </w:tcPr>
          <w:p w14:paraId="6257CFA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1</w:t>
            </w:r>
          </w:p>
        </w:tc>
        <w:tc>
          <w:tcPr>
            <w:tcW w:w="682" w:type="dxa"/>
            <w:noWrap/>
            <w:vAlign w:val="center"/>
          </w:tcPr>
          <w:p w14:paraId="4E4BBC9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15</w:t>
            </w:r>
          </w:p>
        </w:tc>
        <w:tc>
          <w:tcPr>
            <w:tcW w:w="573" w:type="dxa"/>
            <w:noWrap/>
            <w:vAlign w:val="center"/>
          </w:tcPr>
          <w:p w14:paraId="0CA967C2">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20"/>
                <w:szCs w:val="20"/>
              </w:rPr>
            </w:pPr>
          </w:p>
        </w:tc>
        <w:tc>
          <w:tcPr>
            <w:tcW w:w="619" w:type="dxa"/>
            <w:vMerge w:val="continue"/>
            <w:noWrap/>
            <w:vAlign w:val="center"/>
          </w:tcPr>
          <w:p w14:paraId="30161E8D">
            <w:pPr>
              <w:jc w:val="center"/>
              <w:rPr>
                <w:rFonts w:hint="default" w:ascii="Times New Roman" w:hAnsi="Times New Roman" w:cs="Times New Roman"/>
                <w:color w:val="000000"/>
                <w:sz w:val="20"/>
                <w:szCs w:val="20"/>
              </w:rPr>
            </w:pPr>
          </w:p>
        </w:tc>
      </w:tr>
      <w:tr w14:paraId="0EBD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3" w:type="dxa"/>
            <w:vMerge w:val="continue"/>
            <w:noWrap/>
            <w:vAlign w:val="center"/>
          </w:tcPr>
          <w:p w14:paraId="13F48CA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000000"/>
                <w:sz w:val="20"/>
                <w:szCs w:val="20"/>
              </w:rPr>
            </w:pPr>
          </w:p>
        </w:tc>
        <w:tc>
          <w:tcPr>
            <w:tcW w:w="739" w:type="dxa"/>
            <w:vMerge w:val="continue"/>
            <w:noWrap/>
            <w:vAlign w:val="center"/>
          </w:tcPr>
          <w:p w14:paraId="7F53B8A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p>
        </w:tc>
        <w:tc>
          <w:tcPr>
            <w:tcW w:w="2074" w:type="dxa"/>
            <w:noWrap/>
            <w:vAlign w:val="center"/>
          </w:tcPr>
          <w:p w14:paraId="521B5D0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师生满意度</w:t>
            </w:r>
          </w:p>
        </w:tc>
        <w:tc>
          <w:tcPr>
            <w:tcW w:w="640" w:type="dxa"/>
            <w:noWrap/>
            <w:vAlign w:val="center"/>
          </w:tcPr>
          <w:p w14:paraId="3DCE08B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900" w:type="dxa"/>
            <w:noWrap/>
            <w:vAlign w:val="center"/>
          </w:tcPr>
          <w:p w14:paraId="48DF7FF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95</w:t>
            </w:r>
          </w:p>
        </w:tc>
        <w:tc>
          <w:tcPr>
            <w:tcW w:w="737" w:type="dxa"/>
            <w:noWrap/>
            <w:vAlign w:val="center"/>
          </w:tcPr>
          <w:p w14:paraId="74CB76F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627" w:type="dxa"/>
            <w:noWrap/>
            <w:vAlign w:val="center"/>
          </w:tcPr>
          <w:p w14:paraId="472DDF1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w:t>
            </w:r>
          </w:p>
        </w:tc>
        <w:tc>
          <w:tcPr>
            <w:tcW w:w="859" w:type="dxa"/>
            <w:noWrap/>
            <w:vAlign w:val="center"/>
          </w:tcPr>
          <w:p w14:paraId="3B57B2C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95</w:t>
            </w:r>
          </w:p>
        </w:tc>
        <w:tc>
          <w:tcPr>
            <w:tcW w:w="682" w:type="dxa"/>
            <w:noWrap/>
            <w:vAlign w:val="center"/>
          </w:tcPr>
          <w:p w14:paraId="7A228E7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w:t>
            </w:r>
          </w:p>
        </w:tc>
        <w:tc>
          <w:tcPr>
            <w:tcW w:w="573" w:type="dxa"/>
            <w:noWrap/>
            <w:vAlign w:val="center"/>
          </w:tcPr>
          <w:p w14:paraId="1D68078E">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20"/>
                <w:szCs w:val="20"/>
              </w:rPr>
            </w:pPr>
          </w:p>
        </w:tc>
        <w:tc>
          <w:tcPr>
            <w:tcW w:w="619" w:type="dxa"/>
            <w:vMerge w:val="continue"/>
            <w:noWrap/>
            <w:vAlign w:val="center"/>
          </w:tcPr>
          <w:p w14:paraId="362942DE">
            <w:pPr>
              <w:jc w:val="center"/>
              <w:rPr>
                <w:rFonts w:hint="default" w:ascii="Times New Roman" w:hAnsi="Times New Roman" w:cs="Times New Roman"/>
                <w:color w:val="000000"/>
                <w:sz w:val="20"/>
                <w:szCs w:val="20"/>
              </w:rPr>
            </w:pPr>
          </w:p>
        </w:tc>
      </w:tr>
    </w:tbl>
    <w:p w14:paraId="308684C8">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lang w:val="en-US" w:eastAsia="zh-CN"/>
        </w:rPr>
      </w:pPr>
      <w:r>
        <w:rPr>
          <w:rStyle w:val="11"/>
          <w:rFonts w:hint="default" w:ascii="Times New Roman" w:hAnsi="Times New Roman" w:eastAsia="方正楷体_GBK" w:cs="Times New Roman"/>
          <w:b w:val="0"/>
          <w:bCs/>
          <w:sz w:val="32"/>
          <w:szCs w:val="32"/>
          <w:shd w:val="clear" w:color="auto" w:fill="FFFFFF"/>
          <w:lang w:val="en-US" w:eastAsia="zh-CN"/>
        </w:rPr>
        <w:t>（二）单位重点绩效评价情况</w:t>
      </w:r>
    </w:p>
    <w:p w14:paraId="4D2532EB">
      <w:pPr>
        <w:keepNext w:val="0"/>
        <w:keepLines w:val="0"/>
        <w:pageBreakBefore w:val="0"/>
        <w:widowControl/>
        <w:numPr>
          <w:ilvl w:val="0"/>
          <w:numId w:val="0"/>
        </w:numPr>
        <w:tabs>
          <w:tab w:val="center" w:pos="4153"/>
          <w:tab w:val="left" w:pos="7275"/>
        </w:tabs>
        <w:kinsoku/>
        <w:wordWrap/>
        <w:overflowPunct/>
        <w:topLinePunct w:val="0"/>
        <w:autoSpaceDE/>
        <w:autoSpaceDN/>
        <w:bidi w:val="0"/>
        <w:adjustRightInd/>
        <w:snapToGrid/>
        <w:spacing w:line="600" w:lineRule="exact"/>
        <w:ind w:leftChars="0" w:firstLine="640" w:firstLineChars="200"/>
        <w:textAlignment w:val="auto"/>
        <w:rPr>
          <w:rStyle w:val="11"/>
          <w:rFonts w:hint="default" w:ascii="Times New Roman" w:hAnsi="Times New Roman" w:eastAsia="方正仿宋_GBK" w:cs="Times New Roman"/>
          <w:b w:val="0"/>
          <w:bCs/>
          <w:sz w:val="32"/>
          <w:szCs w:val="32"/>
          <w:highlight w:val="none"/>
          <w:shd w:val="clear" w:color="auto" w:fill="FFFFFF"/>
          <w:lang w:val="en-US" w:eastAsia="zh-CN" w:bidi="ar-SA"/>
        </w:rPr>
      </w:pPr>
      <w:r>
        <w:rPr>
          <w:rStyle w:val="11"/>
          <w:rFonts w:hint="default" w:ascii="Times New Roman" w:hAnsi="Times New Roman" w:eastAsia="方正仿宋_GBK" w:cs="Times New Roman"/>
          <w:b w:val="0"/>
          <w:bCs/>
          <w:sz w:val="32"/>
          <w:szCs w:val="32"/>
          <w:highlight w:val="none"/>
          <w:shd w:val="clear" w:color="auto" w:fill="FFFFFF"/>
          <w:lang w:val="en-US" w:eastAsia="zh-CN" w:bidi="ar-SA"/>
        </w:rPr>
        <w:t>本单位2024年无重点绩效评价。</w:t>
      </w:r>
    </w:p>
    <w:p w14:paraId="592F73F7">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lang w:val="en-US" w:eastAsia="zh-CN"/>
        </w:rPr>
      </w:pPr>
      <w:r>
        <w:rPr>
          <w:rStyle w:val="11"/>
          <w:rFonts w:hint="default" w:ascii="Times New Roman" w:hAnsi="Times New Roman" w:eastAsia="方正楷体_GBK" w:cs="Times New Roman"/>
          <w:b w:val="0"/>
          <w:bCs/>
          <w:sz w:val="32"/>
          <w:szCs w:val="32"/>
          <w:shd w:val="clear" w:color="auto" w:fill="FFFFFF"/>
          <w:lang w:val="en-US" w:eastAsia="zh-CN"/>
        </w:rPr>
        <w:t>（三）财政绩效评价情况</w:t>
      </w:r>
    </w:p>
    <w:p w14:paraId="56729FA1">
      <w:pPr>
        <w:keepNext w:val="0"/>
        <w:keepLines w:val="0"/>
        <w:pageBreakBefore w:val="0"/>
        <w:widowControl/>
        <w:tabs>
          <w:tab w:val="center" w:pos="4153"/>
          <w:tab w:val="left" w:pos="7275"/>
        </w:tabs>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财政重点绩效评价由区财政局统一公开。</w:t>
      </w:r>
    </w:p>
    <w:p w14:paraId="43EFC454">
      <w:pPr>
        <w:keepNext w:val="0"/>
        <w:keepLines w:val="0"/>
        <w:pageBreakBefore w:val="0"/>
        <w:widowControl/>
        <w:kinsoku/>
        <w:wordWrap/>
        <w:overflowPunct/>
        <w:topLinePunct w:val="0"/>
        <w:autoSpaceDN/>
        <w:bidi w:val="0"/>
        <w:adjustRightInd/>
        <w:spacing w:beforeAutospacing="0" w:afterAutospacing="0" w:line="600" w:lineRule="exact"/>
        <w:ind w:firstLine="640" w:firstLineChars="200"/>
        <w:jc w:val="left"/>
        <w:textAlignment w:val="auto"/>
        <w:rPr>
          <w:rFonts w:hint="default" w:ascii="Times New Roman" w:hAnsi="Times New Roman" w:eastAsia="方正黑体_GBK" w:cs="Times New Roman"/>
          <w:bCs/>
          <w:kern w:val="0"/>
          <w:sz w:val="32"/>
          <w:szCs w:val="32"/>
          <w:lang w:val="en-US" w:eastAsia="zh-CN"/>
        </w:rPr>
      </w:pPr>
      <w:r>
        <w:rPr>
          <w:rFonts w:hint="default" w:ascii="Times New Roman" w:hAnsi="Times New Roman" w:eastAsia="方正黑体_GBK" w:cs="Times New Roman"/>
          <w:bCs/>
          <w:kern w:val="0"/>
          <w:sz w:val="32"/>
          <w:szCs w:val="32"/>
          <w:lang w:val="en-US" w:eastAsia="zh-CN"/>
        </w:rPr>
        <w:t>六、专业名词解释</w:t>
      </w:r>
    </w:p>
    <w:p w14:paraId="20D6553B">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leftChars="0"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（一）财政拨款收入</w:t>
      </w:r>
      <w:r>
        <w:rPr>
          <w:rStyle w:val="11"/>
          <w:rFonts w:hint="default" w:ascii="Times New Roman" w:hAnsi="Times New Roman" w:eastAsia="方正仿宋_GBK" w:cs="Times New Roman"/>
          <w:b w:val="0"/>
          <w:bCs/>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fill="FFFFFF"/>
        </w:rPr>
        <w:t>指本年度从本级财政</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取得的财政拨款，包括一般公共预算财政拨款和政府性基金预算财政拨款。</w:t>
      </w:r>
    </w:p>
    <w:p w14:paraId="28647798">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leftChars="0"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（二）事业收入</w:t>
      </w:r>
      <w:r>
        <w:rPr>
          <w:rStyle w:val="11"/>
          <w:rFonts w:hint="default" w:ascii="Times New Roman" w:hAnsi="Times New Roman" w:eastAsia="方正仿宋_GBK" w:cs="Times New Roman"/>
          <w:b w:val="0"/>
          <w:bCs/>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14:paraId="4D75E8C9">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leftChars="0"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14:paraId="432E86A4">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leftChars="0"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财政拨款收入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事业收入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经营收入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以外的同级单位取得的经费、从非本级财政</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取得的经费，以及行政单位收到的财政专户管理资金反映在本项内。</w:t>
      </w:r>
    </w:p>
    <w:p w14:paraId="10242BC4">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leftChars="0"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（五）使用非财政拨款结余</w:t>
      </w:r>
      <w:r>
        <w:rPr>
          <w:rStyle w:val="11"/>
          <w:rFonts w:hint="default" w:ascii="Times New Roman" w:hAnsi="Times New Roman" w:eastAsia="方正仿宋_GBK" w:cs="Times New Roman"/>
          <w:b w:val="0"/>
          <w:bCs/>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fill="FFFFFF"/>
        </w:rPr>
        <w:t>指单位在当年的</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财政拨款收入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事业收入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经营收入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其他收入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等不足以安排当年支出的情况下，使用以前年度积累的非财政拨款结余弥补本年度收支缺口的资金。</w:t>
      </w:r>
    </w:p>
    <w:p w14:paraId="1AE66D15">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leftChars="0"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（六）年初结转和结余</w:t>
      </w:r>
      <w:r>
        <w:rPr>
          <w:rStyle w:val="11"/>
          <w:rFonts w:hint="default" w:ascii="Times New Roman" w:hAnsi="Times New Roman" w:eastAsia="方正仿宋_GBK" w:cs="Times New Roman"/>
          <w:b w:val="0"/>
          <w:bCs/>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0B634697">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leftChars="0"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（七）结余分配</w:t>
      </w:r>
      <w:r>
        <w:rPr>
          <w:rStyle w:val="11"/>
          <w:rFonts w:hint="default" w:ascii="Times New Roman" w:hAnsi="Times New Roman" w:eastAsia="方正仿宋_GBK" w:cs="Times New Roman"/>
          <w:b w:val="0"/>
          <w:bCs/>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21F097BF">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leftChars="0"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（八）年末结转和结余</w:t>
      </w:r>
      <w:r>
        <w:rPr>
          <w:rStyle w:val="11"/>
          <w:rFonts w:hint="default" w:ascii="Times New Roman" w:hAnsi="Times New Roman" w:eastAsia="方正仿宋_GBK" w:cs="Times New Roman"/>
          <w:b w:val="0"/>
          <w:bCs/>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4E86796A">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leftChars="0"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（九）基本支出</w:t>
      </w:r>
      <w:r>
        <w:rPr>
          <w:rStyle w:val="11"/>
          <w:rFonts w:hint="default" w:ascii="Times New Roman" w:hAnsi="Times New Roman" w:eastAsia="方正仿宋_GBK" w:cs="Times New Roman"/>
          <w:b w:val="0"/>
          <w:bCs/>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工资福利支出</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和</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对个人和家庭的补助</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；公用经费指政府收支分类经济科目中除</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工资福利支出</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和</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对个人和家庭的补助</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外的其他支出。</w:t>
      </w:r>
    </w:p>
    <w:p w14:paraId="355D3F17">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leftChars="0"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（十）项目支出</w:t>
      </w:r>
      <w:r>
        <w:rPr>
          <w:rStyle w:val="11"/>
          <w:rFonts w:hint="default" w:ascii="Times New Roman" w:hAnsi="Times New Roman" w:eastAsia="方正仿宋_GBK" w:cs="Times New Roman"/>
          <w:b w:val="0"/>
          <w:bCs/>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3E04A7F3">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leftChars="0"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（十一）经营支出</w:t>
      </w:r>
      <w:r>
        <w:rPr>
          <w:rStyle w:val="11"/>
          <w:rFonts w:hint="default" w:ascii="Times New Roman" w:hAnsi="Times New Roman" w:eastAsia="方正仿宋_GBK" w:cs="Times New Roman"/>
          <w:b w:val="0"/>
          <w:bCs/>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6D15B2E2">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leftChars="0"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（十二）</w:t>
      </w:r>
      <w:r>
        <w:rPr>
          <w:rStyle w:val="11"/>
          <w:rFonts w:hint="eastAsia" w:ascii="Times New Roman" w:hAnsi="Times New Roman" w:eastAsia="方正楷体_GBK" w:cs="Times New Roman"/>
          <w:b w:val="0"/>
          <w:bCs/>
          <w:sz w:val="32"/>
          <w:szCs w:val="32"/>
          <w:shd w:val="clear" w:color="auto" w:fill="FFFFFF"/>
          <w:lang w:val="en-US" w:eastAsia="zh-CN" w:bidi="ar-SA"/>
        </w:rPr>
        <w:t>“</w:t>
      </w:r>
      <w:r>
        <w:rPr>
          <w:rStyle w:val="11"/>
          <w:rFonts w:hint="default" w:ascii="Times New Roman" w:hAnsi="Times New Roman" w:eastAsia="方正楷体_GBK" w:cs="Times New Roman"/>
          <w:b w:val="0"/>
          <w:bCs/>
          <w:sz w:val="32"/>
          <w:szCs w:val="32"/>
          <w:shd w:val="clear" w:color="auto" w:fill="FFFFFF"/>
          <w:lang w:val="en-US" w:eastAsia="zh-CN" w:bidi="ar-SA"/>
        </w:rPr>
        <w:t>三公</w:t>
      </w:r>
      <w:r>
        <w:rPr>
          <w:rStyle w:val="11"/>
          <w:rFonts w:hint="eastAsia" w:ascii="Times New Roman" w:hAnsi="Times New Roman" w:eastAsia="方正楷体_GBK" w:cs="Times New Roman"/>
          <w:b w:val="0"/>
          <w:bCs/>
          <w:sz w:val="32"/>
          <w:szCs w:val="32"/>
          <w:shd w:val="clear" w:color="auto" w:fill="FFFFFF"/>
          <w:lang w:val="en-US" w:eastAsia="zh-CN" w:bidi="ar-SA"/>
        </w:rPr>
        <w:t>”</w:t>
      </w:r>
      <w:r>
        <w:rPr>
          <w:rStyle w:val="11"/>
          <w:rFonts w:hint="default" w:ascii="Times New Roman" w:hAnsi="Times New Roman" w:eastAsia="方正楷体_GBK" w:cs="Times New Roman"/>
          <w:b w:val="0"/>
          <w:bCs/>
          <w:sz w:val="32"/>
          <w:szCs w:val="32"/>
          <w:shd w:val="clear" w:color="auto" w:fill="FFFFFF"/>
          <w:lang w:val="en-US" w:eastAsia="zh-CN" w:bidi="ar-SA"/>
        </w:rPr>
        <w:t>经费</w:t>
      </w:r>
      <w:r>
        <w:rPr>
          <w:rStyle w:val="11"/>
          <w:rFonts w:hint="default" w:ascii="Times New Roman" w:hAnsi="Times New Roman" w:eastAsia="方正仿宋_GBK" w:cs="Times New Roman"/>
          <w:b w:val="0"/>
          <w:bCs/>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6254D2F">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leftChars="0"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（十三）机关运行经费</w:t>
      </w:r>
      <w:r>
        <w:rPr>
          <w:rStyle w:val="11"/>
          <w:rFonts w:hint="default" w:ascii="Times New Roman" w:hAnsi="Times New Roman" w:eastAsia="方正仿宋_GBK" w:cs="Times New Roman"/>
          <w:b w:val="0"/>
          <w:bCs/>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B01C834">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leftChars="0"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（十四）工资福利支出（支出经济分类科目类级）</w:t>
      </w:r>
      <w:r>
        <w:rPr>
          <w:rStyle w:val="11"/>
          <w:rFonts w:hint="default" w:ascii="Times New Roman" w:hAnsi="Times New Roman" w:eastAsia="方正仿宋_GBK" w:cs="Times New Roman"/>
          <w:b w:val="0"/>
          <w:bCs/>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40393766">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leftChars="0"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（十五）商品和服务支出（支出经济分类科目类级）</w:t>
      </w:r>
      <w:r>
        <w:rPr>
          <w:rStyle w:val="11"/>
          <w:rFonts w:hint="default"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4F6A5698">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leftChars="0"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（十六）对个人和家庭的补助（支出经济分类科目类级）</w:t>
      </w:r>
      <w:r>
        <w:rPr>
          <w:rStyle w:val="11"/>
          <w:rFonts w:hint="default" w:ascii="Times New Roman" w:hAnsi="Times New Roman" w:eastAsia="方正楷体_GBK" w:cs="Times New Roman"/>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fill="FFFFFF"/>
        </w:rPr>
        <w:t>反映用于对个人和家庭的补助支出。</w:t>
      </w:r>
    </w:p>
    <w:p w14:paraId="57FCAD97">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leftChars="0"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（十七）其他资本性支出（支出经济分类科目类级）</w:t>
      </w:r>
      <w:r>
        <w:rPr>
          <w:rStyle w:val="11"/>
          <w:rFonts w:hint="default"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fill="FFFFFF"/>
        </w:rPr>
        <w:t>反映非各级发展与改革</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集中安排的用于购置固定资产、战略性和应急性储备、土地和无形资产，以及构建基础设施、大型修缮和财政支持企业更新改造所发生的支出。</w:t>
      </w:r>
    </w:p>
    <w:p w14:paraId="6E5A9553">
      <w:pPr>
        <w:keepNext w:val="0"/>
        <w:keepLines w:val="0"/>
        <w:pageBreakBefore w:val="0"/>
        <w:widowControl/>
        <w:kinsoku/>
        <w:wordWrap/>
        <w:overflowPunct/>
        <w:topLinePunct w:val="0"/>
        <w:autoSpaceDN/>
        <w:bidi w:val="0"/>
        <w:adjustRightInd/>
        <w:spacing w:beforeAutospacing="0" w:afterAutospacing="0" w:line="600" w:lineRule="exact"/>
        <w:ind w:firstLine="640" w:firstLineChars="200"/>
        <w:jc w:val="left"/>
        <w:textAlignment w:val="auto"/>
        <w:rPr>
          <w:rFonts w:hint="default" w:ascii="Times New Roman" w:hAnsi="Times New Roman" w:eastAsia="方正黑体_GBK" w:cs="Times New Roman"/>
          <w:bCs/>
          <w:kern w:val="0"/>
          <w:sz w:val="32"/>
          <w:szCs w:val="32"/>
          <w:lang w:val="en-US" w:eastAsia="zh-CN"/>
        </w:rPr>
      </w:pPr>
      <w:r>
        <w:rPr>
          <w:rFonts w:hint="default" w:ascii="Times New Roman" w:hAnsi="Times New Roman" w:eastAsia="方正黑体_GBK" w:cs="Times New Roman"/>
          <w:bCs/>
          <w:kern w:val="0"/>
          <w:sz w:val="32"/>
          <w:szCs w:val="32"/>
          <w:lang w:val="en-US" w:eastAsia="zh-CN"/>
        </w:rPr>
        <w:t>七、决算公开联系方式及信息反馈渠道</w:t>
      </w:r>
    </w:p>
    <w:p w14:paraId="321FC96D">
      <w:pPr>
        <w:pStyle w:val="8"/>
        <w:keepNext w:val="0"/>
        <w:keepLines w:val="0"/>
        <w:pageBreakBefore w:val="0"/>
        <w:widowControl/>
        <w:shd w:val="clear" w:color="auto" w:fill="FFFFFF"/>
        <w:kinsoku/>
        <w:wordWrap/>
        <w:overflowPunct/>
        <w:topLinePunct w:val="0"/>
        <w:autoSpaceDN/>
        <w:bidi w:val="0"/>
        <w:adjustRightInd/>
        <w:snapToGrid w:val="0"/>
        <w:spacing w:before="0" w:beforeAutospacing="0" w:after="0" w:afterAutospacing="0" w:line="600" w:lineRule="exact"/>
        <w:ind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本单位决算公开信息反馈和联系方式：023-68507808</w:t>
      </w:r>
    </w:p>
    <w:p w14:paraId="13DD9FAA">
      <w:pPr>
        <w:keepNext w:val="0"/>
        <w:keepLines w:val="0"/>
        <w:pageBreakBefore w:val="0"/>
        <w:widowControl/>
        <w:kinsoku/>
        <w:wordWrap/>
        <w:overflowPunct/>
        <w:topLinePunct w:val="0"/>
        <w:autoSpaceDN/>
        <w:bidi w:val="0"/>
        <w:adjustRightInd w:val="0"/>
        <w:snapToGrid w:val="0"/>
        <w:spacing w:line="600" w:lineRule="exact"/>
        <w:ind w:leftChars="0" w:firstLine="640" w:firstLineChars="200"/>
        <w:jc w:val="left"/>
        <w:textAlignment w:val="auto"/>
        <w:rPr>
          <w:rFonts w:hint="default" w:ascii="Times New Roman" w:hAnsi="Times New Roman" w:eastAsia="方正仿宋_GBK" w:cs="Times New Roman"/>
          <w:kern w:val="0"/>
          <w:sz w:val="32"/>
          <w:szCs w:val="32"/>
          <w:shd w:val="clear" w:fill="FFFFFF"/>
          <w:lang w:val="en-US" w:eastAsia="zh-CN" w:bidi="ar-SA"/>
        </w:rPr>
      </w:pPr>
    </w:p>
    <w:p w14:paraId="1E9B67FE">
      <w:pPr>
        <w:keepNext w:val="0"/>
        <w:keepLines w:val="0"/>
        <w:pageBreakBefore w:val="0"/>
        <w:widowControl/>
        <w:kinsoku/>
        <w:wordWrap/>
        <w:overflowPunct/>
        <w:topLinePunct w:val="0"/>
        <w:autoSpaceDN/>
        <w:bidi w:val="0"/>
        <w:adjustRightInd w:val="0"/>
        <w:snapToGrid w:val="0"/>
        <w:spacing w:line="600" w:lineRule="exact"/>
        <w:ind w:leftChars="0" w:firstLine="640" w:firstLineChars="200"/>
        <w:jc w:val="left"/>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附件：1.收入支出决算总表</w:t>
      </w:r>
    </w:p>
    <w:p w14:paraId="05E6019D">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2.收入决算表</w:t>
      </w:r>
    </w:p>
    <w:p w14:paraId="185D9743">
      <w:pPr>
        <w:keepNext w:val="0"/>
        <w:keepLines w:val="0"/>
        <w:pageBreakBefore w:val="0"/>
        <w:widowControl/>
        <w:kinsoku/>
        <w:wordWrap/>
        <w:overflowPunct/>
        <w:topLinePunct w:val="0"/>
        <w:autoSpaceDN/>
        <w:bidi w:val="0"/>
        <w:adjustRightInd w:val="0"/>
        <w:snapToGrid w:val="0"/>
        <w:spacing w:line="600" w:lineRule="exact"/>
        <w:ind w:leftChars="0" w:firstLine="1600" w:firstLineChars="500"/>
        <w:jc w:val="left"/>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3.支出决算表</w:t>
      </w:r>
    </w:p>
    <w:p w14:paraId="0BE517FD">
      <w:pPr>
        <w:keepNext w:val="0"/>
        <w:keepLines w:val="0"/>
        <w:pageBreakBefore w:val="0"/>
        <w:widowControl/>
        <w:kinsoku/>
        <w:wordWrap/>
        <w:overflowPunct/>
        <w:topLinePunct w:val="0"/>
        <w:autoSpaceDN/>
        <w:bidi w:val="0"/>
        <w:adjustRightInd w:val="0"/>
        <w:snapToGrid w:val="0"/>
        <w:spacing w:line="600" w:lineRule="exact"/>
        <w:ind w:leftChars="0" w:firstLine="1600" w:firstLineChars="500"/>
        <w:jc w:val="left"/>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4.财政拨款收入支出决算总表</w:t>
      </w:r>
    </w:p>
    <w:p w14:paraId="208CE2FA">
      <w:pPr>
        <w:keepNext w:val="0"/>
        <w:keepLines w:val="0"/>
        <w:pageBreakBefore w:val="0"/>
        <w:widowControl/>
        <w:kinsoku/>
        <w:wordWrap/>
        <w:overflowPunct/>
        <w:topLinePunct w:val="0"/>
        <w:autoSpaceDN/>
        <w:bidi w:val="0"/>
        <w:adjustRightInd w:val="0"/>
        <w:snapToGrid w:val="0"/>
        <w:spacing w:line="600" w:lineRule="exact"/>
        <w:ind w:leftChars="0" w:firstLine="1600" w:firstLineChars="500"/>
        <w:jc w:val="left"/>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5.一般公共预算财政拨款支出决算表</w:t>
      </w:r>
    </w:p>
    <w:p w14:paraId="1AE64E66">
      <w:pPr>
        <w:keepNext w:val="0"/>
        <w:keepLines w:val="0"/>
        <w:pageBreakBefore w:val="0"/>
        <w:widowControl/>
        <w:kinsoku/>
        <w:wordWrap/>
        <w:overflowPunct/>
        <w:topLinePunct w:val="0"/>
        <w:autoSpaceDN/>
        <w:bidi w:val="0"/>
        <w:adjustRightInd w:val="0"/>
        <w:snapToGrid w:val="0"/>
        <w:spacing w:line="600" w:lineRule="exact"/>
        <w:ind w:leftChars="0" w:firstLine="1600" w:firstLineChars="500"/>
        <w:jc w:val="left"/>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6.一般公共预算财政拨款基本支出决算表</w:t>
      </w:r>
    </w:p>
    <w:p w14:paraId="302448C3">
      <w:pPr>
        <w:keepNext w:val="0"/>
        <w:keepLines w:val="0"/>
        <w:pageBreakBefore w:val="0"/>
        <w:widowControl/>
        <w:kinsoku/>
        <w:wordWrap/>
        <w:overflowPunct/>
        <w:topLinePunct w:val="0"/>
        <w:autoSpaceDN/>
        <w:bidi w:val="0"/>
        <w:adjustRightInd w:val="0"/>
        <w:snapToGrid w:val="0"/>
        <w:spacing w:line="600" w:lineRule="exact"/>
        <w:ind w:leftChars="0" w:firstLine="1600" w:firstLineChars="500"/>
        <w:jc w:val="left"/>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7.政府性基金预算财政拨款收入支出决算表</w:t>
      </w:r>
    </w:p>
    <w:p w14:paraId="3661690E">
      <w:pPr>
        <w:keepNext w:val="0"/>
        <w:keepLines w:val="0"/>
        <w:pageBreakBefore w:val="0"/>
        <w:widowControl/>
        <w:kinsoku/>
        <w:wordWrap/>
        <w:overflowPunct/>
        <w:topLinePunct w:val="0"/>
        <w:autoSpaceDN/>
        <w:bidi w:val="0"/>
        <w:adjustRightInd w:val="0"/>
        <w:snapToGrid w:val="0"/>
        <w:spacing w:line="600" w:lineRule="exact"/>
        <w:ind w:leftChars="0" w:firstLine="1600" w:firstLineChars="500"/>
        <w:jc w:val="left"/>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8.国有资本经营预算财政拨款支出决算表</w:t>
      </w:r>
    </w:p>
    <w:p w14:paraId="3DC0F21F">
      <w:pPr>
        <w:pStyle w:val="12"/>
        <w:keepNext w:val="0"/>
        <w:keepLines w:val="0"/>
        <w:pageBreakBefore w:val="0"/>
        <w:widowControl/>
        <w:kinsoku/>
        <w:wordWrap/>
        <w:overflowPunct/>
        <w:topLinePunct w:val="0"/>
        <w:autoSpaceDE w:val="0"/>
        <w:autoSpaceDN/>
        <w:bidi w:val="0"/>
        <w:adjustRightInd/>
        <w:snapToGrid/>
        <w:spacing w:beforeAutospacing="0" w:afterAutospacing="0" w:line="600" w:lineRule="exact"/>
        <w:ind w:leftChars="0" w:firstLine="1600" w:firstLineChars="5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9.机构运行信息表</w:t>
      </w:r>
    </w:p>
    <w:p w14:paraId="0A61742F">
      <w:pPr>
        <w:pStyle w:val="12"/>
        <w:keepNext w:val="0"/>
        <w:keepLines w:val="0"/>
        <w:pageBreakBefore w:val="0"/>
        <w:widowControl/>
        <w:kinsoku/>
        <w:wordWrap/>
        <w:overflowPunct/>
        <w:topLinePunct w:val="0"/>
        <w:autoSpaceDE w:val="0"/>
        <w:autoSpaceDN/>
        <w:bidi w:val="0"/>
        <w:spacing w:line="600" w:lineRule="exact"/>
        <w:ind w:leftChars="0" w:firstLine="643" w:firstLineChars="200"/>
        <w:jc w:val="both"/>
        <w:textAlignment w:val="auto"/>
        <w:rPr>
          <w:rStyle w:val="11"/>
          <w:rFonts w:hint="default" w:ascii="Times New Roman" w:hAnsi="Times New Roman" w:eastAsia="方正仿宋_GBK" w:cs="Times New Roman"/>
          <w:sz w:val="32"/>
          <w:szCs w:val="32"/>
          <w:shd w:val="clear" w:color="auto" w:fill="FFFF00"/>
        </w:rPr>
        <w:sectPr>
          <w:footerReference r:id="rId3" w:type="default"/>
          <w:pgSz w:w="11915" w:h="16840"/>
          <w:pgMar w:top="2098" w:right="1531" w:bottom="1984" w:left="1531" w:header="851" w:footer="992" w:gutter="0"/>
          <w:pgBorders>
            <w:top w:val="none" w:sz="0" w:space="0"/>
            <w:left w:val="none" w:sz="0" w:space="0"/>
            <w:bottom w:val="none" w:sz="0" w:space="0"/>
            <w:right w:val="none" w:sz="0" w:space="0"/>
          </w:pgBorders>
          <w:pgNumType w:fmt="numberInDash"/>
          <w:cols w:space="0" w:num="1"/>
          <w:rtlGutter w:val="0"/>
          <w:docGrid w:type="lines" w:linePitch="327" w:charSpace="0"/>
        </w:sectPr>
      </w:pPr>
    </w:p>
    <w:p w14:paraId="1DE5886C">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附件1</w:t>
      </w: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9D87C64">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643D924">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0B93E252">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1C975832">
            <w:pPr>
              <w:spacing w:line="200"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15316754">
            <w:pPr>
              <w:spacing w:line="200"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697BF2E5">
            <w:pPr>
              <w:spacing w:line="200"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6FE256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32A58042">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49C7FB2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重庆市工艺美术学校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9AFA713">
            <w:pPr>
              <w:spacing w:line="200"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A2CA8B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47C0D99">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0CF15">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9594C37">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771F2A7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81024">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94785">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BDBF0">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EDC85">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24D2547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5004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BA6C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4,596.77</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C34F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C9B5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066FFD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A2F8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C0E0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D667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1B21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66560D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B7CD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325B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8BF6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3E0F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7D3F43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A037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1F06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F2BA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3EFF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58CE4A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42C3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0889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116.23</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7FAB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1AE5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3,909.24</w:t>
            </w:r>
            <w:r>
              <w:rPr>
                <w:rFonts w:hint="default" w:ascii="Times New Roman" w:hAnsi="Times New Roman" w:cs="Times New Roman"/>
                <w:color w:val="000000"/>
                <w:sz w:val="20"/>
                <w:u w:color="auto"/>
              </w:rPr>
              <w:t xml:space="preserve"> </w:t>
            </w:r>
          </w:p>
        </w:tc>
      </w:tr>
      <w:tr w14:paraId="62BA31D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4B42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F795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1C8C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02C7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63283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1BC6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62B2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F4B8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34D6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C7F06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8F1F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6AA780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78FB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5F66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415.89</w:t>
            </w:r>
            <w:r>
              <w:rPr>
                <w:rFonts w:hint="default" w:ascii="Times New Roman" w:hAnsi="Times New Roman" w:cs="Times New Roman"/>
                <w:color w:val="000000"/>
                <w:sz w:val="20"/>
                <w:u w:color="auto"/>
              </w:rPr>
              <w:t xml:space="preserve"> </w:t>
            </w:r>
          </w:p>
        </w:tc>
      </w:tr>
      <w:tr w14:paraId="41EBD3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1990D">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85659B">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CA82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C2A8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143.75</w:t>
            </w:r>
            <w:r>
              <w:rPr>
                <w:rFonts w:hint="default" w:ascii="Times New Roman" w:hAnsi="Times New Roman" w:cs="Times New Roman"/>
                <w:color w:val="000000"/>
                <w:sz w:val="20"/>
                <w:u w:color="auto"/>
              </w:rPr>
              <w:t xml:space="preserve"> </w:t>
            </w:r>
          </w:p>
        </w:tc>
      </w:tr>
      <w:tr w14:paraId="7C920B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FF6DD">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9ABBB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AF92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1F76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01ED40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E6458">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9F1CB9">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EB5C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58A7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04A805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65D19">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58F9C5">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0564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B7AB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B68158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21B4F">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2973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F4A3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B384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37FF0E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CD62D">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FD80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D0B8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BD68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3C4C2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B8F98">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30AAF">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10E4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E824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2304C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BC407">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7595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45CF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C20E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E79374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5807A">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D760B">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3061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7218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F6EE430">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196B6">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C002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C563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2857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2F7D98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79B60">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E28A4">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C240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AA33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244.13</w:t>
            </w:r>
            <w:r>
              <w:rPr>
                <w:rFonts w:hint="default" w:ascii="Times New Roman" w:hAnsi="Times New Roman" w:cs="Times New Roman"/>
                <w:color w:val="000000"/>
                <w:sz w:val="20"/>
                <w:u w:color="auto"/>
              </w:rPr>
              <w:t xml:space="preserve"> </w:t>
            </w:r>
          </w:p>
        </w:tc>
      </w:tr>
      <w:tr w14:paraId="65F8E4D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C942D">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2CB37">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112F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22BB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3C760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1D6EF">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58CE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10B5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A066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EB80C3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8F353">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54E1C">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1999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E7C4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1EF53D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AC60C">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86D1D">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A6BF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6736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4D8FD5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25EA0">
            <w:pPr>
              <w:spacing w:line="240"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26BEB">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4B6F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A6EC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6D7A01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E4EC1">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1AC1A">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2B9C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6CA6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57C3D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3EF69">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D06B9">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7C1C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D6FB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A252E8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3737D">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D399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4,713.00</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A246D">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6D95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4,713.00</w:t>
            </w:r>
            <w:r>
              <w:rPr>
                <w:rFonts w:hint="default" w:ascii="Times New Roman" w:hAnsi="Times New Roman" w:cs="Times New Roman"/>
                <w:color w:val="000000"/>
                <w:sz w:val="20"/>
                <w:u w:color="auto"/>
              </w:rPr>
              <w:t xml:space="preserve"> </w:t>
            </w:r>
          </w:p>
        </w:tc>
      </w:tr>
      <w:tr w14:paraId="2A11485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5492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6769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B1D8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EF07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E53EB9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6B56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6A48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D7F5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C67B3C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6B83381">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5123A">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E6D0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4,713.00</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FDB9613">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321E7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4,713.00</w:t>
            </w:r>
            <w:r>
              <w:rPr>
                <w:rFonts w:hint="default" w:ascii="Times New Roman" w:hAnsi="Times New Roman" w:cs="Times New Roman"/>
                <w:color w:val="000000"/>
                <w:sz w:val="20"/>
                <w:u w:color="auto"/>
              </w:rPr>
              <w:t xml:space="preserve"> </w:t>
            </w:r>
          </w:p>
        </w:tc>
      </w:tr>
    </w:tbl>
    <w:p w14:paraId="2C10999C">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1BBCE1EC">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附件2</w:t>
      </w:r>
    </w:p>
    <w:tbl>
      <w:tblPr>
        <w:tblStyle w:val="9"/>
        <w:tblW w:w="5059" w:type="pct"/>
        <w:tblInd w:w="0" w:type="dxa"/>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351"/>
        <w:gridCol w:w="1322"/>
      </w:tblGrid>
      <w:tr w14:paraId="3669033C">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AAE0104">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7D1E8612">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0E85FE7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重庆市工艺美术学校</w:t>
            </w:r>
          </w:p>
        </w:tc>
        <w:tc>
          <w:tcPr>
            <w:tcW w:w="467" w:type="pct"/>
            <w:tcBorders>
              <w:top w:val="nil"/>
              <w:left w:val="nil"/>
              <w:bottom w:val="nil"/>
              <w:right w:val="nil"/>
            </w:tcBorders>
            <w:shd w:val="clear" w:color="auto" w:fill="auto"/>
            <w:noWrap/>
            <w:tcMar>
              <w:top w:w="15" w:type="dxa"/>
              <w:left w:w="15" w:type="dxa"/>
              <w:right w:w="15" w:type="dxa"/>
            </w:tcMar>
            <w:vAlign w:val="bottom"/>
          </w:tcPr>
          <w:p w14:paraId="38528AE8">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1BE7E17">
            <w:pPr>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E7E7C90">
            <w:pPr>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26E9BBB">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85D7528">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37F7E17">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40BC99A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42586428">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2144DAF4">
            <w:pPr>
              <w:rPr>
                <w:rFonts w:hint="default" w:ascii="Times New Roman" w:hAnsi="Times New Roman" w:cs="Times New Roman"/>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7E666FFE">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DB7FDB3">
            <w:pPr>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5B49960">
            <w:pPr>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D105FCF">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5E046CE0">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2D11ADCC">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8A11B6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B5BE59A">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C6437A7">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73DE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B449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FC61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03F6CE">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B2C4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7FF2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906B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495F0317">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1518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BB010F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3A085">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A0C23">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FD24A">
            <w:pPr>
              <w:jc w:val="center"/>
              <w:rPr>
                <w:rFonts w:hint="default" w:ascii="Times New Roman" w:hAnsi="Times New Roman" w:cs="Times New Roman"/>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77AD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4BF3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13C6F">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7A15A">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8ADE5">
            <w:pPr>
              <w:jc w:val="center"/>
              <w:rPr>
                <w:rFonts w:hint="default" w:ascii="Times New Roman" w:hAnsi="Times New Roman" w:cs="Times New Roman"/>
                <w:b/>
                <w:color w:val="000000"/>
                <w:sz w:val="20"/>
                <w:szCs w:val="20"/>
              </w:rPr>
            </w:pPr>
          </w:p>
        </w:tc>
      </w:tr>
      <w:tr w14:paraId="5A77A789">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81F2F">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D81570A">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334C6">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6D9DA">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E9055">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8D398">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97328">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91E3F">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171B8">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1237A">
            <w:pPr>
              <w:jc w:val="center"/>
              <w:rPr>
                <w:rFonts w:hint="default" w:ascii="Times New Roman" w:hAnsi="Times New Roman" w:cs="Times New Roman"/>
                <w:b/>
                <w:color w:val="000000"/>
                <w:sz w:val="20"/>
                <w:szCs w:val="20"/>
              </w:rPr>
            </w:pPr>
          </w:p>
        </w:tc>
      </w:tr>
      <w:tr w14:paraId="44BDE47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6FF91">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ECE8E3F">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AAC44">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E5366">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709ED">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37202">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15295">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2F2EB">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8F290">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016B2">
            <w:pPr>
              <w:jc w:val="center"/>
              <w:rPr>
                <w:rFonts w:hint="default" w:ascii="Times New Roman" w:hAnsi="Times New Roman" w:cs="Times New Roman"/>
                <w:b/>
                <w:color w:val="000000"/>
                <w:sz w:val="20"/>
                <w:szCs w:val="20"/>
              </w:rPr>
            </w:pPr>
          </w:p>
        </w:tc>
      </w:tr>
      <w:tr w14:paraId="76DA6821">
        <w:tblPrEx>
          <w:tblCellMar>
            <w:top w:w="0" w:type="dxa"/>
            <w:left w:w="0" w:type="dxa"/>
            <w:bottom w:w="0" w:type="dxa"/>
            <w:right w:w="0" w:type="dxa"/>
          </w:tblCellMar>
        </w:tblPrEx>
        <w:trPr>
          <w:trHeight w:val="312"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E210E">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2E61D64">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61E73">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130FA">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EE804">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F659A">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E3021">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D18B9">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58AF7">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4265E">
            <w:pPr>
              <w:jc w:val="center"/>
              <w:rPr>
                <w:rFonts w:hint="default" w:ascii="Times New Roman" w:hAnsi="Times New Roman" w:cs="Times New Roman"/>
                <w:b/>
                <w:color w:val="000000"/>
                <w:sz w:val="20"/>
                <w:szCs w:val="20"/>
              </w:rPr>
            </w:pPr>
          </w:p>
        </w:tc>
      </w:tr>
      <w:tr w14:paraId="0B9C166D">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F9C2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6740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4,713.00</w:t>
            </w:r>
            <w:r>
              <w:rPr>
                <w:rFonts w:hint="default" w:ascii="Times New Roman" w:hAnsi="Times New Roman" w:cs="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51EA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4,596.77</w:t>
            </w:r>
            <w:r>
              <w:rPr>
                <w:rFonts w:hint="default" w:ascii="Times New Roman" w:hAnsi="Times New Roman" w:cs="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8C4F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7F4A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116.23</w:t>
            </w:r>
            <w:r>
              <w:rPr>
                <w:rFonts w:hint="default" w:ascii="Times New Roman" w:hAnsi="Times New Roman" w:cs="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2844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116.23</w:t>
            </w:r>
            <w:r>
              <w:rPr>
                <w:rFonts w:hint="default" w:ascii="Times New Roman" w:hAnsi="Times New Roman" w:cs="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BFA2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9DF9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9B20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41F5969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90AD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12FF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772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3,909.24</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683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3,793.01</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A8E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38D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116.23</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628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116.23</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CA2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735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35B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9895D5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480D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7111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477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3.37</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092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3.37</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86F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066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D9E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EFD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063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AD3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8CB048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1884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D0A0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高中教育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458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3.37</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552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3.37</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8CC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05D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D24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6B0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235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3DB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2E73BA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B7F2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9C40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职业教育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B4D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3,731.88</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1F7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3,615.65</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7B8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40F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116.23</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81F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116.23</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130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B3A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EE1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F1DD8A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35AA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4E81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中等职业教育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EF7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3,731.88</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687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3,615.65</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961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B7A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116.23</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325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116.23</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374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1F7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2D6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6B2816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5402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4DA6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教育费附加安排的支出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BC4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174.00</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36C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174.00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818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553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80E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97E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729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750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417EF1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E9C8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DC53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其他教育费附加安排的支出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5F2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174.00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6F5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174.00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E73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A0D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57E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75B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321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911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2AFD32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EDD2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0836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D6D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415.89</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C10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415.89</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AD3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5EC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E14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E23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13B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8DE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9A505B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6747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653C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98F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387.91</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AD3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387.91</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5F9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E41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BFE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4F9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D91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2A4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B26457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513A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337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A69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2.03</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536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2.03</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9EF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EF2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4D7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3A9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CA7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07B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8A9F76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E9CA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EE48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02C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257.19</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6C3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257.19</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B64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FB3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BD1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482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502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66F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8F8201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6B78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C2B2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DF1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128.69</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94A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128.69</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5DB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D07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446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CDE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525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01F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2F5EB4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0823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9B56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932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27.98</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02E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27.98</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5AA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503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F7F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4AD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B9A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300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930EBE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2CB7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6619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DF5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27.98</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F32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27.98</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362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BD9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BC3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41C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82C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C4A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958165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FB2F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ED89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8EA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143.75</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A1B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143.75</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816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FAE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0D0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6C9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3FF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1A8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0FD255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BC12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3116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9D9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143.75</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796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143.75</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D39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777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9CD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3B4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F1E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82E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48F0E0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4CC5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43E2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FC1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109.73</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8CA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109.73</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E96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C3E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B02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655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852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C6F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9AAF9DB">
        <w:tblPrEx>
          <w:tblCellMar>
            <w:top w:w="0" w:type="dxa"/>
            <w:left w:w="0" w:type="dxa"/>
            <w:bottom w:w="0" w:type="dxa"/>
            <w:right w:w="0" w:type="dxa"/>
          </w:tblCellMar>
        </w:tblPrEx>
        <w:trPr>
          <w:trHeight w:val="348"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3F76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17EB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BD0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34.02</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024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34.02</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AF4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59B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8CD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424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EE5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9AD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D8DB05C">
        <w:tblPrEx>
          <w:tblCellMar>
            <w:top w:w="0" w:type="dxa"/>
            <w:left w:w="0" w:type="dxa"/>
            <w:bottom w:w="0" w:type="dxa"/>
            <w:right w:w="0" w:type="dxa"/>
          </w:tblCellMar>
        </w:tblPrEx>
        <w:trPr>
          <w:trHeight w:val="348"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F281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41"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41176A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F7A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244.13</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A7D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244.13</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4DD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F81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C2E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2C5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80C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9D8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7711BE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6A7E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97C8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4E4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244.13</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6F0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244.13</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3CB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3B3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192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291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16E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698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927C88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59D6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4449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43D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206.35</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F7F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206.35</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69E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FDE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EFD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E17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E99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EA2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AFA970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94E5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0E8F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0E0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37.78</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A35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37.78</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353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13F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B73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B79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0BA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20E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30B5667B">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34186D7">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9"/>
        <w:tblW w:w="5000" w:type="pct"/>
        <w:tblInd w:w="0" w:type="dxa"/>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14:paraId="54B1AACF">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48FEF66">
            <w:pPr>
              <w:jc w:val="left"/>
              <w:textAlignment w:val="bottom"/>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附件3 </w:t>
            </w:r>
            <w:r>
              <w:rPr>
                <w:rFonts w:hint="default" w:ascii="Times New Roman" w:hAnsi="Times New Roman" w:cs="Times New Roman"/>
                <w:b/>
                <w:color w:val="000000"/>
                <w:sz w:val="32"/>
                <w:szCs w:val="32"/>
                <w:lang w:val="en-US" w:eastAsia="zh-CN"/>
              </w:rPr>
              <w:t xml:space="preserve">  </w:t>
            </w:r>
          </w:p>
        </w:tc>
      </w:tr>
      <w:tr w14:paraId="25518459">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B2494FE">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2F1E9343">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18E257E">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重庆市工艺美术学校 </w:t>
            </w:r>
          </w:p>
        </w:tc>
        <w:tc>
          <w:tcPr>
            <w:tcW w:w="575" w:type="pct"/>
            <w:tcBorders>
              <w:top w:val="nil"/>
              <w:left w:val="nil"/>
              <w:bottom w:val="nil"/>
              <w:right w:val="nil"/>
            </w:tcBorders>
            <w:shd w:val="clear" w:color="auto" w:fill="auto"/>
            <w:noWrap/>
            <w:tcMar>
              <w:top w:w="15" w:type="dxa"/>
              <w:left w:w="15" w:type="dxa"/>
              <w:right w:w="15" w:type="dxa"/>
            </w:tcMar>
            <w:vAlign w:val="bottom"/>
          </w:tcPr>
          <w:p w14:paraId="0CCB40B6">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07A5710">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E54ABBE">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49DC3E7">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5CE8A3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4A33C541">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26B8CAD4">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BA3CF5B">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63E6EBF">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C2F57EE">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AB6F015">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FFF960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07C7A0A">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78A4D8">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A238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88C0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6361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24B7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2321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CEF6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3B9C903A">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0952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7D76BA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04945">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D3363">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77215">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AA62B">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A0454">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2E499">
            <w:pPr>
              <w:jc w:val="center"/>
              <w:rPr>
                <w:rFonts w:hint="default" w:ascii="Times New Roman" w:hAnsi="Times New Roman" w:cs="Times New Roman"/>
                <w:b/>
                <w:color w:val="000000"/>
                <w:sz w:val="20"/>
                <w:szCs w:val="20"/>
              </w:rPr>
            </w:pPr>
          </w:p>
        </w:tc>
      </w:tr>
      <w:tr w14:paraId="6FA79317">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BB695">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BB430D9">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CC47F">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139C2">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16772">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6B0D1">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31485">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89847">
            <w:pPr>
              <w:jc w:val="center"/>
              <w:rPr>
                <w:rFonts w:hint="default" w:ascii="Times New Roman" w:hAnsi="Times New Roman" w:cs="Times New Roman"/>
                <w:b/>
                <w:color w:val="000000"/>
                <w:sz w:val="20"/>
                <w:szCs w:val="20"/>
              </w:rPr>
            </w:pPr>
          </w:p>
        </w:tc>
      </w:tr>
      <w:tr w14:paraId="6F15232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A0EF9">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9299D06">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8EE2C">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7E6B4">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ECFC5">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4A3D1">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7DF99">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1B577">
            <w:pPr>
              <w:jc w:val="center"/>
              <w:rPr>
                <w:rFonts w:hint="default" w:ascii="Times New Roman" w:hAnsi="Times New Roman" w:cs="Times New Roman"/>
                <w:b/>
                <w:color w:val="000000"/>
                <w:sz w:val="20"/>
                <w:szCs w:val="20"/>
              </w:rPr>
            </w:pPr>
          </w:p>
        </w:tc>
      </w:tr>
      <w:tr w14:paraId="360FB467">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2829D">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9BFEAE5">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907B4">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450F8">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DC01F">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E267D">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B12DC">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B5D15">
            <w:pPr>
              <w:jc w:val="center"/>
              <w:rPr>
                <w:rFonts w:hint="default" w:ascii="Times New Roman" w:hAnsi="Times New Roman" w:cs="Times New Roman"/>
                <w:b/>
                <w:color w:val="000000"/>
                <w:sz w:val="20"/>
                <w:szCs w:val="20"/>
              </w:rPr>
            </w:pPr>
          </w:p>
        </w:tc>
      </w:tr>
      <w:tr w14:paraId="519BBBBD">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DDC9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D468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4,713.00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88B9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3,283.91</w:t>
            </w:r>
            <w:r>
              <w:rPr>
                <w:rFonts w:hint="default" w:ascii="Times New Roman" w:hAnsi="Times New Roman" w:cs="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527B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1,429.09</w:t>
            </w:r>
            <w:r>
              <w:rPr>
                <w:rFonts w:hint="default" w:ascii="Times New Roman" w:hAnsi="Times New Roman" w:cs="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A441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D146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D8BC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5C52C21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639F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7AC0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B14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3,909.24</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EFC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2,480.15</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D33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1,429.09</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9CA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6DB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CEF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8C81F5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4C2E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DAA0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99E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3.37</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013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DB8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3.37</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871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8F8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48A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6F3394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51A2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A7BE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高中教育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48D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3.37</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868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BC1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3.37</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D5F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990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16F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C82A44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9C6B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6948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职业教育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C30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3,731.88</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45F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2,480.15</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BB6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1,251.73</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755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4A9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857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056FA8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EC9C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F25D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中等职业教育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0D3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3,731.88</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606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2,480.15</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E24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1,251.73</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805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281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AE1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1F6AEF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3904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32F1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A07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174.00</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5D7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F5C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174.00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CD8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8C2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DEB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395420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87CC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09C8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3FF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174.00</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D66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BA3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174.00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F47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3DD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397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28A203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22A3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0742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22E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415.89</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191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415.89</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81F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3D3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A0F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1FE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998979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361F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7D07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582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387.91</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F34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387.91</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098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521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C31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6CC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172F2D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27B2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581D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014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2.03</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7F3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2.03</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BAB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8D0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1ED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B0F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927743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FA95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8BAB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8EB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257.19</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BD7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257.19</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F85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3C0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851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1F3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53FBB8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B8A5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7C18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738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128.69</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6A6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128.69</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0A2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E8A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A61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A6E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67B0A0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9741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E3DD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257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27.98</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107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27.98</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E5C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5F6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80C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527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83AB25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B613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FCC1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2A7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27.98</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25D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27.98</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B7D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46D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86E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70B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8493F1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1BE4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01B9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498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143.75</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E1C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143.75</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6E1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193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802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1C9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9EDFA6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12FC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E2E2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21C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143.75</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487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143.75</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C81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4BF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DA6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02F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E72211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4CC4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CEEC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18B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109.73</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19C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109.73</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F89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9CF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8F0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97B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65E4DA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8D8A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716D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33B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34.02</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6D8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34.02</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564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97B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09F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9F6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BAE207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E86B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06EB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C11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244.13</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0D5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244.13</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FB2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BD8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E37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7A2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E34E3C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A468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E933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832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244.13</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205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244.13</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F06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54A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DD0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3EA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B6090B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D55A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47B2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971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206.35</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8F2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206.35</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BA7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EB8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907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1B4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7AFD8A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0550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E3CC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693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37.78</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619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37.78</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899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E32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DA2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D51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7FEF5229">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3FFA06A">
      <w:pPr>
        <w:rPr>
          <w:rFonts w:hint="default" w:ascii="Times New Roman" w:hAnsi="Times New Roman" w:cs="Times New Roman"/>
          <w:sz w:val="21"/>
          <w:szCs w:val="21"/>
        </w:rPr>
      </w:pPr>
      <w:r>
        <w:rPr>
          <w:rFonts w:hint="default" w:ascii="Times New Roman" w:hAnsi="Times New Roman" w:cs="Times New Roman"/>
          <w:sz w:val="21"/>
          <w:szCs w:val="21"/>
        </w:rPr>
        <w:br w:type="page"/>
      </w:r>
    </w:p>
    <w:p w14:paraId="6BA33050">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附件4</w:t>
      </w: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37C910D2">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F6EB48D">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5EFF5617">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B854DC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重庆市工艺美术学校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23754B24">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51B5663">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6655808">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931D013">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209A690B">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3B746889">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2ECC276">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05E26B9">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E44C79F">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7C98A97">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1A3F2E5">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9E20C">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5A7EA">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73A33DBB">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4FF7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A7CD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9C929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58A56">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1BF93DD8">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CE8D7">
            <w:pPr>
              <w:spacing w:line="2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A5E66">
            <w:pPr>
              <w:spacing w:line="2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8F0C6C">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ECDA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1C51F">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83D1B">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621F2">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57FF719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1F57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8655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4,596.77</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5709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5EBE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0DE0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C1BA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C4BD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25617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1686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6FB3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B416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CB34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1F51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F34A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E549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7071FA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E8A3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0114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0475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A422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828E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A229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914E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F10B4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3FF60">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A9C880">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55A4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92C8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C983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37C2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56D0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049225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053F0">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960541">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948C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87EF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3,793.01</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6A75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3,793.01</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DC0A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275B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AA262A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25F2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9300CC">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F477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460B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E014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17E4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40D1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CE35FA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392B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754483">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06FB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CB7F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2478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9C09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45C2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4997A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12CF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9F0F9A">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B98A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946D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415.89</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04F0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415.89</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FD2C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1956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7F0CA3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7002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E2021A">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66E2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A7AC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143.75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E404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143.75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1B87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793B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9FB5CC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FEDD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8C9E7">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4AA8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DE3D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4C86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BE9A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1D10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F2429B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0B6A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8E299">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810E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43C9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0701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E523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CE20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5D287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3275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C39E1">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21F1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82E1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48F2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4556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D84A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37B12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6479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61F3C">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780A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7AB7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B516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151C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D71B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CDAF91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9DED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57D87">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5727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504B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2A37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F0DF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6D8E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6BE4C4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AD1FA">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15D72">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828F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2238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9CBF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C424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0DEA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CD3932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0E578">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44CCE">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FD72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2D00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5B9F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EC60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F2F9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8E0BDB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F51E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BC7DC">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F8C3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3856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CCC6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A690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F669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A639D7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EDF3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818CC">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A535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69E7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1F03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4678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BBB1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BDFDFA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774B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37F8B">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9064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2BCA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244.13</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D3C5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244.13</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210F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ABC8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5A5279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1B63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B3D02">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8684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B2A0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BA72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FD62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F516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7A064B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BA36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0AE38">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6614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37B2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585C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DE0F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080D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56CDF4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B76F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5666B">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E5A3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270F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B30C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9358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F2E0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75A2E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3EA98">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29E68">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A8D3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AB9E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6241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2170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0397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6C94BE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1FD9E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77363">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8BE4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AE3E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2EDB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0A88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1287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41471B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EB224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51E49">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D1ED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0252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5843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F226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81E5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0F835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3DB45F">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19040">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E80F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88CC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F532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B8A7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9292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C67200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B4729">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C885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4,596.77</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6BEB7">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F9D8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4,596.77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0C1B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4,596.77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5F63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D518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6A139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04FF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E42C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9B96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D6D8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8DDC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B040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D61D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BFB652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0351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65BA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A56BB9">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3B597E">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DDE1D6">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ACF47B">
            <w:pPr>
              <w:spacing w:line="2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58E59E">
            <w:pPr>
              <w:spacing w:line="200" w:lineRule="exact"/>
              <w:rPr>
                <w:rFonts w:hint="default" w:ascii="Times New Roman" w:hAnsi="Times New Roman" w:cs="Times New Roman"/>
                <w:color w:val="000000"/>
                <w:sz w:val="18"/>
                <w:szCs w:val="18"/>
              </w:rPr>
            </w:pPr>
          </w:p>
        </w:tc>
      </w:tr>
      <w:tr w14:paraId="6F71BF2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554C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33B2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2F70B">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AD896">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D214C">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8FBF7">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A372C">
            <w:pPr>
              <w:spacing w:line="200" w:lineRule="exact"/>
              <w:jc w:val="right"/>
              <w:rPr>
                <w:rFonts w:hint="default" w:ascii="Times New Roman" w:hAnsi="Times New Roman" w:cs="Times New Roman"/>
                <w:color w:val="000000"/>
                <w:sz w:val="18"/>
                <w:szCs w:val="18"/>
              </w:rPr>
            </w:pPr>
          </w:p>
        </w:tc>
      </w:tr>
      <w:tr w14:paraId="419534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A2AF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A291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4EFDB">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E3654">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9FF2D">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CEBFE">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8EF19">
            <w:pPr>
              <w:spacing w:line="200" w:lineRule="exact"/>
              <w:jc w:val="right"/>
              <w:rPr>
                <w:rFonts w:hint="default" w:ascii="Times New Roman" w:hAnsi="Times New Roman" w:cs="Times New Roman"/>
                <w:color w:val="000000"/>
                <w:sz w:val="18"/>
                <w:szCs w:val="18"/>
              </w:rPr>
            </w:pPr>
          </w:p>
        </w:tc>
      </w:tr>
      <w:tr w14:paraId="2C2CCC4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2CD6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2EA1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4,596.77</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E0851">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59D0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4,596.77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50FB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4,596.77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C777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BF12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03708842">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5000" w:type="pct"/>
        <w:tblInd w:w="0" w:type="dxa"/>
        <w:tblLayout w:type="fixed"/>
        <w:tblCellMar>
          <w:top w:w="0" w:type="dxa"/>
          <w:left w:w="0" w:type="dxa"/>
          <w:bottom w:w="0" w:type="dxa"/>
          <w:right w:w="0" w:type="dxa"/>
        </w:tblCellMar>
      </w:tblPr>
      <w:tblGrid>
        <w:gridCol w:w="1744"/>
        <w:gridCol w:w="3634"/>
        <w:gridCol w:w="3307"/>
        <w:gridCol w:w="3296"/>
        <w:gridCol w:w="3341"/>
      </w:tblGrid>
      <w:tr w14:paraId="0DB2E795">
        <w:tblPrEx>
          <w:tblCellMar>
            <w:top w:w="0" w:type="dxa"/>
            <w:left w:w="0" w:type="dxa"/>
            <w:bottom w:w="0" w:type="dxa"/>
            <w:right w:w="0" w:type="dxa"/>
          </w:tblCellMar>
        </w:tblPrEx>
        <w:trPr>
          <w:trHeight w:val="287"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2A6BC429">
            <w:pPr>
              <w:jc w:val="left"/>
              <w:textAlignment w:val="bottom"/>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附件5    </w:t>
            </w:r>
          </w:p>
        </w:tc>
      </w:tr>
      <w:tr w14:paraId="6FFBAF84">
        <w:tblPrEx>
          <w:tblCellMar>
            <w:top w:w="0" w:type="dxa"/>
            <w:left w:w="0" w:type="dxa"/>
            <w:bottom w:w="0" w:type="dxa"/>
            <w:right w:w="0" w:type="dxa"/>
          </w:tblCellMar>
        </w:tblPrEx>
        <w:trPr>
          <w:trHeight w:val="432"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24FE286">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3284FBD8">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0676D71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重庆市工艺美术学校</w:t>
            </w:r>
          </w:p>
        </w:tc>
        <w:tc>
          <w:tcPr>
            <w:tcW w:w="1075" w:type="pct"/>
            <w:tcBorders>
              <w:top w:val="nil"/>
              <w:left w:val="nil"/>
              <w:bottom w:val="nil"/>
              <w:right w:val="nil"/>
            </w:tcBorders>
            <w:shd w:val="clear" w:color="auto" w:fill="auto"/>
            <w:noWrap/>
            <w:tcMar>
              <w:top w:w="15" w:type="dxa"/>
              <w:left w:w="15" w:type="dxa"/>
              <w:right w:w="15" w:type="dxa"/>
            </w:tcMar>
            <w:vAlign w:val="bottom"/>
          </w:tcPr>
          <w:p w14:paraId="537AC937">
            <w:pPr>
              <w:rPr>
                <w:rFonts w:hint="default" w:ascii="Times New Roman" w:hAnsi="Times New Roman" w:cs="Times New Roman"/>
                <w:color w:val="000000"/>
                <w:sz w:val="20"/>
                <w:szCs w:val="20"/>
              </w:rPr>
            </w:pPr>
          </w:p>
        </w:tc>
        <w:tc>
          <w:tcPr>
            <w:tcW w:w="1090" w:type="pct"/>
            <w:tcBorders>
              <w:top w:val="nil"/>
              <w:left w:val="nil"/>
              <w:bottom w:val="nil"/>
              <w:right w:val="nil"/>
            </w:tcBorders>
            <w:shd w:val="clear" w:color="auto" w:fill="auto"/>
            <w:noWrap/>
            <w:tcMar>
              <w:top w:w="15" w:type="dxa"/>
              <w:left w:w="15" w:type="dxa"/>
              <w:right w:w="15" w:type="dxa"/>
            </w:tcMar>
            <w:vAlign w:val="bottom"/>
          </w:tcPr>
          <w:p w14:paraId="1D27299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05AB4F0C">
        <w:tblPrEx>
          <w:tblCellMar>
            <w:top w:w="0" w:type="dxa"/>
            <w:left w:w="0" w:type="dxa"/>
            <w:bottom w:w="0" w:type="dxa"/>
            <w:right w:w="0" w:type="dxa"/>
          </w:tblCellMar>
        </w:tblPrEx>
        <w:trPr>
          <w:trHeight w:val="90"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3441C69C">
            <w:pPr>
              <w:rPr>
                <w:rFonts w:hint="default" w:ascii="Times New Roman" w:hAnsi="Times New Roman" w:cs="Times New Roman"/>
                <w:color w:val="000000"/>
                <w:sz w:val="20"/>
                <w:szCs w:val="20"/>
              </w:rPr>
            </w:pPr>
          </w:p>
        </w:tc>
        <w:tc>
          <w:tcPr>
            <w:tcW w:w="1075" w:type="pct"/>
            <w:tcBorders>
              <w:top w:val="nil"/>
              <w:left w:val="nil"/>
              <w:bottom w:val="nil"/>
              <w:right w:val="nil"/>
            </w:tcBorders>
            <w:shd w:val="clear" w:color="auto" w:fill="auto"/>
            <w:noWrap/>
            <w:tcMar>
              <w:top w:w="15" w:type="dxa"/>
              <w:left w:w="15" w:type="dxa"/>
              <w:right w:w="15" w:type="dxa"/>
            </w:tcMar>
            <w:vAlign w:val="bottom"/>
          </w:tcPr>
          <w:p w14:paraId="3B55D99A">
            <w:pPr>
              <w:rPr>
                <w:rFonts w:hint="default" w:ascii="Times New Roman" w:hAnsi="Times New Roman" w:cs="Times New Roman"/>
                <w:color w:val="000000"/>
                <w:sz w:val="20"/>
                <w:szCs w:val="20"/>
              </w:rPr>
            </w:pPr>
          </w:p>
        </w:tc>
        <w:tc>
          <w:tcPr>
            <w:tcW w:w="1090" w:type="pct"/>
            <w:tcBorders>
              <w:top w:val="nil"/>
              <w:left w:val="nil"/>
              <w:bottom w:val="nil"/>
              <w:right w:val="nil"/>
            </w:tcBorders>
            <w:shd w:val="clear" w:color="auto" w:fill="auto"/>
            <w:noWrap/>
            <w:tcMar>
              <w:top w:w="15" w:type="dxa"/>
              <w:left w:w="15" w:type="dxa"/>
              <w:right w:w="15" w:type="dxa"/>
            </w:tcMar>
            <w:vAlign w:val="bottom"/>
          </w:tcPr>
          <w:p w14:paraId="527974D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559651F">
        <w:tblPrEx>
          <w:tblCellMar>
            <w:top w:w="0" w:type="dxa"/>
            <w:left w:w="0" w:type="dxa"/>
            <w:bottom w:w="0" w:type="dxa"/>
            <w:right w:w="0" w:type="dxa"/>
          </w:tblCellMar>
        </w:tblPrEx>
        <w:trPr>
          <w:trHeight w:val="241" w:hRule="atLeast"/>
        </w:trPr>
        <w:tc>
          <w:tcPr>
            <w:tcW w:w="175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613A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5"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85A584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0A0401CB">
        <w:tblPrEx>
          <w:tblCellMar>
            <w:top w:w="0" w:type="dxa"/>
            <w:left w:w="0" w:type="dxa"/>
            <w:bottom w:w="0" w:type="dxa"/>
            <w:right w:w="0" w:type="dxa"/>
          </w:tblCellMar>
        </w:tblPrEx>
        <w:trPr>
          <w:trHeight w:val="326" w:hRule="atLeast"/>
        </w:trPr>
        <w:tc>
          <w:tcPr>
            <w:tcW w:w="569"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DD65A">
            <w:pPr>
              <w:jc w:val="center"/>
              <w:textAlignment w:val="center"/>
              <w:rPr>
                <w:rFonts w:hint="default" w:ascii="Times New Roman" w:hAnsi="Times New Roman" w:eastAsia="宋体" w:cs="Times New Roman"/>
                <w:b/>
                <w:color w:val="000000"/>
                <w:sz w:val="20"/>
                <w:szCs w:val="20"/>
                <w:lang w:val="en-US" w:eastAsia="zh-CN" w:bidi="ar-SA"/>
              </w:rPr>
            </w:pPr>
            <w:r>
              <w:rPr>
                <w:rFonts w:hint="default" w:ascii="Times New Roman" w:hAnsi="Times New Roman" w:cs="Times New Roman"/>
                <w:b/>
                <w:color w:val="000000"/>
                <w:sz w:val="20"/>
                <w:szCs w:val="20"/>
              </w:rPr>
              <w:t>功能分类科目编码</w:t>
            </w:r>
          </w:p>
        </w:tc>
        <w:tc>
          <w:tcPr>
            <w:tcW w:w="1185"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CEC06E">
            <w:pPr>
              <w:jc w:val="center"/>
              <w:textAlignment w:val="center"/>
              <w:rPr>
                <w:rFonts w:hint="default" w:ascii="Times New Roman" w:hAnsi="Times New Roman" w:eastAsia="宋体" w:cs="Times New Roman"/>
                <w:b/>
                <w:color w:val="000000"/>
                <w:sz w:val="20"/>
                <w:szCs w:val="20"/>
                <w:lang w:val="en-US" w:eastAsia="zh-CN" w:bidi="ar-SA"/>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079"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AC04F2">
            <w:pPr>
              <w:jc w:val="center"/>
              <w:textAlignment w:val="center"/>
              <w:rPr>
                <w:rFonts w:hint="default" w:ascii="Times New Roman" w:hAnsi="Times New Roman" w:eastAsia="宋体" w:cs="Times New Roman"/>
                <w:b/>
                <w:color w:val="000000"/>
                <w:sz w:val="20"/>
                <w:szCs w:val="20"/>
                <w:lang w:val="en-US" w:eastAsia="zh-CN" w:bidi="ar-SA"/>
              </w:rPr>
            </w:pPr>
            <w:r>
              <w:rPr>
                <w:rFonts w:hint="default" w:ascii="Times New Roman" w:hAnsi="Times New Roman" w:cs="Times New Roman"/>
                <w:b/>
                <w:color w:val="000000"/>
                <w:sz w:val="20"/>
                <w:szCs w:val="20"/>
              </w:rPr>
              <w:t>合计</w:t>
            </w:r>
          </w:p>
        </w:tc>
        <w:tc>
          <w:tcPr>
            <w:tcW w:w="1075"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3682D3">
            <w:pPr>
              <w:jc w:val="center"/>
              <w:textAlignment w:val="center"/>
              <w:rPr>
                <w:rFonts w:hint="default" w:ascii="Times New Roman" w:hAnsi="Times New Roman" w:eastAsia="宋体" w:cs="Times New Roman"/>
                <w:b/>
                <w:color w:val="000000"/>
                <w:sz w:val="20"/>
                <w:szCs w:val="20"/>
                <w:lang w:val="en-US" w:eastAsia="zh-CN" w:bidi="ar-SA"/>
              </w:rPr>
            </w:pPr>
            <w:r>
              <w:rPr>
                <w:rFonts w:hint="default" w:ascii="Times New Roman" w:hAnsi="Times New Roman" w:cs="Times New Roman"/>
                <w:b/>
                <w:color w:val="000000"/>
                <w:sz w:val="20"/>
                <w:szCs w:val="20"/>
              </w:rPr>
              <w:t>基本支出</w:t>
            </w:r>
          </w:p>
        </w:tc>
        <w:tc>
          <w:tcPr>
            <w:tcW w:w="109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890987">
            <w:pPr>
              <w:jc w:val="center"/>
              <w:textAlignment w:val="center"/>
              <w:rPr>
                <w:rFonts w:hint="default" w:ascii="Times New Roman" w:hAnsi="Times New Roman" w:eastAsia="宋体" w:cs="Times New Roman"/>
                <w:b/>
                <w:color w:val="000000"/>
                <w:sz w:val="20"/>
                <w:szCs w:val="20"/>
                <w:lang w:val="en-US" w:eastAsia="zh-CN" w:bidi="ar-SA"/>
              </w:rPr>
            </w:pPr>
            <w:r>
              <w:rPr>
                <w:rFonts w:hint="default" w:ascii="Times New Roman" w:hAnsi="Times New Roman" w:cs="Times New Roman"/>
                <w:b/>
                <w:color w:val="000000"/>
                <w:sz w:val="20"/>
                <w:szCs w:val="20"/>
              </w:rPr>
              <w:t>项目支出</w:t>
            </w:r>
          </w:p>
        </w:tc>
      </w:tr>
      <w:tr w14:paraId="4B96D617">
        <w:tblPrEx>
          <w:tblCellMar>
            <w:top w:w="0" w:type="dxa"/>
            <w:left w:w="0" w:type="dxa"/>
            <w:bottom w:w="0" w:type="dxa"/>
            <w:right w:w="0" w:type="dxa"/>
          </w:tblCellMar>
        </w:tblPrEx>
        <w:trPr>
          <w:trHeight w:val="308" w:hRule="atLeast"/>
        </w:trPr>
        <w:tc>
          <w:tcPr>
            <w:tcW w:w="175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DBBB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7496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4,596.77</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A464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3,283.91</w:t>
            </w:r>
            <w:r>
              <w:rPr>
                <w:rFonts w:hint="default" w:ascii="Times New Roman" w:hAnsi="Times New Roman" w:cs="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74F4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1,312.86</w:t>
            </w:r>
            <w:r>
              <w:rPr>
                <w:rFonts w:hint="default" w:ascii="Times New Roman" w:hAnsi="Times New Roman" w:cs="Times New Roman"/>
                <w:b/>
                <w:color w:val="000000"/>
                <w:sz w:val="20"/>
                <w:u w:color="auto"/>
              </w:rPr>
              <w:t xml:space="preserve"> </w:t>
            </w:r>
          </w:p>
        </w:tc>
      </w:tr>
      <w:tr w14:paraId="00317E74">
        <w:tblPrEx>
          <w:tblCellMar>
            <w:top w:w="0" w:type="dxa"/>
            <w:left w:w="0" w:type="dxa"/>
            <w:bottom w:w="0" w:type="dxa"/>
            <w:right w:w="0" w:type="dxa"/>
          </w:tblCellMar>
        </w:tblPrEx>
        <w:trPr>
          <w:trHeight w:val="308" w:hRule="atLeast"/>
        </w:trPr>
        <w:tc>
          <w:tcPr>
            <w:tcW w:w="5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49C9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C83F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5B2F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3,793.01</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EA57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2,480.15</w:t>
            </w:r>
            <w:r>
              <w:rPr>
                <w:rFonts w:hint="default" w:ascii="Times New Roman" w:hAnsi="Times New Roman" w:cs="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B33B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1,312.86</w:t>
            </w:r>
            <w:r>
              <w:rPr>
                <w:rFonts w:hint="default" w:ascii="Times New Roman" w:hAnsi="Times New Roman" w:cs="Times New Roman"/>
                <w:b/>
                <w:color w:val="000000"/>
                <w:sz w:val="20"/>
                <w:u w:color="auto"/>
              </w:rPr>
              <w:t xml:space="preserve"> </w:t>
            </w:r>
          </w:p>
        </w:tc>
      </w:tr>
      <w:tr w14:paraId="08F428F4">
        <w:tblPrEx>
          <w:tblCellMar>
            <w:top w:w="0" w:type="dxa"/>
            <w:left w:w="0" w:type="dxa"/>
            <w:bottom w:w="0" w:type="dxa"/>
            <w:right w:w="0" w:type="dxa"/>
          </w:tblCellMar>
        </w:tblPrEx>
        <w:trPr>
          <w:trHeight w:val="308" w:hRule="atLeast"/>
        </w:trPr>
        <w:tc>
          <w:tcPr>
            <w:tcW w:w="5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9694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E3EF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55CD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3.37</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518E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C6FA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3.37</w:t>
            </w:r>
            <w:r>
              <w:rPr>
                <w:rFonts w:hint="default" w:ascii="Times New Roman" w:hAnsi="Times New Roman" w:cs="Times New Roman"/>
                <w:b/>
                <w:color w:val="000000"/>
                <w:sz w:val="20"/>
                <w:u w:color="auto"/>
              </w:rPr>
              <w:t xml:space="preserve"> </w:t>
            </w:r>
          </w:p>
        </w:tc>
      </w:tr>
      <w:tr w14:paraId="1B88F441">
        <w:tblPrEx>
          <w:tblCellMar>
            <w:top w:w="0" w:type="dxa"/>
            <w:left w:w="0" w:type="dxa"/>
            <w:bottom w:w="0" w:type="dxa"/>
            <w:right w:w="0" w:type="dxa"/>
          </w:tblCellMar>
        </w:tblPrEx>
        <w:trPr>
          <w:trHeight w:val="308" w:hRule="atLeast"/>
        </w:trPr>
        <w:tc>
          <w:tcPr>
            <w:tcW w:w="5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B495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2050204</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FEB4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高中教育</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3624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3.37</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D5BE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CD4E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3.37</w:t>
            </w:r>
            <w:r>
              <w:rPr>
                <w:rFonts w:hint="default" w:ascii="Times New Roman" w:hAnsi="Times New Roman" w:cs="Times New Roman"/>
                <w:color w:val="000000"/>
                <w:sz w:val="20"/>
                <w:u w:color="auto"/>
              </w:rPr>
              <w:t xml:space="preserve"> </w:t>
            </w:r>
          </w:p>
        </w:tc>
      </w:tr>
      <w:tr w14:paraId="65165ACF">
        <w:tblPrEx>
          <w:tblCellMar>
            <w:top w:w="0" w:type="dxa"/>
            <w:left w:w="0" w:type="dxa"/>
            <w:bottom w:w="0" w:type="dxa"/>
            <w:right w:w="0" w:type="dxa"/>
          </w:tblCellMar>
        </w:tblPrEx>
        <w:trPr>
          <w:trHeight w:val="308" w:hRule="atLeast"/>
        </w:trPr>
        <w:tc>
          <w:tcPr>
            <w:tcW w:w="5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8506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20503</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5B59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职业教育</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B3C5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3,615.65</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25FC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2,480.15</w:t>
            </w:r>
            <w:r>
              <w:rPr>
                <w:rFonts w:hint="default" w:ascii="Times New Roman" w:hAnsi="Times New Roman" w:cs="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668F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1,135.50</w:t>
            </w:r>
            <w:r>
              <w:rPr>
                <w:rFonts w:hint="default" w:ascii="Times New Roman" w:hAnsi="Times New Roman" w:cs="Times New Roman"/>
                <w:b/>
                <w:color w:val="000000"/>
                <w:sz w:val="20"/>
                <w:u w:color="auto"/>
              </w:rPr>
              <w:t xml:space="preserve"> </w:t>
            </w:r>
          </w:p>
        </w:tc>
      </w:tr>
      <w:tr w14:paraId="2E6BB222">
        <w:tblPrEx>
          <w:tblCellMar>
            <w:top w:w="0" w:type="dxa"/>
            <w:left w:w="0" w:type="dxa"/>
            <w:bottom w:w="0" w:type="dxa"/>
            <w:right w:w="0" w:type="dxa"/>
          </w:tblCellMar>
        </w:tblPrEx>
        <w:trPr>
          <w:trHeight w:val="308" w:hRule="atLeast"/>
        </w:trPr>
        <w:tc>
          <w:tcPr>
            <w:tcW w:w="5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674B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2050302</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EFF3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中等职业教育</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9F20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3,615.65</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EAAD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2,480.15</w:t>
            </w:r>
            <w:r>
              <w:rPr>
                <w:rFonts w:hint="default" w:ascii="Times New Roman" w:hAnsi="Times New Roman" w:cs="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D971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1,135.50</w:t>
            </w:r>
            <w:r>
              <w:rPr>
                <w:rFonts w:hint="default" w:ascii="Times New Roman" w:hAnsi="Times New Roman" w:cs="Times New Roman"/>
                <w:color w:val="000000"/>
                <w:sz w:val="20"/>
                <w:u w:color="auto"/>
              </w:rPr>
              <w:t xml:space="preserve"> </w:t>
            </w:r>
          </w:p>
        </w:tc>
      </w:tr>
      <w:tr w14:paraId="513C4B48">
        <w:tblPrEx>
          <w:tblCellMar>
            <w:top w:w="0" w:type="dxa"/>
            <w:left w:w="0" w:type="dxa"/>
            <w:bottom w:w="0" w:type="dxa"/>
            <w:right w:w="0" w:type="dxa"/>
          </w:tblCellMar>
        </w:tblPrEx>
        <w:trPr>
          <w:trHeight w:val="308" w:hRule="atLeast"/>
        </w:trPr>
        <w:tc>
          <w:tcPr>
            <w:tcW w:w="5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1275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20509</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2C0A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教育费附加安排的支出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3E20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174.00</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8CE2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D3D7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174.00</w:t>
            </w:r>
            <w:r>
              <w:rPr>
                <w:rFonts w:hint="default" w:ascii="Times New Roman" w:hAnsi="Times New Roman" w:cs="Times New Roman"/>
                <w:b/>
                <w:color w:val="000000"/>
                <w:sz w:val="20"/>
                <w:u w:color="auto"/>
              </w:rPr>
              <w:t xml:space="preserve"> </w:t>
            </w:r>
          </w:p>
        </w:tc>
      </w:tr>
      <w:tr w14:paraId="17AE85B4">
        <w:tblPrEx>
          <w:tblCellMar>
            <w:top w:w="0" w:type="dxa"/>
            <w:left w:w="0" w:type="dxa"/>
            <w:bottom w:w="0" w:type="dxa"/>
            <w:right w:w="0" w:type="dxa"/>
          </w:tblCellMar>
        </w:tblPrEx>
        <w:trPr>
          <w:trHeight w:val="308" w:hRule="atLeast"/>
        </w:trPr>
        <w:tc>
          <w:tcPr>
            <w:tcW w:w="5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ADAC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2050999</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4162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其他教育费附加安排的支出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8518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174.00</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0486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516A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174.00</w:t>
            </w:r>
            <w:r>
              <w:rPr>
                <w:rFonts w:hint="default" w:ascii="Times New Roman" w:hAnsi="Times New Roman" w:cs="Times New Roman"/>
                <w:color w:val="000000"/>
                <w:sz w:val="20"/>
                <w:u w:color="auto"/>
              </w:rPr>
              <w:t xml:space="preserve"> </w:t>
            </w:r>
          </w:p>
        </w:tc>
      </w:tr>
      <w:tr w14:paraId="55CD1F72">
        <w:tblPrEx>
          <w:tblCellMar>
            <w:top w:w="0" w:type="dxa"/>
            <w:left w:w="0" w:type="dxa"/>
            <w:bottom w:w="0" w:type="dxa"/>
            <w:right w:w="0" w:type="dxa"/>
          </w:tblCellMar>
        </w:tblPrEx>
        <w:trPr>
          <w:trHeight w:val="308" w:hRule="atLeast"/>
        </w:trPr>
        <w:tc>
          <w:tcPr>
            <w:tcW w:w="5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CD7F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96F3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B39E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415.89</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B2BD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415.89</w:t>
            </w:r>
            <w:r>
              <w:rPr>
                <w:rFonts w:hint="default" w:ascii="Times New Roman" w:hAnsi="Times New Roman" w:cs="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753A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CEDB91F">
        <w:tblPrEx>
          <w:tblCellMar>
            <w:top w:w="0" w:type="dxa"/>
            <w:left w:w="0" w:type="dxa"/>
            <w:bottom w:w="0" w:type="dxa"/>
            <w:right w:w="0" w:type="dxa"/>
          </w:tblCellMar>
        </w:tblPrEx>
        <w:trPr>
          <w:trHeight w:val="308" w:hRule="atLeast"/>
        </w:trPr>
        <w:tc>
          <w:tcPr>
            <w:tcW w:w="5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8057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C589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4EE3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387.91</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D5E9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387.91</w:t>
            </w:r>
            <w:r>
              <w:rPr>
                <w:rFonts w:hint="default" w:ascii="Times New Roman" w:hAnsi="Times New Roman" w:cs="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12A4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763B618">
        <w:tblPrEx>
          <w:tblCellMar>
            <w:top w:w="0" w:type="dxa"/>
            <w:left w:w="0" w:type="dxa"/>
            <w:bottom w:w="0" w:type="dxa"/>
            <w:right w:w="0" w:type="dxa"/>
          </w:tblCellMar>
        </w:tblPrEx>
        <w:trPr>
          <w:trHeight w:val="308" w:hRule="atLeast"/>
        </w:trPr>
        <w:tc>
          <w:tcPr>
            <w:tcW w:w="5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D805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2080502</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DC65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事业单位离退休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E6D9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2.03</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AD78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2.03</w:t>
            </w:r>
            <w:r>
              <w:rPr>
                <w:rFonts w:hint="default" w:ascii="Times New Roman" w:hAnsi="Times New Roman" w:cs="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D401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A665172">
        <w:tblPrEx>
          <w:tblCellMar>
            <w:top w:w="0" w:type="dxa"/>
            <w:left w:w="0" w:type="dxa"/>
            <w:bottom w:w="0" w:type="dxa"/>
            <w:right w:w="0" w:type="dxa"/>
          </w:tblCellMar>
        </w:tblPrEx>
        <w:trPr>
          <w:trHeight w:val="308" w:hRule="atLeast"/>
        </w:trPr>
        <w:tc>
          <w:tcPr>
            <w:tcW w:w="5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8A62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1FA1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A3DB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257.19</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8A6B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257.19</w:t>
            </w:r>
            <w:r>
              <w:rPr>
                <w:rFonts w:hint="default" w:ascii="Times New Roman" w:hAnsi="Times New Roman" w:cs="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CEFF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C0CFE38">
        <w:tblPrEx>
          <w:tblCellMar>
            <w:top w:w="0" w:type="dxa"/>
            <w:left w:w="0" w:type="dxa"/>
            <w:bottom w:w="0" w:type="dxa"/>
            <w:right w:w="0" w:type="dxa"/>
          </w:tblCellMar>
        </w:tblPrEx>
        <w:trPr>
          <w:trHeight w:val="308" w:hRule="atLeast"/>
        </w:trPr>
        <w:tc>
          <w:tcPr>
            <w:tcW w:w="5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D130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A23C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4B74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128.69</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BE57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128.69</w:t>
            </w:r>
            <w:r>
              <w:rPr>
                <w:rFonts w:hint="default" w:ascii="Times New Roman" w:hAnsi="Times New Roman" w:cs="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A9B2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5DD2F5C">
        <w:tblPrEx>
          <w:tblCellMar>
            <w:top w:w="0" w:type="dxa"/>
            <w:left w:w="0" w:type="dxa"/>
            <w:bottom w:w="0" w:type="dxa"/>
            <w:right w:w="0" w:type="dxa"/>
          </w:tblCellMar>
        </w:tblPrEx>
        <w:trPr>
          <w:trHeight w:val="308" w:hRule="atLeast"/>
        </w:trPr>
        <w:tc>
          <w:tcPr>
            <w:tcW w:w="5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21AF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9291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AC70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27.98</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0A61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27.98</w:t>
            </w:r>
            <w:r>
              <w:rPr>
                <w:rFonts w:hint="default" w:ascii="Times New Roman" w:hAnsi="Times New Roman" w:cs="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1243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D2D43D6">
        <w:tblPrEx>
          <w:tblCellMar>
            <w:top w:w="0" w:type="dxa"/>
            <w:left w:w="0" w:type="dxa"/>
            <w:bottom w:w="0" w:type="dxa"/>
            <w:right w:w="0" w:type="dxa"/>
          </w:tblCellMar>
        </w:tblPrEx>
        <w:trPr>
          <w:trHeight w:val="308" w:hRule="atLeast"/>
        </w:trPr>
        <w:tc>
          <w:tcPr>
            <w:tcW w:w="5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D487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8265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051D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27.98</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A56C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27.98</w:t>
            </w:r>
            <w:r>
              <w:rPr>
                <w:rFonts w:hint="default" w:ascii="Times New Roman" w:hAnsi="Times New Roman" w:cs="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6EA3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CB57D15">
        <w:tblPrEx>
          <w:tblCellMar>
            <w:top w:w="0" w:type="dxa"/>
            <w:left w:w="0" w:type="dxa"/>
            <w:bottom w:w="0" w:type="dxa"/>
            <w:right w:w="0" w:type="dxa"/>
          </w:tblCellMar>
        </w:tblPrEx>
        <w:trPr>
          <w:trHeight w:val="308" w:hRule="atLeast"/>
        </w:trPr>
        <w:tc>
          <w:tcPr>
            <w:tcW w:w="5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6BAD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17E1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E976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143.75</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6DB2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143.75</w:t>
            </w:r>
            <w:r>
              <w:rPr>
                <w:rFonts w:hint="default" w:ascii="Times New Roman" w:hAnsi="Times New Roman" w:cs="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4F46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C749AE6">
        <w:tblPrEx>
          <w:tblCellMar>
            <w:top w:w="0" w:type="dxa"/>
            <w:left w:w="0" w:type="dxa"/>
            <w:bottom w:w="0" w:type="dxa"/>
            <w:right w:w="0" w:type="dxa"/>
          </w:tblCellMar>
        </w:tblPrEx>
        <w:trPr>
          <w:trHeight w:val="308" w:hRule="atLeast"/>
        </w:trPr>
        <w:tc>
          <w:tcPr>
            <w:tcW w:w="5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391B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6F34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2C2A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143.75</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AB9D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143.75</w:t>
            </w:r>
            <w:r>
              <w:rPr>
                <w:rFonts w:hint="default" w:ascii="Times New Roman" w:hAnsi="Times New Roman" w:cs="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DF9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FF1739D">
        <w:tblPrEx>
          <w:tblCellMar>
            <w:top w:w="0" w:type="dxa"/>
            <w:left w:w="0" w:type="dxa"/>
            <w:bottom w:w="0" w:type="dxa"/>
            <w:right w:w="0" w:type="dxa"/>
          </w:tblCellMar>
        </w:tblPrEx>
        <w:trPr>
          <w:trHeight w:val="308" w:hRule="atLeast"/>
        </w:trPr>
        <w:tc>
          <w:tcPr>
            <w:tcW w:w="5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AA10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63F4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F852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109.73</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05CA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109.73</w:t>
            </w:r>
            <w:r>
              <w:rPr>
                <w:rFonts w:hint="default" w:ascii="Times New Roman" w:hAnsi="Times New Roman" w:cs="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E9EE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F42CB64">
        <w:tblPrEx>
          <w:tblCellMar>
            <w:top w:w="0" w:type="dxa"/>
            <w:left w:w="0" w:type="dxa"/>
            <w:bottom w:w="0" w:type="dxa"/>
            <w:right w:w="0" w:type="dxa"/>
          </w:tblCellMar>
        </w:tblPrEx>
        <w:trPr>
          <w:trHeight w:val="308" w:hRule="atLeast"/>
        </w:trPr>
        <w:tc>
          <w:tcPr>
            <w:tcW w:w="5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AFBE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4DDE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1432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34.02</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D88C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34.02</w:t>
            </w:r>
            <w:r>
              <w:rPr>
                <w:rFonts w:hint="default" w:ascii="Times New Roman" w:hAnsi="Times New Roman" w:cs="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73CE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6062940">
        <w:tblPrEx>
          <w:tblCellMar>
            <w:top w:w="0" w:type="dxa"/>
            <w:left w:w="0" w:type="dxa"/>
            <w:bottom w:w="0" w:type="dxa"/>
            <w:right w:w="0" w:type="dxa"/>
          </w:tblCellMar>
        </w:tblPrEx>
        <w:trPr>
          <w:trHeight w:val="308" w:hRule="atLeast"/>
        </w:trPr>
        <w:tc>
          <w:tcPr>
            <w:tcW w:w="5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3F3C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4BAE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B9BF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244.13</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8D48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244.13</w:t>
            </w:r>
            <w:r>
              <w:rPr>
                <w:rFonts w:hint="default" w:ascii="Times New Roman" w:hAnsi="Times New Roman" w:cs="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B014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900D949">
        <w:tblPrEx>
          <w:tblCellMar>
            <w:top w:w="0" w:type="dxa"/>
            <w:left w:w="0" w:type="dxa"/>
            <w:bottom w:w="0" w:type="dxa"/>
            <w:right w:w="0" w:type="dxa"/>
          </w:tblCellMar>
        </w:tblPrEx>
        <w:trPr>
          <w:trHeight w:val="308" w:hRule="atLeast"/>
        </w:trPr>
        <w:tc>
          <w:tcPr>
            <w:tcW w:w="5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431E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DF81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E744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244.13</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2A5C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244.13</w:t>
            </w:r>
            <w:r>
              <w:rPr>
                <w:rFonts w:hint="default" w:ascii="Times New Roman" w:hAnsi="Times New Roman" w:cs="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868E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A7FBC8F">
        <w:tblPrEx>
          <w:tblCellMar>
            <w:top w:w="0" w:type="dxa"/>
            <w:left w:w="0" w:type="dxa"/>
            <w:bottom w:w="0" w:type="dxa"/>
            <w:right w:w="0" w:type="dxa"/>
          </w:tblCellMar>
        </w:tblPrEx>
        <w:trPr>
          <w:trHeight w:val="308" w:hRule="atLeast"/>
        </w:trPr>
        <w:tc>
          <w:tcPr>
            <w:tcW w:w="5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2376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36C8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B71C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206.35</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5CCF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206.35</w:t>
            </w:r>
            <w:r>
              <w:rPr>
                <w:rFonts w:hint="default" w:ascii="Times New Roman" w:hAnsi="Times New Roman" w:cs="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9E92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42490B6">
        <w:tblPrEx>
          <w:tblCellMar>
            <w:top w:w="0" w:type="dxa"/>
            <w:left w:w="0" w:type="dxa"/>
            <w:bottom w:w="0" w:type="dxa"/>
            <w:right w:w="0" w:type="dxa"/>
          </w:tblCellMar>
        </w:tblPrEx>
        <w:trPr>
          <w:trHeight w:val="308" w:hRule="atLeast"/>
        </w:trPr>
        <w:tc>
          <w:tcPr>
            <w:tcW w:w="5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C65E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224E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BC41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37.78</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635A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37.78</w:t>
            </w:r>
            <w:r>
              <w:rPr>
                <w:rFonts w:hint="default" w:ascii="Times New Roman" w:hAnsi="Times New Roman" w:cs="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46A1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34B8962E">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4994" w:type="pct"/>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14:paraId="0AC3FCC6">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166797ED">
            <w:pPr>
              <w:keepNext w:val="0"/>
              <w:keepLines w:val="0"/>
              <w:pageBreakBefore w:val="0"/>
              <w:widowControl/>
              <w:kinsoku/>
              <w:wordWrap/>
              <w:overflowPunct/>
              <w:topLinePunct w:val="0"/>
              <w:autoSpaceDE/>
              <w:autoSpaceDN/>
              <w:bidi w:val="0"/>
              <w:adjustRightInd/>
              <w:snapToGrid/>
              <w:spacing w:line="440" w:lineRule="exact"/>
              <w:jc w:val="left"/>
              <w:textAlignment w:val="bottom"/>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附件6     </w:t>
            </w:r>
          </w:p>
        </w:tc>
      </w:tr>
      <w:tr w14:paraId="5FEDDF13">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6FCE355D">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56258804">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13227DF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重庆市工艺美术学校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420FEC08">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638BC7B">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5CC7D07">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7EFA34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0772D688">
        <w:tblPrEx>
          <w:tblCellMar>
            <w:top w:w="0" w:type="dxa"/>
            <w:left w:w="0" w:type="dxa"/>
            <w:bottom w:w="0" w:type="dxa"/>
            <w:right w:w="0" w:type="dxa"/>
          </w:tblCellMar>
        </w:tblPrEx>
        <w:trPr>
          <w:trHeight w:val="9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4CE81579">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F71C466">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E161382">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39047E0">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CBFF4C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6D6D343">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914F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954A10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6A9E361A">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DC11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A77EF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F0C67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AAFF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CCC35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978CC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21F2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B7F2F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146C0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426AF89E">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98A15">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2778AE">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B7B010">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749BF">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772C04">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379912">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56086">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9F28D3">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BDBD3C">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r>
      <w:tr w14:paraId="44A1DAA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8E9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B99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5AE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2,449.87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D84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20F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210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515.58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C6E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2B3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0F5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7.36</w:t>
            </w:r>
            <w:r>
              <w:rPr>
                <w:rFonts w:hint="default" w:ascii="Times New Roman" w:hAnsi="Times New Roman" w:cs="Times New Roman"/>
                <w:color w:val="000000"/>
                <w:sz w:val="18"/>
                <w:u w:color="auto"/>
              </w:rPr>
              <w:t xml:space="preserve"> </w:t>
            </w:r>
          </w:p>
        </w:tc>
      </w:tr>
      <w:tr w14:paraId="2635AA7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CB6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420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514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665.63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35F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F32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8A5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800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6C9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3B6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6F9EA1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DC5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F96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90F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55.64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7AF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6A1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F18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F34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E07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FAE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7.36</w:t>
            </w:r>
            <w:r>
              <w:rPr>
                <w:rFonts w:hint="default" w:ascii="Times New Roman" w:hAnsi="Times New Roman" w:cs="Times New Roman"/>
                <w:color w:val="000000"/>
                <w:sz w:val="18"/>
                <w:u w:color="auto"/>
              </w:rPr>
              <w:t xml:space="preserve"> </w:t>
            </w:r>
          </w:p>
        </w:tc>
      </w:tr>
      <w:tr w14:paraId="1D9322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8A4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8B8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CB9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7E9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F89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143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427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E99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3C5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1193BF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5B2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088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73E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F72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814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AD0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E58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DBF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38C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7CCC8A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486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F9E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DFD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995.03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52F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684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717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DFE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E8E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67C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57E3CE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346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5BC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876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257.19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D7A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964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64E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E77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7A6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60B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68CC24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B3D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301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9C7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128.69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199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075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5B9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29.75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50E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0BC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D19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93AEFA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13A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B54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A85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108.15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6B7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2C4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9AC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42B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056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A75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C07994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10F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DFF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061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6A4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809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9D4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3F2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C34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3DF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3364D7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46C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E3F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B67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6.52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7D0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252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28A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579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C55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1BB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302AC8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32C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D75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BE0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206.35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17F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792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AA9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E18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E8F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A5F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5FC858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4C2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5CD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18A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26.68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E16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AFF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EC8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12.86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2F3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485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D84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7918BE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015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4FA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140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B96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CBA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550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E44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2FF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DEE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8E476B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315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1FA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EB9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311.10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584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7B8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C2C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FBB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BB3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6DF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AB4D44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67A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4EE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E99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E15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06A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97F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82E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639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B7F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2C216D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213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7D0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DC4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368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597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835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C4D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920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DD9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274F85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10F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E80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B5A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B7E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E70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DD4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7B1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800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E9E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C16E34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76B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9B6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DE0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27.98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45A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DC3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0D3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C73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FF5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DB1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9BC4B6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DE3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640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EEB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256.17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251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073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B14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29B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1D5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94C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32036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906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15A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C00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AE5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520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ECA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252.08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9F1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71F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0ED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E20CCD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24E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3A9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CC8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24.92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D2C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C29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9F7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6F1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A9C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62A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6AB94D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0FC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BD8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55B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2D3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46C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8EF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53.42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8BA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3B9A8">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426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71F630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4B3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DBC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681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254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9BF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13F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31.97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025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670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CBF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4F333A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76E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9A5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73E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3C6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E6B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605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E75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C45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586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ABC4D5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A77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515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7AE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F15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986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611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4F1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E7E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B68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F98AA1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B3E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264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44E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834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189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35E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173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457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462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A97208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A440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EF64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64015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D99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233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26C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109.99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1FA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ECB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E34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E5287D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AEFE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B978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58464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F36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BE3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943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B04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1AE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47D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2088FD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03B4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FBBF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CC421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27D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EAC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1A1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759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733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5A0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0F1248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7545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A2F7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C0024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C58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784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99A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CA89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3634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B2639">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110E54E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0837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B75D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FA1B2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4A3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9AD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298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FDC6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263F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A7797">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0AF8F5CE">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3355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B506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70A84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02B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DD8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C8F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F83C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2A26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1767D">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4F7296C5">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AA65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6C07D0">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2,760.97</w:t>
            </w:r>
            <w:r>
              <w:rPr>
                <w:rFonts w:hint="default" w:ascii="Times New Roman" w:hAnsi="Times New Roman" w:cs="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510B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BE1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522.94</w:t>
            </w:r>
            <w:r>
              <w:rPr>
                <w:rFonts w:hint="default" w:ascii="Times New Roman" w:hAnsi="Times New Roman" w:cs="Times New Roman"/>
                <w:color w:val="000000"/>
                <w:sz w:val="18"/>
                <w:u w:color="auto"/>
              </w:rPr>
              <w:t xml:space="preserve"> </w:t>
            </w:r>
          </w:p>
        </w:tc>
      </w:tr>
    </w:tbl>
    <w:p w14:paraId="08D81FC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14:paraId="4D02D9EC">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8832F93">
            <w:pPr>
              <w:jc w:val="left"/>
              <w:textAlignment w:val="bottom"/>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附件7   </w:t>
            </w:r>
          </w:p>
        </w:tc>
      </w:tr>
      <w:tr w14:paraId="64726206">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2BD002C">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1D99F118">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6DF55D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重庆市工艺美术学校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5A24B945">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E32E4DE">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DF4EF97">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3D6A527">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9B2146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531ECA32">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E14838A">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212758D">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EBFE71D">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011ED01">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A68EE22">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B0A2C1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806854C">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8464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E18A5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C49B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63188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C4B6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36169FF9">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59C8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457A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62049D">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989D6">
            <w:pP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51902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1A331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E5A3B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1E73A">
            <w:pPr>
              <w:jc w:val="center"/>
              <w:rPr>
                <w:rFonts w:hint="default" w:ascii="Times New Roman" w:hAnsi="Times New Roman" w:cs="Times New Roman"/>
                <w:b/>
                <w:color w:val="000000"/>
                <w:sz w:val="20"/>
                <w:szCs w:val="20"/>
              </w:rPr>
            </w:pPr>
          </w:p>
        </w:tc>
      </w:tr>
      <w:tr w14:paraId="28B0E244">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8351E">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2E24D">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DB69F3">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520B9">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129BC3">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72A115">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7687F0">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7A5F0">
            <w:pPr>
              <w:jc w:val="center"/>
              <w:rPr>
                <w:rFonts w:hint="default" w:ascii="Times New Roman" w:hAnsi="Times New Roman" w:cs="Times New Roman"/>
                <w:b/>
                <w:color w:val="000000"/>
                <w:sz w:val="20"/>
                <w:szCs w:val="20"/>
              </w:rPr>
            </w:pPr>
          </w:p>
        </w:tc>
      </w:tr>
      <w:tr w14:paraId="211398F0">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27B20">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725E0">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E35AF8">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FC674">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5362D2">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AAF40F">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EA30F9">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243DE">
            <w:pPr>
              <w:jc w:val="center"/>
              <w:rPr>
                <w:rFonts w:hint="default" w:ascii="Times New Roman" w:hAnsi="Times New Roman" w:cs="Times New Roman"/>
                <w:b/>
                <w:color w:val="000000"/>
                <w:sz w:val="20"/>
                <w:szCs w:val="20"/>
              </w:rPr>
            </w:pPr>
          </w:p>
        </w:tc>
      </w:tr>
      <w:tr w14:paraId="48B7BFA8">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94F2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2ECA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E0A5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66CA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D474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8E62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F17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4B3F5405">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F629B">
            <w:pPr>
              <w:jc w:val="both"/>
              <w:textAlignment w:val="center"/>
              <w:rPr>
                <w:rFonts w:hint="default" w:ascii="Times New Roman" w:hAnsi="Times New Roman" w:cs="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AAF19">
            <w:pPr>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7699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7282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5EFF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2E99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8BC5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45C9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5894860E">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FA2C163">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5000" w:type="pct"/>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14:paraId="14C1229E">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959BC60">
            <w:pPr>
              <w:jc w:val="left"/>
              <w:textAlignment w:val="bottom"/>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附件8   </w:t>
            </w:r>
          </w:p>
        </w:tc>
      </w:tr>
      <w:tr w14:paraId="7CB79173">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FA7E4B6">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05AA7A31">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2D8599C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重庆市工艺美术学校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6AD631B">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8004FD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31ADFE7B">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3442C809">
            <w:pPr>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F12FB4E">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5AD987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43409FF">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F6588B">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59997E">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3ADAD17C">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7E94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31A38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71ED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6C8A4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259F8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4F69DA2B">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358FC">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E1A279">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6F449">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E5216A">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B089F4">
            <w:pPr>
              <w:jc w:val="center"/>
              <w:rPr>
                <w:rFonts w:hint="default" w:ascii="Times New Roman" w:hAnsi="Times New Roman" w:cs="Times New Roman"/>
                <w:b/>
                <w:color w:val="000000"/>
                <w:sz w:val="20"/>
                <w:szCs w:val="20"/>
              </w:rPr>
            </w:pPr>
          </w:p>
        </w:tc>
      </w:tr>
      <w:tr w14:paraId="756A794F">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7D3A3">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4FF6E2">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94E45">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601392">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5EBBFF">
            <w:pPr>
              <w:jc w:val="center"/>
              <w:rPr>
                <w:rFonts w:hint="default" w:ascii="Times New Roman" w:hAnsi="Times New Roman" w:cs="Times New Roman"/>
                <w:b/>
                <w:color w:val="000000"/>
                <w:sz w:val="20"/>
                <w:szCs w:val="20"/>
              </w:rPr>
            </w:pPr>
          </w:p>
        </w:tc>
      </w:tr>
      <w:tr w14:paraId="12C993F8">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00451">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3DDD93">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0B74A">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D31586">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DCACCE">
            <w:pPr>
              <w:jc w:val="center"/>
              <w:rPr>
                <w:rFonts w:hint="default" w:ascii="Times New Roman" w:hAnsi="Times New Roman" w:cs="Times New Roman"/>
                <w:b/>
                <w:color w:val="000000"/>
                <w:sz w:val="20"/>
                <w:szCs w:val="20"/>
              </w:rPr>
            </w:pPr>
          </w:p>
        </w:tc>
      </w:tr>
      <w:tr w14:paraId="1A513EB3">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DC5A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B9D7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2780D">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CC8E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741DC541">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E6A7B">
            <w:pPr>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C4C18">
            <w:pPr>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0AE4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1F30A">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435F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505ABB58">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0960BF7">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4611" w:type="pct"/>
        <w:tblInd w:w="0" w:type="dxa"/>
        <w:tblLayout w:type="fixed"/>
        <w:tblCellMar>
          <w:top w:w="0" w:type="dxa"/>
          <w:left w:w="170" w:type="dxa"/>
          <w:bottom w:w="0" w:type="dxa"/>
          <w:right w:w="170" w:type="dxa"/>
        </w:tblCellMar>
      </w:tblPr>
      <w:tblGrid>
        <w:gridCol w:w="3179"/>
        <w:gridCol w:w="2415"/>
        <w:gridCol w:w="2376"/>
        <w:gridCol w:w="3674"/>
        <w:gridCol w:w="2486"/>
      </w:tblGrid>
      <w:tr w14:paraId="46787ABE">
        <w:tblPrEx>
          <w:tblCellMar>
            <w:top w:w="0" w:type="dxa"/>
            <w:left w:w="170" w:type="dxa"/>
            <w:bottom w:w="0" w:type="dxa"/>
            <w:right w:w="170" w:type="dxa"/>
          </w:tblCellMar>
        </w:tblPrEx>
        <w:trPr>
          <w:trHeight w:val="196" w:hRule="atLeast"/>
        </w:trPr>
        <w:tc>
          <w:tcPr>
            <w:tcW w:w="5000" w:type="pct"/>
            <w:gridSpan w:val="5"/>
            <w:shd w:val="clear" w:color="auto" w:fill="auto"/>
            <w:noWrap/>
            <w:tcMar>
              <w:top w:w="15" w:type="dxa"/>
              <w:left w:w="15" w:type="dxa"/>
              <w:right w:w="15" w:type="dxa"/>
            </w:tcMar>
            <w:vAlign w:val="bottom"/>
          </w:tcPr>
          <w:p w14:paraId="0BB932F7">
            <w:pPr>
              <w:spacing w:line="400" w:lineRule="exact"/>
              <w:jc w:val="left"/>
              <w:textAlignment w:val="bottom"/>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附件9     </w:t>
            </w:r>
          </w:p>
        </w:tc>
      </w:tr>
      <w:tr w14:paraId="095CF0F7">
        <w:tblPrEx>
          <w:tblCellMar>
            <w:top w:w="0" w:type="dxa"/>
            <w:left w:w="170" w:type="dxa"/>
            <w:bottom w:w="0" w:type="dxa"/>
            <w:right w:w="170" w:type="dxa"/>
          </w:tblCellMar>
        </w:tblPrEx>
        <w:trPr>
          <w:trHeight w:val="311" w:hRule="atLeast"/>
        </w:trPr>
        <w:tc>
          <w:tcPr>
            <w:tcW w:w="5000" w:type="pct"/>
            <w:gridSpan w:val="5"/>
            <w:shd w:val="clear" w:color="auto" w:fill="auto"/>
            <w:noWrap/>
            <w:tcMar>
              <w:top w:w="15" w:type="dxa"/>
              <w:left w:w="15" w:type="dxa"/>
              <w:right w:w="15" w:type="dxa"/>
            </w:tcMar>
            <w:vAlign w:val="bottom"/>
          </w:tcPr>
          <w:p w14:paraId="084DEE1E">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0E139EFC">
        <w:tblPrEx>
          <w:tblCellMar>
            <w:top w:w="0" w:type="dxa"/>
            <w:left w:w="170" w:type="dxa"/>
            <w:bottom w:w="0" w:type="dxa"/>
            <w:right w:w="170" w:type="dxa"/>
          </w:tblCellMar>
        </w:tblPrEx>
        <w:trPr>
          <w:trHeight w:val="168" w:hRule="atLeast"/>
        </w:trPr>
        <w:tc>
          <w:tcPr>
            <w:tcW w:w="1124" w:type="pct"/>
            <w:shd w:val="clear" w:color="auto" w:fill="auto"/>
            <w:noWrap/>
            <w:tcMar>
              <w:top w:w="15" w:type="dxa"/>
              <w:left w:w="15" w:type="dxa"/>
              <w:right w:w="15" w:type="dxa"/>
            </w:tcMar>
            <w:vAlign w:val="bottom"/>
          </w:tcPr>
          <w:p w14:paraId="1CF14291">
            <w:pPr>
              <w:spacing w:line="280"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468FC0D0">
            <w:pPr>
              <w:spacing w:line="280"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3329969D">
            <w:pPr>
              <w:spacing w:line="280"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65795F72">
            <w:pPr>
              <w:spacing w:line="280"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2B13471E">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40B1FCD9">
        <w:tblPrEx>
          <w:tblCellMar>
            <w:top w:w="0" w:type="dxa"/>
            <w:left w:w="170" w:type="dxa"/>
            <w:bottom w:w="0" w:type="dxa"/>
            <w:right w:w="170" w:type="dxa"/>
          </w:tblCellMar>
        </w:tblPrEx>
        <w:trPr>
          <w:trHeight w:val="192"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B25D2A1">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重庆市工艺美术学校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2F939699">
            <w:pPr>
              <w:spacing w:line="280"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2FD95262">
            <w:pPr>
              <w:spacing w:line="280"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31CA8E15">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7AD69966">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F623D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7AFCC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DC5AC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59604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28AD9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19A5EC5C">
        <w:tblPrEx>
          <w:tblCellMar>
            <w:top w:w="0" w:type="dxa"/>
            <w:left w:w="170" w:type="dxa"/>
            <w:bottom w:w="0" w:type="dxa"/>
            <w:right w:w="170" w:type="dxa"/>
          </w:tblCellMar>
        </w:tblPrEx>
        <w:trPr>
          <w:trHeight w:val="241"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C3796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三公</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87593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A81D9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79C78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71D1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F98C25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87EBC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69449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39CAE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FB8B6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4F20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7E542D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E5A46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FC21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43E7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33EB7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C2E8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1DB145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30E4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A7A26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82EC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F1230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D55592">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53A2FEC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F9525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043C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FE064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0050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CD5B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u w:color="auto"/>
              </w:rPr>
              <w:t xml:space="preserve"> </w:t>
            </w:r>
          </w:p>
        </w:tc>
      </w:tr>
      <w:tr w14:paraId="74B1BEE2">
        <w:tblPrEx>
          <w:tblCellMar>
            <w:top w:w="0" w:type="dxa"/>
            <w:left w:w="170" w:type="dxa"/>
            <w:bottom w:w="0" w:type="dxa"/>
            <w:right w:w="170" w:type="dxa"/>
          </w:tblCellMar>
        </w:tblPrEx>
        <w:trPr>
          <w:trHeight w:val="251"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3DB5F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F42C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1A33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C3162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012B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354215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34262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CDB45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3D74D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C8F8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7BF2E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07A8A8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DE7FC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45110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25F2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014C1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1C62A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F00F40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8265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28D54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06A29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5CBC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C412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u w:color="auto"/>
              </w:rPr>
              <w:t xml:space="preserve"> </w:t>
            </w:r>
          </w:p>
        </w:tc>
      </w:tr>
      <w:tr w14:paraId="5EF0970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B7CC3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B0C5A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866C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BEC7F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84A81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193BE5E">
        <w:tblPrEx>
          <w:tblCellMar>
            <w:top w:w="0" w:type="dxa"/>
            <w:left w:w="170" w:type="dxa"/>
            <w:bottom w:w="0" w:type="dxa"/>
            <w:right w:w="170" w:type="dxa"/>
          </w:tblCellMar>
        </w:tblPrEx>
        <w:trPr>
          <w:trHeight w:val="251"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B026B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C5A84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28760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EAD7C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C9F3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7A97C4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D711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2D7B0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9D90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3455D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9DE8F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D537BE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EE91E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229A3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27CC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24CC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4CB9A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7CC916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1056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7271D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11AD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7FA3D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65B2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B3110C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5694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EEB05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EE253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0AC5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5A0CD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2FA588C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2FCDF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5E55E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1FC65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8F382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D003D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336.38</w:t>
            </w:r>
            <w:r>
              <w:rPr>
                <w:rFonts w:hint="default" w:ascii="Times New Roman" w:hAnsi="Times New Roman" w:cs="Times New Roman"/>
                <w:color w:val="000000"/>
                <w:sz w:val="18"/>
                <w:u w:color="auto"/>
              </w:rPr>
              <w:t xml:space="preserve"> </w:t>
            </w:r>
          </w:p>
        </w:tc>
      </w:tr>
      <w:tr w14:paraId="2B316B7B">
        <w:tblPrEx>
          <w:tblCellMar>
            <w:top w:w="0" w:type="dxa"/>
            <w:left w:w="170" w:type="dxa"/>
            <w:bottom w:w="0" w:type="dxa"/>
            <w:right w:w="170" w:type="dxa"/>
          </w:tblCellMar>
        </w:tblPrEx>
        <w:trPr>
          <w:trHeight w:val="251"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C5342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CD994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3019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D612F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B4633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10.78</w:t>
            </w:r>
            <w:r>
              <w:rPr>
                <w:rFonts w:hint="default" w:ascii="Times New Roman" w:hAnsi="Times New Roman" w:cs="Times New Roman"/>
                <w:color w:val="000000"/>
                <w:sz w:val="18"/>
                <w:u w:color="auto"/>
              </w:rPr>
              <w:t xml:space="preserve"> </w:t>
            </w:r>
          </w:p>
        </w:tc>
      </w:tr>
      <w:tr w14:paraId="1B689D3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827E4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597B2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E7C67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26CB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70DCC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237.80</w:t>
            </w:r>
            <w:r>
              <w:rPr>
                <w:rFonts w:hint="default" w:ascii="Times New Roman" w:hAnsi="Times New Roman" w:cs="Times New Roman"/>
                <w:color w:val="000000"/>
                <w:sz w:val="18"/>
                <w:u w:color="auto"/>
              </w:rPr>
              <w:t xml:space="preserve"> </w:t>
            </w:r>
          </w:p>
        </w:tc>
      </w:tr>
      <w:tr w14:paraId="3A0F7A4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75C96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C29CB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353C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150A6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3FDF8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87.80</w:t>
            </w:r>
            <w:r>
              <w:rPr>
                <w:rFonts w:hint="default" w:ascii="Times New Roman" w:hAnsi="Times New Roman" w:cs="Times New Roman"/>
                <w:color w:val="000000"/>
                <w:sz w:val="18"/>
                <w:u w:color="auto"/>
              </w:rPr>
              <w:t xml:space="preserve"> </w:t>
            </w:r>
          </w:p>
        </w:tc>
      </w:tr>
      <w:tr w14:paraId="0C0A17C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F3F7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1AC1A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5295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BEF13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E8C4A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248.58</w:t>
            </w:r>
            <w:r>
              <w:rPr>
                <w:rFonts w:hint="default" w:ascii="Times New Roman" w:hAnsi="Times New Roman" w:cs="Times New Roman"/>
                <w:color w:val="000000"/>
                <w:sz w:val="18"/>
                <w:u w:color="auto"/>
              </w:rPr>
              <w:t xml:space="preserve"> </w:t>
            </w:r>
          </w:p>
        </w:tc>
      </w:tr>
      <w:tr w14:paraId="492CEC9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2D601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2059A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1154D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ED68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2292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248.58</w:t>
            </w:r>
            <w:r>
              <w:rPr>
                <w:rFonts w:hint="default" w:ascii="Times New Roman" w:hAnsi="Times New Roman" w:cs="Times New Roman"/>
                <w:color w:val="000000"/>
                <w:sz w:val="18"/>
                <w:u w:color="auto"/>
              </w:rPr>
              <w:t xml:space="preserve"> </w:t>
            </w:r>
          </w:p>
        </w:tc>
      </w:tr>
      <w:tr w14:paraId="0EC376A6">
        <w:tblPrEx>
          <w:tblCellMar>
            <w:top w:w="0" w:type="dxa"/>
            <w:left w:w="170" w:type="dxa"/>
            <w:bottom w:w="0" w:type="dxa"/>
            <w:right w:w="170" w:type="dxa"/>
          </w:tblCellMar>
        </w:tblPrEx>
        <w:trPr>
          <w:trHeight w:val="25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643D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7D6A5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3124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0.76</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F4F85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302521">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44004949">
        <w:tblPrEx>
          <w:tblCellMar>
            <w:top w:w="0" w:type="dxa"/>
            <w:left w:w="170" w:type="dxa"/>
            <w:bottom w:w="0" w:type="dxa"/>
            <w:right w:w="170" w:type="dxa"/>
          </w:tblCellMar>
        </w:tblPrEx>
        <w:trPr>
          <w:trHeight w:val="210"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78C14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3EDFA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B97BD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28.03</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E0CA8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A17127">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1EE3CD6D">
        <w:tblPrEx>
          <w:tblCellMar>
            <w:top w:w="0" w:type="dxa"/>
            <w:left w:w="170" w:type="dxa"/>
            <w:bottom w:w="0" w:type="dxa"/>
            <w:right w:w="170" w:type="dxa"/>
          </w:tblCellMar>
        </w:tblPrEx>
        <w:trPr>
          <w:trHeight w:val="231"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702C7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16B2F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205B3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28.80</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17873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6A56EE">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14:paraId="07B0FA0E">
      <w:pPr>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cs="Times New Roman"/>
          <w:sz w:val="18"/>
          <w:szCs w:val="18"/>
        </w:rPr>
        <w:t>备注：1.本表反映单位本年度财政拨款</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经费支出预决算情况。其中，预算数为</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2.本套报表金额单位转换时可能存在尾数误差。</w:t>
      </w:r>
    </w:p>
    <w:sectPr>
      <w:headerReference r:id="rId4" w:type="default"/>
      <w:footerReference r:id="rId5" w:type="default"/>
      <w:pgSz w:w="16783" w:h="11850" w:orient="landscape"/>
      <w:pgMar w:top="567" w:right="454" w:bottom="567" w:left="1037" w:header="0" w:footer="283"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1" w:fontKey="{B3E66171-3FB8-4080-9D60-72A22C2EB033}"/>
  </w:font>
  <w:font w:name="方正黑体_GBK">
    <w:panose1 w:val="02010600010101010101"/>
    <w:charset w:val="86"/>
    <w:family w:val="script"/>
    <w:pitch w:val="default"/>
    <w:sig w:usb0="00000001" w:usb1="080E0000" w:usb2="00000000" w:usb3="00000000" w:csb0="00040000" w:csb1="00000000"/>
    <w:embedRegular r:id="rId2" w:fontKey="{EE8412E6-5DDA-494B-AB54-280349718C9A}"/>
  </w:font>
  <w:font w:name="方正楷体_GBK">
    <w:panose1 w:val="02000000000000000000"/>
    <w:charset w:val="86"/>
    <w:family w:val="script"/>
    <w:pitch w:val="default"/>
    <w:sig w:usb0="800002BF" w:usb1="38CF7CFA" w:usb2="00000016" w:usb3="00000000" w:csb0="00040000" w:csb1="00000000"/>
    <w:embedRegular r:id="rId3" w:fontKey="{E33A3B93-06D9-487A-B97E-DE6D6DD4E323}"/>
  </w:font>
  <w:font w:name="方正仿宋_GBK">
    <w:panose1 w:val="03000509000000000000"/>
    <w:charset w:val="86"/>
    <w:family w:val="script"/>
    <w:pitch w:val="default"/>
    <w:sig w:usb0="00000001" w:usb1="080E0000" w:usb2="00000000" w:usb3="00000000" w:csb0="00040000" w:csb1="00000000"/>
    <w:embedRegular r:id="rId4" w:fontKey="{0E690279-5607-4E2C-83B2-D6B67E54CA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46B8D">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E2643E">
                          <w:pPr>
                            <w:pStyle w:val="4"/>
                            <w:rPr>
                              <w:rFonts w:hint="default"/>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- 21 -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DE2643E">
                    <w:pPr>
                      <w:pStyle w:val="4"/>
                      <w:rPr>
                        <w:rFonts w:hint="default"/>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- 21 -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61DE0">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right</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66EFB1">
                          <w:pPr>
                            <w:pStyle w:val="4"/>
                            <w:rPr>
                              <w:rFonts w:hint="default"/>
                            </w:rPr>
                          </w:pPr>
                          <w: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PAGE   \* MERGEFORMAT</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28</w:t>
                          </w:r>
                          <w:r>
                            <w:rPr>
                              <w:rFonts w:hint="eastAsia" w:ascii="方正仿宋_GBK" w:hAnsi="方正仿宋_GBK" w:eastAsia="方正仿宋_GBK" w:cs="方正仿宋_GBK"/>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866EFB1">
                    <w:pPr>
                      <w:pStyle w:val="4"/>
                      <w:rPr>
                        <w:rFonts w:hint="default"/>
                      </w:rPr>
                    </w:pPr>
                    <w: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PAGE   \* MERGEFORMAT</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28</w:t>
                    </w:r>
                    <w:r>
                      <w:rPr>
                        <w:rFonts w:hint="eastAsia" w:ascii="方正仿宋_GBK" w:hAnsi="方正仿宋_GBK" w:eastAsia="方正仿宋_GBK" w:cs="方正仿宋_GBK"/>
                        <w:sz w:val="28"/>
                        <w:szCs w:val="28"/>
                      </w:rP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A24F202">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A24F202">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67B6F">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6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1YjkwNGFhOTM3OGQ2YWJiMTMxYzZkMmM2YjU1OGEifQ=="/>
  </w:docVars>
  <w:rsids>
    <w:rsidRoot w:val="00B03CCD"/>
    <w:rsid w:val="000D7BCC"/>
    <w:rsid w:val="00550ABE"/>
    <w:rsid w:val="007B419D"/>
    <w:rsid w:val="009B67B8"/>
    <w:rsid w:val="00A641FB"/>
    <w:rsid w:val="00B03CCD"/>
    <w:rsid w:val="00B95CDD"/>
    <w:rsid w:val="00DD54B4"/>
    <w:rsid w:val="01474EBF"/>
    <w:rsid w:val="019020B1"/>
    <w:rsid w:val="01F3521E"/>
    <w:rsid w:val="02056D00"/>
    <w:rsid w:val="03420658"/>
    <w:rsid w:val="03A52548"/>
    <w:rsid w:val="03E3214F"/>
    <w:rsid w:val="04446191"/>
    <w:rsid w:val="044C50BA"/>
    <w:rsid w:val="04553F6E"/>
    <w:rsid w:val="04677A9E"/>
    <w:rsid w:val="047C774D"/>
    <w:rsid w:val="052102F4"/>
    <w:rsid w:val="0536621F"/>
    <w:rsid w:val="05504736"/>
    <w:rsid w:val="056E1325"/>
    <w:rsid w:val="05DE1902"/>
    <w:rsid w:val="05E71467"/>
    <w:rsid w:val="06247E33"/>
    <w:rsid w:val="062C755F"/>
    <w:rsid w:val="063B7194"/>
    <w:rsid w:val="069114AA"/>
    <w:rsid w:val="06A2550B"/>
    <w:rsid w:val="06F80EE2"/>
    <w:rsid w:val="07001CCA"/>
    <w:rsid w:val="075321D2"/>
    <w:rsid w:val="075678DB"/>
    <w:rsid w:val="07932335"/>
    <w:rsid w:val="08040844"/>
    <w:rsid w:val="08051BCA"/>
    <w:rsid w:val="080A21BB"/>
    <w:rsid w:val="08730E61"/>
    <w:rsid w:val="0889068B"/>
    <w:rsid w:val="08BA052C"/>
    <w:rsid w:val="08DB07BA"/>
    <w:rsid w:val="08DF02AB"/>
    <w:rsid w:val="092211F1"/>
    <w:rsid w:val="09385C0D"/>
    <w:rsid w:val="098305D0"/>
    <w:rsid w:val="09B72B6E"/>
    <w:rsid w:val="09CC08B3"/>
    <w:rsid w:val="0A0C7F04"/>
    <w:rsid w:val="0A1E5CFB"/>
    <w:rsid w:val="0A227275"/>
    <w:rsid w:val="0A5C4B69"/>
    <w:rsid w:val="0A636CB9"/>
    <w:rsid w:val="0B9335CE"/>
    <w:rsid w:val="0BA10C97"/>
    <w:rsid w:val="0C014064"/>
    <w:rsid w:val="0C554661"/>
    <w:rsid w:val="0C601702"/>
    <w:rsid w:val="0C6C62F9"/>
    <w:rsid w:val="0C7927C4"/>
    <w:rsid w:val="0C9B098C"/>
    <w:rsid w:val="0CCF0636"/>
    <w:rsid w:val="0CE80A8F"/>
    <w:rsid w:val="0D472B48"/>
    <w:rsid w:val="0D673E11"/>
    <w:rsid w:val="0DB50EFE"/>
    <w:rsid w:val="0DD25DDB"/>
    <w:rsid w:val="0DDA54E4"/>
    <w:rsid w:val="0E3A5F83"/>
    <w:rsid w:val="0E602833"/>
    <w:rsid w:val="0E7E2314"/>
    <w:rsid w:val="0E9478E1"/>
    <w:rsid w:val="0F1E7653"/>
    <w:rsid w:val="0F503CB0"/>
    <w:rsid w:val="0F836721"/>
    <w:rsid w:val="0FC05ABE"/>
    <w:rsid w:val="10264A11"/>
    <w:rsid w:val="103645A3"/>
    <w:rsid w:val="10741E5C"/>
    <w:rsid w:val="107B59E5"/>
    <w:rsid w:val="10AA219D"/>
    <w:rsid w:val="10DB3A4D"/>
    <w:rsid w:val="11003CB0"/>
    <w:rsid w:val="11124E18"/>
    <w:rsid w:val="111445C7"/>
    <w:rsid w:val="1158083A"/>
    <w:rsid w:val="11676ED9"/>
    <w:rsid w:val="11F03528"/>
    <w:rsid w:val="12771554"/>
    <w:rsid w:val="129973FF"/>
    <w:rsid w:val="12C921C4"/>
    <w:rsid w:val="12DA353E"/>
    <w:rsid w:val="13850DCB"/>
    <w:rsid w:val="13871C70"/>
    <w:rsid w:val="13A71CB4"/>
    <w:rsid w:val="13AF1D43"/>
    <w:rsid w:val="13CE1647"/>
    <w:rsid w:val="14200702"/>
    <w:rsid w:val="144F3F11"/>
    <w:rsid w:val="15632263"/>
    <w:rsid w:val="1580711B"/>
    <w:rsid w:val="15893E86"/>
    <w:rsid w:val="16D80EBF"/>
    <w:rsid w:val="173E6AE4"/>
    <w:rsid w:val="17C81AF1"/>
    <w:rsid w:val="17EF28CF"/>
    <w:rsid w:val="18357EE7"/>
    <w:rsid w:val="188E18C4"/>
    <w:rsid w:val="189B0D0B"/>
    <w:rsid w:val="18BA03EC"/>
    <w:rsid w:val="18E03A42"/>
    <w:rsid w:val="18E8682F"/>
    <w:rsid w:val="18FF22A3"/>
    <w:rsid w:val="19232435"/>
    <w:rsid w:val="19313430"/>
    <w:rsid w:val="194A1770"/>
    <w:rsid w:val="19B906A4"/>
    <w:rsid w:val="19BC4734"/>
    <w:rsid w:val="19C960C9"/>
    <w:rsid w:val="1A0803F4"/>
    <w:rsid w:val="1A1F744B"/>
    <w:rsid w:val="1A27429E"/>
    <w:rsid w:val="1A3D12D5"/>
    <w:rsid w:val="1AA1530A"/>
    <w:rsid w:val="1AB10093"/>
    <w:rsid w:val="1ABB2DBA"/>
    <w:rsid w:val="1B501DE7"/>
    <w:rsid w:val="1B6F15B6"/>
    <w:rsid w:val="1B7966EB"/>
    <w:rsid w:val="1BAA2EDC"/>
    <w:rsid w:val="1BC027C5"/>
    <w:rsid w:val="1C712618"/>
    <w:rsid w:val="1CA3568E"/>
    <w:rsid w:val="1CBF2475"/>
    <w:rsid w:val="1CC57360"/>
    <w:rsid w:val="1CE157EE"/>
    <w:rsid w:val="1CE75528"/>
    <w:rsid w:val="1D014A01"/>
    <w:rsid w:val="1D022362"/>
    <w:rsid w:val="1D091B60"/>
    <w:rsid w:val="1D6D1692"/>
    <w:rsid w:val="1D794AE5"/>
    <w:rsid w:val="1DB63878"/>
    <w:rsid w:val="1DD26311"/>
    <w:rsid w:val="1DE57DAF"/>
    <w:rsid w:val="1DE97109"/>
    <w:rsid w:val="1E01158D"/>
    <w:rsid w:val="1E1D38F7"/>
    <w:rsid w:val="1E401394"/>
    <w:rsid w:val="1ED71DDE"/>
    <w:rsid w:val="1EF67CA4"/>
    <w:rsid w:val="1F1926EB"/>
    <w:rsid w:val="1F213FD9"/>
    <w:rsid w:val="1F901744"/>
    <w:rsid w:val="1F95570F"/>
    <w:rsid w:val="1FA871F0"/>
    <w:rsid w:val="1FCD26AF"/>
    <w:rsid w:val="20642787"/>
    <w:rsid w:val="20C83310"/>
    <w:rsid w:val="20EC77A3"/>
    <w:rsid w:val="20EF49EE"/>
    <w:rsid w:val="21303941"/>
    <w:rsid w:val="21556F04"/>
    <w:rsid w:val="216838F8"/>
    <w:rsid w:val="21BF4CC5"/>
    <w:rsid w:val="21F445A2"/>
    <w:rsid w:val="22211475"/>
    <w:rsid w:val="22403BD3"/>
    <w:rsid w:val="225278E7"/>
    <w:rsid w:val="229F0F42"/>
    <w:rsid w:val="23796AAD"/>
    <w:rsid w:val="24387FBF"/>
    <w:rsid w:val="247E49C4"/>
    <w:rsid w:val="24AF1021"/>
    <w:rsid w:val="24B92327"/>
    <w:rsid w:val="24CE5760"/>
    <w:rsid w:val="24D3717D"/>
    <w:rsid w:val="2533755C"/>
    <w:rsid w:val="25F3318F"/>
    <w:rsid w:val="26396DF4"/>
    <w:rsid w:val="266B763B"/>
    <w:rsid w:val="27070CA1"/>
    <w:rsid w:val="27167136"/>
    <w:rsid w:val="275D4D64"/>
    <w:rsid w:val="27A6670B"/>
    <w:rsid w:val="27B23302"/>
    <w:rsid w:val="27D424D7"/>
    <w:rsid w:val="285722C3"/>
    <w:rsid w:val="28D177B8"/>
    <w:rsid w:val="28D21782"/>
    <w:rsid w:val="28DC1FF8"/>
    <w:rsid w:val="291E0523"/>
    <w:rsid w:val="29310A5F"/>
    <w:rsid w:val="296F5223"/>
    <w:rsid w:val="29AC3D81"/>
    <w:rsid w:val="29B22956"/>
    <w:rsid w:val="29BB4D92"/>
    <w:rsid w:val="29C37A35"/>
    <w:rsid w:val="29E4351B"/>
    <w:rsid w:val="29F30439"/>
    <w:rsid w:val="2A076083"/>
    <w:rsid w:val="2A306CA5"/>
    <w:rsid w:val="2A355B25"/>
    <w:rsid w:val="2A58795E"/>
    <w:rsid w:val="2A73162E"/>
    <w:rsid w:val="2AB4113F"/>
    <w:rsid w:val="2AFA2E94"/>
    <w:rsid w:val="2B167953"/>
    <w:rsid w:val="2B200583"/>
    <w:rsid w:val="2B4104F9"/>
    <w:rsid w:val="2B8209DE"/>
    <w:rsid w:val="2C6762A3"/>
    <w:rsid w:val="2C9B2B95"/>
    <w:rsid w:val="2CA3146B"/>
    <w:rsid w:val="2CA945A8"/>
    <w:rsid w:val="2D3E1194"/>
    <w:rsid w:val="2D5F4C37"/>
    <w:rsid w:val="2D8D7A26"/>
    <w:rsid w:val="2D9708A4"/>
    <w:rsid w:val="2DAF3E40"/>
    <w:rsid w:val="2DC23B73"/>
    <w:rsid w:val="2E1B3283"/>
    <w:rsid w:val="2F34051B"/>
    <w:rsid w:val="2FE029D7"/>
    <w:rsid w:val="2FF06E00"/>
    <w:rsid w:val="30136C5B"/>
    <w:rsid w:val="30316D8E"/>
    <w:rsid w:val="30AE4883"/>
    <w:rsid w:val="315F0B22"/>
    <w:rsid w:val="31BE24D6"/>
    <w:rsid w:val="31D84415"/>
    <w:rsid w:val="32146967"/>
    <w:rsid w:val="32285F6F"/>
    <w:rsid w:val="32770556"/>
    <w:rsid w:val="329C0913"/>
    <w:rsid w:val="333077D1"/>
    <w:rsid w:val="3337290D"/>
    <w:rsid w:val="334B0167"/>
    <w:rsid w:val="33776404"/>
    <w:rsid w:val="33BE75C7"/>
    <w:rsid w:val="34036CF9"/>
    <w:rsid w:val="342A7754"/>
    <w:rsid w:val="34773C99"/>
    <w:rsid w:val="35076329"/>
    <w:rsid w:val="35245113"/>
    <w:rsid w:val="352930DB"/>
    <w:rsid w:val="35573069"/>
    <w:rsid w:val="356704E5"/>
    <w:rsid w:val="358C217E"/>
    <w:rsid w:val="359E7284"/>
    <w:rsid w:val="359F188C"/>
    <w:rsid w:val="36453EFF"/>
    <w:rsid w:val="364F4345"/>
    <w:rsid w:val="36AF465F"/>
    <w:rsid w:val="36C9128A"/>
    <w:rsid w:val="373448E7"/>
    <w:rsid w:val="375D2B5F"/>
    <w:rsid w:val="37841E99"/>
    <w:rsid w:val="379C594F"/>
    <w:rsid w:val="37BF1123"/>
    <w:rsid w:val="37C85E36"/>
    <w:rsid w:val="38BC1135"/>
    <w:rsid w:val="38BE4696"/>
    <w:rsid w:val="39B82A39"/>
    <w:rsid w:val="39F33306"/>
    <w:rsid w:val="3A257964"/>
    <w:rsid w:val="3ABA3748"/>
    <w:rsid w:val="3AD26294"/>
    <w:rsid w:val="3ADA1487"/>
    <w:rsid w:val="3ADC3D9A"/>
    <w:rsid w:val="3B1705E5"/>
    <w:rsid w:val="3B18334B"/>
    <w:rsid w:val="3B272509"/>
    <w:rsid w:val="3B36794F"/>
    <w:rsid w:val="3B544954"/>
    <w:rsid w:val="3B6E70E8"/>
    <w:rsid w:val="3B793FF0"/>
    <w:rsid w:val="3B97076E"/>
    <w:rsid w:val="3B9F72A2"/>
    <w:rsid w:val="3C30439E"/>
    <w:rsid w:val="3C5A5928"/>
    <w:rsid w:val="3C6A5B02"/>
    <w:rsid w:val="3CD2194F"/>
    <w:rsid w:val="3D2757A1"/>
    <w:rsid w:val="3D3D4FC4"/>
    <w:rsid w:val="3D9D1F07"/>
    <w:rsid w:val="3DDF3AB1"/>
    <w:rsid w:val="3DE60B7E"/>
    <w:rsid w:val="3E1D0952"/>
    <w:rsid w:val="3E42660A"/>
    <w:rsid w:val="3E7555B1"/>
    <w:rsid w:val="3EA42E21"/>
    <w:rsid w:val="3EA72472"/>
    <w:rsid w:val="3EDE1208"/>
    <w:rsid w:val="3F0527E5"/>
    <w:rsid w:val="3F16459E"/>
    <w:rsid w:val="3F4A6687"/>
    <w:rsid w:val="3F7E3672"/>
    <w:rsid w:val="3F9F1F66"/>
    <w:rsid w:val="4004000C"/>
    <w:rsid w:val="405B1676"/>
    <w:rsid w:val="408178BE"/>
    <w:rsid w:val="411B6CE5"/>
    <w:rsid w:val="412070D7"/>
    <w:rsid w:val="412A75E7"/>
    <w:rsid w:val="41314E40"/>
    <w:rsid w:val="415C674B"/>
    <w:rsid w:val="41CB59B8"/>
    <w:rsid w:val="41E201E1"/>
    <w:rsid w:val="41F82BF3"/>
    <w:rsid w:val="42511186"/>
    <w:rsid w:val="426C1EA8"/>
    <w:rsid w:val="42A07572"/>
    <w:rsid w:val="42E86A87"/>
    <w:rsid w:val="42F11D2D"/>
    <w:rsid w:val="43136432"/>
    <w:rsid w:val="432664FB"/>
    <w:rsid w:val="433E3844"/>
    <w:rsid w:val="43621049"/>
    <w:rsid w:val="443A3B12"/>
    <w:rsid w:val="44487B36"/>
    <w:rsid w:val="44EF6BE8"/>
    <w:rsid w:val="45067A1F"/>
    <w:rsid w:val="45A30364"/>
    <w:rsid w:val="45A51959"/>
    <w:rsid w:val="45E57482"/>
    <w:rsid w:val="45F60406"/>
    <w:rsid w:val="462431C5"/>
    <w:rsid w:val="465B470D"/>
    <w:rsid w:val="467D28D5"/>
    <w:rsid w:val="469D6AD4"/>
    <w:rsid w:val="47034AA6"/>
    <w:rsid w:val="47674801"/>
    <w:rsid w:val="47BE6D02"/>
    <w:rsid w:val="48225EF7"/>
    <w:rsid w:val="48A36D47"/>
    <w:rsid w:val="49204B5B"/>
    <w:rsid w:val="493D3FF8"/>
    <w:rsid w:val="495C4A24"/>
    <w:rsid w:val="49843F7B"/>
    <w:rsid w:val="49864801"/>
    <w:rsid w:val="49A21DF3"/>
    <w:rsid w:val="49C811E4"/>
    <w:rsid w:val="4A216E30"/>
    <w:rsid w:val="4ABD14F2"/>
    <w:rsid w:val="4AC753DC"/>
    <w:rsid w:val="4AF86D59"/>
    <w:rsid w:val="4B005883"/>
    <w:rsid w:val="4B645E12"/>
    <w:rsid w:val="4B6D2F19"/>
    <w:rsid w:val="4B7818BD"/>
    <w:rsid w:val="4B7951CB"/>
    <w:rsid w:val="4B7C315C"/>
    <w:rsid w:val="4B9300D7"/>
    <w:rsid w:val="4B99567B"/>
    <w:rsid w:val="4BA3693A"/>
    <w:rsid w:val="4BAB7F90"/>
    <w:rsid w:val="4BD53EDA"/>
    <w:rsid w:val="4BE11807"/>
    <w:rsid w:val="4C2640FA"/>
    <w:rsid w:val="4C484CE5"/>
    <w:rsid w:val="4CE8182D"/>
    <w:rsid w:val="4DAC4ACA"/>
    <w:rsid w:val="4DBC3CE3"/>
    <w:rsid w:val="4DD06F63"/>
    <w:rsid w:val="4DF645F1"/>
    <w:rsid w:val="4E043596"/>
    <w:rsid w:val="4E2F2707"/>
    <w:rsid w:val="4E7C3473"/>
    <w:rsid w:val="4E8F31A6"/>
    <w:rsid w:val="4E994025"/>
    <w:rsid w:val="4E9B0C57"/>
    <w:rsid w:val="4EA8523F"/>
    <w:rsid w:val="4F186D58"/>
    <w:rsid w:val="4F224836"/>
    <w:rsid w:val="4F231B40"/>
    <w:rsid w:val="4F9D18F3"/>
    <w:rsid w:val="4FC01A0F"/>
    <w:rsid w:val="507A34A9"/>
    <w:rsid w:val="50CC06E1"/>
    <w:rsid w:val="51760217"/>
    <w:rsid w:val="51A923EB"/>
    <w:rsid w:val="51AB6549"/>
    <w:rsid w:val="51E36677"/>
    <w:rsid w:val="51F01F7D"/>
    <w:rsid w:val="522F6E0C"/>
    <w:rsid w:val="52463BA1"/>
    <w:rsid w:val="52483D98"/>
    <w:rsid w:val="529F078E"/>
    <w:rsid w:val="53210AC4"/>
    <w:rsid w:val="537A50EC"/>
    <w:rsid w:val="53990623"/>
    <w:rsid w:val="53B60E4E"/>
    <w:rsid w:val="53C0244D"/>
    <w:rsid w:val="53DD4D4E"/>
    <w:rsid w:val="53E578CE"/>
    <w:rsid w:val="53EA10F5"/>
    <w:rsid w:val="541768A0"/>
    <w:rsid w:val="543B029D"/>
    <w:rsid w:val="54977029"/>
    <w:rsid w:val="54AF6350"/>
    <w:rsid w:val="551268DF"/>
    <w:rsid w:val="55214D74"/>
    <w:rsid w:val="554E5773"/>
    <w:rsid w:val="555A3CBC"/>
    <w:rsid w:val="558568C7"/>
    <w:rsid w:val="55EF4EA6"/>
    <w:rsid w:val="56530F5D"/>
    <w:rsid w:val="56EE372E"/>
    <w:rsid w:val="570D735E"/>
    <w:rsid w:val="579B2BBB"/>
    <w:rsid w:val="583A23D4"/>
    <w:rsid w:val="58403763"/>
    <w:rsid w:val="5842572D"/>
    <w:rsid w:val="58694A68"/>
    <w:rsid w:val="58BD4DB3"/>
    <w:rsid w:val="597D4CA0"/>
    <w:rsid w:val="598A28E2"/>
    <w:rsid w:val="59CD2D74"/>
    <w:rsid w:val="5A1F5D26"/>
    <w:rsid w:val="5A6279C1"/>
    <w:rsid w:val="5AAE70AA"/>
    <w:rsid w:val="5AD563E4"/>
    <w:rsid w:val="5AFA409D"/>
    <w:rsid w:val="5B37709F"/>
    <w:rsid w:val="5B7200D7"/>
    <w:rsid w:val="5BB4249E"/>
    <w:rsid w:val="5BDE576D"/>
    <w:rsid w:val="5BED59B0"/>
    <w:rsid w:val="5C0351D3"/>
    <w:rsid w:val="5C1336B7"/>
    <w:rsid w:val="5C263CE4"/>
    <w:rsid w:val="5C5D2777"/>
    <w:rsid w:val="5C722D7F"/>
    <w:rsid w:val="5D290C69"/>
    <w:rsid w:val="5DA3771A"/>
    <w:rsid w:val="5DC17CC6"/>
    <w:rsid w:val="5E2027EA"/>
    <w:rsid w:val="5E2C6C63"/>
    <w:rsid w:val="5E9D190F"/>
    <w:rsid w:val="5EFA176D"/>
    <w:rsid w:val="5F0247F9"/>
    <w:rsid w:val="5F2D4A41"/>
    <w:rsid w:val="5F6E0E52"/>
    <w:rsid w:val="5FC1162D"/>
    <w:rsid w:val="601C34ED"/>
    <w:rsid w:val="60A511FB"/>
    <w:rsid w:val="60E82D07"/>
    <w:rsid w:val="61011AE6"/>
    <w:rsid w:val="61025A59"/>
    <w:rsid w:val="61243714"/>
    <w:rsid w:val="613D5BBC"/>
    <w:rsid w:val="61536C39"/>
    <w:rsid w:val="616D60F9"/>
    <w:rsid w:val="6189617B"/>
    <w:rsid w:val="62944DD7"/>
    <w:rsid w:val="629F08EF"/>
    <w:rsid w:val="634265E1"/>
    <w:rsid w:val="63497036"/>
    <w:rsid w:val="634C7460"/>
    <w:rsid w:val="6370679C"/>
    <w:rsid w:val="63C1619B"/>
    <w:rsid w:val="63C25DC5"/>
    <w:rsid w:val="63C62057"/>
    <w:rsid w:val="63C73832"/>
    <w:rsid w:val="63E37DC4"/>
    <w:rsid w:val="64032214"/>
    <w:rsid w:val="64192A39"/>
    <w:rsid w:val="64754794"/>
    <w:rsid w:val="64A90429"/>
    <w:rsid w:val="64CD45D0"/>
    <w:rsid w:val="64FB113D"/>
    <w:rsid w:val="65437232"/>
    <w:rsid w:val="6544377C"/>
    <w:rsid w:val="655F5939"/>
    <w:rsid w:val="656152C6"/>
    <w:rsid w:val="6587477F"/>
    <w:rsid w:val="658C3A08"/>
    <w:rsid w:val="65C031CA"/>
    <w:rsid w:val="65CE6852"/>
    <w:rsid w:val="65F004F9"/>
    <w:rsid w:val="65F359BD"/>
    <w:rsid w:val="66267C04"/>
    <w:rsid w:val="663F505A"/>
    <w:rsid w:val="667F2393"/>
    <w:rsid w:val="66D41C46"/>
    <w:rsid w:val="66D6776C"/>
    <w:rsid w:val="66EE5541"/>
    <w:rsid w:val="66F916AD"/>
    <w:rsid w:val="67086152"/>
    <w:rsid w:val="679A69D1"/>
    <w:rsid w:val="685B17D3"/>
    <w:rsid w:val="687E3C3B"/>
    <w:rsid w:val="687E45FE"/>
    <w:rsid w:val="6884144A"/>
    <w:rsid w:val="692172FD"/>
    <w:rsid w:val="692D1AE1"/>
    <w:rsid w:val="69B1626F"/>
    <w:rsid w:val="69E00902"/>
    <w:rsid w:val="6A3829EE"/>
    <w:rsid w:val="6A924CB7"/>
    <w:rsid w:val="6AE0292E"/>
    <w:rsid w:val="6B1271E1"/>
    <w:rsid w:val="6B474EF5"/>
    <w:rsid w:val="6B5275DD"/>
    <w:rsid w:val="6BC27679"/>
    <w:rsid w:val="6BC54EFE"/>
    <w:rsid w:val="6BF40694"/>
    <w:rsid w:val="6C0737CC"/>
    <w:rsid w:val="6C560CAE"/>
    <w:rsid w:val="6CBC3D91"/>
    <w:rsid w:val="6CD15296"/>
    <w:rsid w:val="6D1C7C53"/>
    <w:rsid w:val="6D305459"/>
    <w:rsid w:val="6D903FF5"/>
    <w:rsid w:val="6DA955B8"/>
    <w:rsid w:val="6DE346AB"/>
    <w:rsid w:val="6E1F40EF"/>
    <w:rsid w:val="6F7B5355"/>
    <w:rsid w:val="6FFB2E76"/>
    <w:rsid w:val="70417492"/>
    <w:rsid w:val="706E6C67"/>
    <w:rsid w:val="70AB70D6"/>
    <w:rsid w:val="70DE5507"/>
    <w:rsid w:val="70F44A85"/>
    <w:rsid w:val="71080E6A"/>
    <w:rsid w:val="71864485"/>
    <w:rsid w:val="71BC3D57"/>
    <w:rsid w:val="71C34D91"/>
    <w:rsid w:val="71ED38AA"/>
    <w:rsid w:val="71F413EE"/>
    <w:rsid w:val="723F3B65"/>
    <w:rsid w:val="72DB435C"/>
    <w:rsid w:val="738549F4"/>
    <w:rsid w:val="73D56FFD"/>
    <w:rsid w:val="74933140"/>
    <w:rsid w:val="749F4777"/>
    <w:rsid w:val="74CE4A13"/>
    <w:rsid w:val="74ED1B1B"/>
    <w:rsid w:val="750837F0"/>
    <w:rsid w:val="750F1273"/>
    <w:rsid w:val="756B7C19"/>
    <w:rsid w:val="75B26816"/>
    <w:rsid w:val="75C15A8B"/>
    <w:rsid w:val="762A73EF"/>
    <w:rsid w:val="7631412E"/>
    <w:rsid w:val="763D3B4D"/>
    <w:rsid w:val="764B51BB"/>
    <w:rsid w:val="764F62AB"/>
    <w:rsid w:val="765C45EC"/>
    <w:rsid w:val="768A7619"/>
    <w:rsid w:val="76BD6253"/>
    <w:rsid w:val="770D2112"/>
    <w:rsid w:val="7714640F"/>
    <w:rsid w:val="775F730A"/>
    <w:rsid w:val="77BF424C"/>
    <w:rsid w:val="77EA362A"/>
    <w:rsid w:val="77F35CA4"/>
    <w:rsid w:val="780E2ADE"/>
    <w:rsid w:val="78445AF4"/>
    <w:rsid w:val="7875383E"/>
    <w:rsid w:val="792A1B99"/>
    <w:rsid w:val="794C1B10"/>
    <w:rsid w:val="79690914"/>
    <w:rsid w:val="796D60A4"/>
    <w:rsid w:val="79A031D5"/>
    <w:rsid w:val="79A52681"/>
    <w:rsid w:val="79BE0425"/>
    <w:rsid w:val="7A1525F7"/>
    <w:rsid w:val="7A3E6CB6"/>
    <w:rsid w:val="7A8F3B44"/>
    <w:rsid w:val="7A974C11"/>
    <w:rsid w:val="7A99799F"/>
    <w:rsid w:val="7AAB4252"/>
    <w:rsid w:val="7AAC0AB8"/>
    <w:rsid w:val="7AAD2A82"/>
    <w:rsid w:val="7B315461"/>
    <w:rsid w:val="7B420052"/>
    <w:rsid w:val="7B7D43A1"/>
    <w:rsid w:val="7B9C6D7F"/>
    <w:rsid w:val="7BD06A28"/>
    <w:rsid w:val="7C0C5586"/>
    <w:rsid w:val="7C1E4CD7"/>
    <w:rsid w:val="7C3A7C0B"/>
    <w:rsid w:val="7C5248E4"/>
    <w:rsid w:val="7C566698"/>
    <w:rsid w:val="7C5F1B5A"/>
    <w:rsid w:val="7C676993"/>
    <w:rsid w:val="7CC3033B"/>
    <w:rsid w:val="7CC52305"/>
    <w:rsid w:val="7CE56AF6"/>
    <w:rsid w:val="7CF02E5B"/>
    <w:rsid w:val="7CF9064D"/>
    <w:rsid w:val="7D213FB2"/>
    <w:rsid w:val="7D585220"/>
    <w:rsid w:val="7D9615AC"/>
    <w:rsid w:val="7E370FE0"/>
    <w:rsid w:val="7EF23378"/>
    <w:rsid w:val="7F0C5FC9"/>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5202</Words>
  <Characters>5817</Characters>
  <Lines>161</Lines>
  <Paragraphs>45</Paragraphs>
  <TotalTime>0</TotalTime>
  <ScaleCrop>false</ScaleCrop>
  <LinksUpToDate>false</LinksUpToDate>
  <CharactersWithSpaces>5873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silence</cp:lastModifiedBy>
  <dcterms:modified xsi:type="dcterms:W3CDTF">2025-11-12T06:25:16Z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952C018415BF4142915EBA6F185F7F92_13</vt:lpwstr>
  </property>
  <property fmtid="{D5CDD505-2E9C-101B-9397-08002B2CF9AE}" pid="4" name="KSOTemplateDocerSaveRecord">
    <vt:lpwstr>eyJoZGlkIjoiZjRmYWUxOWJhMWE5OGFmZGQyNzA0NjBkZTNhOGRjMDEiLCJ1c2VySWQiOiIyNDg4ODMzNzUifQ==</vt:lpwstr>
  </property>
</Properties>
</file>