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A15D3">
      <w:pPr>
        <w:pStyle w:val="8"/>
        <w:keepNext w:val="0"/>
        <w:keepLines w:val="0"/>
        <w:pageBreakBefore w:val="0"/>
        <w:kinsoku/>
        <w:overflowPunct/>
        <w:topLinePunct w:val="0"/>
        <w:autoSpaceDN/>
        <w:bidi w:val="0"/>
        <w:spacing w:before="0" w:beforeAutospacing="0" w:after="0" w:afterAutospacing="0" w:line="60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重庆市九龙坡职业教育中心</w:t>
      </w:r>
    </w:p>
    <w:p w14:paraId="212455EB">
      <w:pPr>
        <w:pStyle w:val="8"/>
        <w:keepNext w:val="0"/>
        <w:keepLines w:val="0"/>
        <w:pageBreakBefore w:val="0"/>
        <w:kinsoku/>
        <w:overflowPunct/>
        <w:topLinePunct w:val="0"/>
        <w:autoSpaceDN/>
        <w:bidi w:val="0"/>
        <w:spacing w:before="0" w:beforeAutospacing="0" w:after="0" w:afterAutospacing="0" w:line="600" w:lineRule="exact"/>
        <w:jc w:val="center"/>
        <w:rPr>
          <w:rFonts w:hint="eastAsia" w:ascii="Times New Roman" w:hAnsi="Times New Roman" w:eastAsia="微软雅黑" w:cs="微软雅黑"/>
          <w:sz w:val="44"/>
          <w:szCs w:val="44"/>
          <w:shd w:val="clear" w:color="auto" w:fill="FFFFFF"/>
        </w:rPr>
      </w:pPr>
      <w:r>
        <w:rPr>
          <w:rFonts w:hint="eastAsia" w:ascii="方正小标宋_GBK" w:hAnsi="方正小标宋_GBK" w:eastAsia="方正小标宋_GBK" w:cs="方正小标宋_GBK"/>
          <w:b w:val="0"/>
          <w:bCs w:val="0"/>
          <w:sz w:val="44"/>
          <w:szCs w:val="44"/>
          <w:shd w:val="clear" w:color="auto" w:fill="FFFFFF"/>
        </w:rPr>
        <w:t>20</w:t>
      </w:r>
      <w:r>
        <w:rPr>
          <w:rFonts w:hint="eastAsia" w:ascii="方正小标宋_GBK" w:hAnsi="方正小标宋_GBK" w:eastAsia="方正小标宋_GBK" w:cs="方正小标宋_GBK"/>
          <w:b w:val="0"/>
          <w:bCs w:val="0"/>
          <w:sz w:val="44"/>
          <w:szCs w:val="44"/>
        </w:rPr>
        <w:t>24年度</w:t>
      </w:r>
      <w:r>
        <w:rPr>
          <w:rFonts w:hint="eastAsia" w:ascii="方正小标宋_GBK" w:hAnsi="方正小标宋_GBK" w:eastAsia="方正小标宋_GBK" w:cs="方正小标宋_GBK"/>
          <w:b w:val="0"/>
          <w:bCs w:val="0"/>
          <w:sz w:val="44"/>
          <w:szCs w:val="44"/>
          <w:lang w:val="en-US" w:eastAsia="zh-CN"/>
        </w:rPr>
        <w:t>单位</w:t>
      </w:r>
      <w:r>
        <w:rPr>
          <w:rFonts w:hint="eastAsia" w:ascii="方正小标宋_GBK" w:hAnsi="方正小标宋_GBK" w:eastAsia="方正小标宋_GBK" w:cs="方正小标宋_GBK"/>
          <w:b w:val="0"/>
          <w:bCs w:val="0"/>
          <w:sz w:val="44"/>
          <w:szCs w:val="44"/>
        </w:rPr>
        <w:t>决算</w:t>
      </w:r>
      <w:r>
        <w:rPr>
          <w:rFonts w:hint="eastAsia" w:ascii="方正小标宋_GBK" w:hAnsi="方正小标宋_GBK" w:eastAsia="方正小标宋_GBK" w:cs="方正小标宋_GBK"/>
          <w:b w:val="0"/>
          <w:bCs w:val="0"/>
          <w:sz w:val="44"/>
          <w:szCs w:val="44"/>
          <w:lang w:val="en-US" w:eastAsia="zh-CN"/>
        </w:rPr>
        <w:t>情况</w:t>
      </w:r>
      <w:r>
        <w:rPr>
          <w:rFonts w:hint="eastAsia" w:ascii="方正小标宋_GBK" w:hAnsi="方正小标宋_GBK" w:eastAsia="方正小标宋_GBK" w:cs="方正小标宋_GBK"/>
          <w:b w:val="0"/>
          <w:bCs w:val="0"/>
          <w:sz w:val="44"/>
          <w:szCs w:val="44"/>
        </w:rPr>
        <w:t>说明</w:t>
      </w:r>
    </w:p>
    <w:p w14:paraId="2584114F">
      <w:pPr>
        <w:keepNext w:val="0"/>
        <w:keepLines w:val="0"/>
        <w:pageBreakBefore w:val="0"/>
        <w:widowControl/>
        <w:kinsoku/>
        <w:overflowPunct/>
        <w:topLinePunct w:val="0"/>
        <w:autoSpaceDN/>
        <w:bidi w:val="0"/>
        <w:spacing w:beforeAutospacing="0" w:afterAutospacing="0" w:line="600" w:lineRule="exact"/>
        <w:ind w:firstLine="640" w:firstLineChars="200"/>
        <w:jc w:val="both"/>
        <w:rPr>
          <w:rStyle w:val="11"/>
          <w:rFonts w:hint="eastAsia" w:ascii="Times New Roman" w:hAnsi="Times New Roman" w:eastAsia="方正黑体_GBK" w:cs="黑体"/>
          <w:b w:val="0"/>
          <w:bCs/>
          <w:sz w:val="32"/>
          <w:szCs w:val="32"/>
          <w:shd w:val="clear" w:color="auto" w:fill="FFFFFF"/>
          <w:lang w:val="en-US" w:eastAsia="zh-Hans" w:bidi="ar-SA"/>
        </w:rPr>
      </w:pPr>
    </w:p>
    <w:p w14:paraId="3CB9B7F6">
      <w:pPr>
        <w:keepNext w:val="0"/>
        <w:keepLines w:val="0"/>
        <w:pageBreakBefore w:val="0"/>
        <w:widowControl/>
        <w:kinsoku/>
        <w:wordWrap/>
        <w:overflowPunct/>
        <w:topLinePunct w:val="0"/>
        <w:autoSpaceDE/>
        <w:autoSpaceDN/>
        <w:bidi w:val="0"/>
        <w:adjustRightInd/>
        <w:spacing w:beforeAutospacing="0" w:afterAutospacing="0" w:line="600" w:lineRule="exact"/>
        <w:ind w:firstLine="640" w:firstLineChars="200"/>
        <w:jc w:val="both"/>
        <w:textAlignment w:val="auto"/>
        <w:rPr>
          <w:rStyle w:val="11"/>
          <w:rFonts w:hint="default" w:ascii="Times New Roman" w:hAnsi="Times New Roman" w:eastAsia="方正黑体_GBK" w:cs="黑体"/>
          <w:b w:val="0"/>
          <w:bCs/>
          <w:sz w:val="32"/>
          <w:szCs w:val="32"/>
          <w:shd w:val="clear" w:color="auto" w:fill="FFFFFF"/>
          <w:lang w:val="en-US" w:eastAsia="zh-Hans" w:bidi="ar-SA"/>
        </w:rPr>
      </w:pPr>
      <w:r>
        <w:rPr>
          <w:rStyle w:val="11"/>
          <w:rFonts w:hint="eastAsia" w:ascii="Times New Roman" w:hAnsi="Times New Roman" w:eastAsia="方正黑体_GBK" w:cs="黑体"/>
          <w:b w:val="0"/>
          <w:bCs/>
          <w:sz w:val="32"/>
          <w:szCs w:val="32"/>
          <w:shd w:val="clear" w:color="auto" w:fill="FFFFFF"/>
          <w:lang w:val="en-US" w:eastAsia="zh-Hans" w:bidi="ar-SA"/>
        </w:rPr>
        <w:t>一、</w:t>
      </w:r>
      <w:r>
        <w:rPr>
          <w:rStyle w:val="11"/>
          <w:rFonts w:hint="eastAsia" w:ascii="Times New Roman" w:hAnsi="Times New Roman" w:eastAsia="方正黑体_GBK" w:cs="黑体"/>
          <w:b w:val="0"/>
          <w:bCs/>
          <w:sz w:val="32"/>
          <w:szCs w:val="32"/>
          <w:shd w:val="clear" w:color="auto" w:fill="FFFFFF"/>
          <w:lang w:val="en-US" w:eastAsia="zh-CN" w:bidi="ar-SA"/>
        </w:rPr>
        <w:t>单位</w:t>
      </w:r>
      <w:r>
        <w:rPr>
          <w:rStyle w:val="11"/>
          <w:rFonts w:hint="eastAsia" w:ascii="Times New Roman" w:hAnsi="Times New Roman" w:eastAsia="方正黑体_GBK" w:cs="黑体"/>
          <w:b w:val="0"/>
          <w:bCs/>
          <w:sz w:val="32"/>
          <w:szCs w:val="32"/>
          <w:shd w:val="clear" w:color="auto" w:fill="FFFFFF"/>
          <w:lang w:val="en-US" w:eastAsia="zh-Hans" w:bidi="ar-SA"/>
        </w:rPr>
        <w:t>基本情况</w:t>
      </w:r>
    </w:p>
    <w:p w14:paraId="60A2E1D9">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exact"/>
        <w:ind w:firstLine="420"/>
        <w:jc w:val="both"/>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（一）职能职责</w:t>
      </w:r>
      <w:bookmarkStart w:id="1" w:name="_GoBack"/>
      <w:bookmarkEnd w:id="1"/>
    </w:p>
    <w:p w14:paraId="43DEF54F">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1.开展教学管理工作。主要包括在校学生理论知识、基础知识、专业技能教学、教学督导、学籍管理、教材管理、图书资料管理、教改科研等工作。</w:t>
      </w:r>
    </w:p>
    <w:p w14:paraId="4390BC9F">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2.开展学生教育管理工作。主要包括对在校生思想教育和道德教育、学生社团活动、学生资助、学生户口管理、学生档案管理等工作。</w:t>
      </w:r>
    </w:p>
    <w:p w14:paraId="0F92D32B">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3.承担招生及毕业生就业服务工作。主要包括招生、学生就业指导、实习安置服务、就业信息反馈、校企合作等工作。</w:t>
      </w:r>
    </w:p>
    <w:p w14:paraId="4354855F">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4.承担职业技能培训与鉴定工作。主要包括在校生职业技能培训、社会委托培训、资质范围内的职业技能鉴定工作。</w:t>
      </w:r>
    </w:p>
    <w:p w14:paraId="39E6FC44">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5.负责校园安全管理及后勤保障工作。主要包括学校消防、学校治安、校园巡查、学校餐饮服务、校园环境保洁、学生宿舍管理、设施建设及维护等工作。</w:t>
      </w:r>
    </w:p>
    <w:p w14:paraId="731558E5">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6.承担学校行政管理工作。主要包括人事、财务、档案、宣传等工作。</w:t>
      </w:r>
    </w:p>
    <w:p w14:paraId="069BD99B">
      <w:pPr>
        <w:pStyle w:val="8"/>
        <w:keepNext w:val="0"/>
        <w:keepLines w:val="0"/>
        <w:pageBreakBefore w:val="0"/>
        <w:shd w:val="clear" w:color="auto" w:fill="FFFFFF"/>
        <w:kinsoku/>
        <w:overflowPunct/>
        <w:topLinePunct w:val="0"/>
        <w:autoSpaceDN/>
        <w:bidi w:val="0"/>
        <w:spacing w:beforeAutospacing="0" w:afterAutospacing="0" w:line="600" w:lineRule="exact"/>
        <w:ind w:firstLine="420"/>
        <w:jc w:val="both"/>
        <w:rPr>
          <w:rStyle w:val="11"/>
          <w:rFonts w:hint="default"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（二）机构设置</w:t>
      </w:r>
    </w:p>
    <w:p w14:paraId="7B831C8A">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重庆市九龙坡职业教育中心是财政全额拨款的事业单位，内设机构14个，分别为党委办公室、行政办公室、安全稳定办公室、纪检办公室、渝西校区筹备办公室、招生办公室、发展研究处、教务处、学生处、校企合作与培训处、总务处、信息技术处、工会、团委，设5个专业部分别为汽车工程部、智能制造部、数字商务部、现代服务部</w:t>
      </w:r>
      <w:r>
        <w:rPr>
          <w:rFonts w:hint="eastAsia" w:ascii="Times New Roman" w:hAnsi="Times New Roman" w:eastAsia="方正仿宋_GBK" w:cs="方正仿宋_GBK"/>
          <w:sz w:val="32"/>
          <w:szCs w:val="32"/>
          <w:lang w:val="zh-CN"/>
        </w:rPr>
        <w:t>、</w:t>
      </w:r>
      <w:r>
        <w:rPr>
          <w:rFonts w:hint="eastAsia" w:ascii="Times New Roman" w:hAnsi="Times New Roman" w:eastAsia="方正仿宋_GBK" w:cs="方正仿宋_GBK"/>
          <w:sz w:val="32"/>
          <w:szCs w:val="32"/>
        </w:rPr>
        <w:t>综合高中部。</w:t>
      </w:r>
    </w:p>
    <w:p w14:paraId="592077A6">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Style w:val="11"/>
          <w:rFonts w:hint="default" w:ascii="Times New Roman" w:hAnsi="Times New Roman" w:eastAsia="方正黑体_GBK" w:cs="黑体"/>
          <w:b w:val="0"/>
          <w:bCs/>
          <w:sz w:val="32"/>
          <w:szCs w:val="32"/>
          <w:shd w:val="clear" w:color="auto" w:fill="FFFFFF"/>
          <w:lang w:val="en-US" w:eastAsia="zh-Hans" w:bidi="ar-SA"/>
        </w:rPr>
      </w:pPr>
      <w:r>
        <w:rPr>
          <w:rStyle w:val="11"/>
          <w:rFonts w:hint="eastAsia" w:ascii="Times New Roman" w:hAnsi="Times New Roman" w:eastAsia="方正黑体_GBK" w:cs="黑体"/>
          <w:b w:val="0"/>
          <w:bCs/>
          <w:sz w:val="32"/>
          <w:szCs w:val="32"/>
          <w:shd w:val="clear" w:color="auto" w:fill="FFFFFF"/>
          <w:lang w:val="en-US" w:eastAsia="zh-Hans" w:bidi="ar-SA"/>
        </w:rPr>
        <w:t>二、</w:t>
      </w:r>
      <w:r>
        <w:rPr>
          <w:rStyle w:val="11"/>
          <w:rFonts w:hint="eastAsia" w:ascii="Times New Roman" w:hAnsi="Times New Roman" w:eastAsia="方正黑体_GBK" w:cs="黑体"/>
          <w:b w:val="0"/>
          <w:bCs/>
          <w:sz w:val="32"/>
          <w:szCs w:val="32"/>
          <w:shd w:val="clear" w:color="auto" w:fill="FFFFFF"/>
          <w:lang w:val="en-US" w:eastAsia="zh-CN" w:bidi="ar-SA"/>
        </w:rPr>
        <w:t>单位</w:t>
      </w:r>
      <w:r>
        <w:rPr>
          <w:rStyle w:val="11"/>
          <w:rFonts w:hint="eastAsia" w:ascii="Times New Roman" w:hAnsi="Times New Roman" w:eastAsia="方正黑体_GBK" w:cs="黑体"/>
          <w:b w:val="0"/>
          <w:bCs/>
          <w:sz w:val="32"/>
          <w:szCs w:val="32"/>
          <w:shd w:val="clear" w:color="auto" w:fill="FFFFFF"/>
          <w:lang w:val="en-US" w:eastAsia="zh-Hans" w:bidi="ar-SA"/>
        </w:rPr>
        <w:t>决算</w:t>
      </w:r>
      <w:r>
        <w:rPr>
          <w:rStyle w:val="11"/>
          <w:rFonts w:hint="eastAsia" w:ascii="Times New Roman" w:hAnsi="Times New Roman" w:eastAsia="方正黑体_GBK" w:cs="黑体"/>
          <w:b w:val="0"/>
          <w:bCs/>
          <w:sz w:val="32"/>
          <w:szCs w:val="32"/>
          <w:shd w:val="clear" w:color="auto" w:fill="FFFFFF"/>
          <w:lang w:val="en-US" w:eastAsia="zh-CN" w:bidi="ar-SA"/>
        </w:rPr>
        <w:t>收支</w:t>
      </w:r>
      <w:r>
        <w:rPr>
          <w:rStyle w:val="11"/>
          <w:rFonts w:hint="eastAsia" w:ascii="Times New Roman" w:hAnsi="Times New Roman" w:eastAsia="方正黑体_GBK" w:cs="黑体"/>
          <w:b w:val="0"/>
          <w:bCs/>
          <w:sz w:val="32"/>
          <w:szCs w:val="32"/>
          <w:shd w:val="clear" w:color="auto" w:fill="FFFFFF"/>
          <w:lang w:val="en-US" w:eastAsia="zh-Hans" w:bidi="ar-SA"/>
        </w:rPr>
        <w:t>情况说明</w:t>
      </w:r>
    </w:p>
    <w:p w14:paraId="1AE10836">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420"/>
        <w:jc w:val="both"/>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（一）收入支出决算总体情况说明。</w:t>
      </w:r>
    </w:p>
    <w:p w14:paraId="3008184D">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Times New Roman" w:hAnsi="Times New Roman" w:eastAsia="方正仿宋_GBK" w:cs="方正仿宋_GBK"/>
          <w:sz w:val="32"/>
          <w:szCs w:val="32"/>
          <w:shd w:val="clear" w:color="auto" w:fill="FFFFFF"/>
          <w:lang w:val="en-US" w:eastAsia="zh-CN"/>
        </w:rPr>
      </w:pPr>
      <w:r>
        <w:rPr>
          <w:rStyle w:val="11"/>
          <w:rFonts w:hint="default" w:ascii="Times New Roman" w:hAnsi="Times New Roman" w:eastAsia="方正仿宋_GBK" w:cs="Times New Roman"/>
          <w:b/>
          <w:bCs w:val="0"/>
          <w:sz w:val="32"/>
          <w:szCs w:val="32"/>
          <w:shd w:val="clear" w:color="auto" w:fill="FFFFFF"/>
        </w:rPr>
        <w:t>1</w:t>
      </w:r>
      <w:r>
        <w:rPr>
          <w:rStyle w:val="11"/>
          <w:rFonts w:ascii="Times New Roman" w:hAnsi="Times New Roman" w:eastAsia="方正仿宋_GBK" w:cs="方正仿宋_GBK"/>
          <w:b/>
          <w:bCs w:val="0"/>
          <w:sz w:val="32"/>
          <w:szCs w:val="32"/>
          <w:shd w:val="clear" w:color="auto" w:fill="FFFFFF"/>
        </w:rPr>
        <w:t>.总体情况。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度收入总计10493.94万元，支出总计</w:t>
      </w:r>
      <w:r>
        <w:rPr>
          <w:rFonts w:ascii="Times New Roman" w:hAnsi="Times New Roman" w:eastAsia="方正仿宋_GBK" w:cs="方正仿宋_GBK"/>
          <w:sz w:val="32"/>
          <w:szCs w:val="32"/>
        </w:rPr>
        <w:t>10493.94</w:t>
      </w:r>
      <w:r>
        <w:rPr>
          <w:rFonts w:ascii="Times New Roman" w:hAnsi="Times New Roman" w:eastAsia="方正仿宋_GBK" w:cs="方正仿宋_GBK"/>
          <w:sz w:val="32"/>
          <w:szCs w:val="32"/>
          <w:shd w:val="clear" w:color="auto" w:fill="FFFFFF"/>
        </w:rPr>
        <w:t>万元。收、支与2023年度相比，减少3516.36万元，下降25.1%，主要原因是</w:t>
      </w:r>
      <w:r>
        <w:rPr>
          <w:rFonts w:hint="eastAsia" w:ascii="Times New Roman" w:hAnsi="Times New Roman" w:eastAsia="方正仿宋_GBK" w:cs="方正仿宋_GBK"/>
          <w:sz w:val="32"/>
          <w:szCs w:val="32"/>
          <w:shd w:val="clear" w:color="auto" w:fill="FFFFFF"/>
          <w:lang w:eastAsia="zh-CN"/>
        </w:rPr>
        <w:t>学生人数减少，</w:t>
      </w:r>
      <w:r>
        <w:rPr>
          <w:rFonts w:hint="eastAsia" w:ascii="Times New Roman" w:hAnsi="Times New Roman" w:eastAsia="方正仿宋_GBK" w:cs="方正仿宋_GBK"/>
          <w:sz w:val="32"/>
          <w:szCs w:val="32"/>
          <w:shd w:val="clear" w:color="auto" w:fill="FFFFFF"/>
        </w:rPr>
        <w:t>2024年</w:t>
      </w:r>
      <w:r>
        <w:rPr>
          <w:rFonts w:hint="eastAsia" w:ascii="Times New Roman" w:hAnsi="Times New Roman" w:eastAsia="方正仿宋_GBK" w:cs="方正仿宋_GBK"/>
          <w:sz w:val="32"/>
          <w:szCs w:val="32"/>
          <w:shd w:val="clear" w:color="auto" w:fill="FFFFFF"/>
          <w:lang w:eastAsia="zh-CN"/>
        </w:rPr>
        <w:t>建设项目</w:t>
      </w:r>
      <w:r>
        <w:rPr>
          <w:rFonts w:hint="eastAsia" w:ascii="Times New Roman" w:hAnsi="Times New Roman" w:eastAsia="方正仿宋_GBK" w:cs="方正仿宋_GBK"/>
          <w:sz w:val="32"/>
          <w:szCs w:val="32"/>
          <w:shd w:val="clear" w:color="auto" w:fill="FFFFFF"/>
        </w:rPr>
        <w:t>减少</w:t>
      </w:r>
      <w:r>
        <w:rPr>
          <w:rFonts w:hint="eastAsia" w:ascii="Times New Roman" w:hAnsi="Times New Roman" w:eastAsia="方正仿宋_GBK" w:cs="方正仿宋_GBK"/>
          <w:sz w:val="32"/>
          <w:szCs w:val="32"/>
          <w:shd w:val="clear" w:color="auto" w:fill="FFFFFF"/>
          <w:lang w:val="en-US" w:eastAsia="zh-CN"/>
        </w:rPr>
        <w:t>，导致收入相应减少。</w:t>
      </w:r>
    </w:p>
    <w:p w14:paraId="69E4D10D">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_GBK" w:cs="方正仿宋_GBK"/>
          <w:sz w:val="32"/>
          <w:szCs w:val="32"/>
          <w:shd w:val="clear" w:color="auto" w:fill="FFFFFF"/>
        </w:rPr>
      </w:pPr>
      <w:r>
        <w:rPr>
          <w:rStyle w:val="11"/>
          <w:rFonts w:hint="default" w:ascii="Times New Roman" w:hAnsi="Times New Roman" w:eastAsia="方正仿宋_GBK" w:cs="Times New Roman"/>
          <w:b/>
          <w:bCs w:val="0"/>
          <w:sz w:val="32"/>
          <w:szCs w:val="32"/>
          <w:shd w:val="clear" w:color="auto" w:fill="FFFFFF"/>
        </w:rPr>
        <w:t>2.收入情况。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度收入合计10493.94万元，与2023年度相比，减少3516.36万元，下降25.1%，主要原因是</w:t>
      </w:r>
      <w:r>
        <w:rPr>
          <w:rFonts w:hint="eastAsia" w:ascii="Times New Roman" w:hAnsi="Times New Roman" w:eastAsia="方正仿宋_GBK" w:cs="方正仿宋_GBK"/>
          <w:sz w:val="32"/>
          <w:szCs w:val="32"/>
          <w:shd w:val="clear" w:color="auto" w:fill="FFFFFF"/>
          <w:lang w:eastAsia="zh-CN"/>
        </w:rPr>
        <w:t>学生人数减少，且因</w:t>
      </w:r>
      <w:r>
        <w:rPr>
          <w:rFonts w:hint="eastAsia" w:ascii="Times New Roman" w:hAnsi="Times New Roman" w:eastAsia="方正仿宋_GBK" w:cs="方正仿宋_GBK"/>
          <w:sz w:val="32"/>
          <w:szCs w:val="32"/>
          <w:shd w:val="clear" w:color="auto" w:fill="FFFFFF"/>
        </w:rPr>
        <w:t>2023年综合实训楼完工及设备购置完成，2024年</w:t>
      </w:r>
      <w:r>
        <w:rPr>
          <w:rFonts w:hint="eastAsia" w:ascii="Times New Roman" w:hAnsi="Times New Roman" w:eastAsia="方正仿宋_GBK" w:cs="方正仿宋_GBK"/>
          <w:sz w:val="32"/>
          <w:szCs w:val="32"/>
          <w:shd w:val="clear" w:color="auto" w:fill="FFFFFF"/>
          <w:lang w:eastAsia="zh-CN"/>
        </w:rPr>
        <w:t>建设项目</w:t>
      </w:r>
      <w:r>
        <w:rPr>
          <w:rFonts w:hint="eastAsia" w:ascii="Times New Roman" w:hAnsi="Times New Roman" w:eastAsia="方正仿宋_GBK" w:cs="方正仿宋_GBK"/>
          <w:sz w:val="32"/>
          <w:szCs w:val="32"/>
          <w:shd w:val="clear" w:color="auto" w:fill="FFFFFF"/>
        </w:rPr>
        <w:t>减少</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导致收入相应减少</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其中：财政拨款收入</w:t>
      </w:r>
      <w:r>
        <w:rPr>
          <w:rFonts w:ascii="Times New Roman" w:hAnsi="Times New Roman" w:eastAsia="方正仿宋_GBK" w:cs="方正仿宋_GBK"/>
          <w:sz w:val="32"/>
          <w:szCs w:val="32"/>
        </w:rPr>
        <w:t>10214.56</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97.34</w:t>
      </w:r>
      <w:r>
        <w:rPr>
          <w:rFonts w:ascii="Times New Roman" w:hAnsi="Times New Roman" w:eastAsia="方正仿宋_GBK" w:cs="方正仿宋_GBK"/>
          <w:sz w:val="32"/>
          <w:szCs w:val="32"/>
          <w:shd w:val="clear" w:color="auto" w:fill="FFFFFF"/>
        </w:rPr>
        <w:t>%；事业收入</w:t>
      </w:r>
      <w:r>
        <w:rPr>
          <w:rFonts w:ascii="Times New Roman" w:hAnsi="Times New Roman" w:eastAsia="方正仿宋_GBK" w:cs="方正仿宋_GBK"/>
          <w:sz w:val="32"/>
          <w:szCs w:val="32"/>
        </w:rPr>
        <w:t>279.38</w:t>
      </w:r>
      <w:r>
        <w:rPr>
          <w:rFonts w:ascii="Times New Roman" w:hAnsi="Times New Roman" w:eastAsia="方正仿宋_GBK" w:cs="方正仿宋_GBK"/>
          <w:sz w:val="32"/>
          <w:szCs w:val="32"/>
          <w:shd w:val="clear" w:color="auto" w:fill="FFFFFF"/>
        </w:rPr>
        <w:t>万元，占2.66%。</w:t>
      </w:r>
    </w:p>
    <w:p w14:paraId="373CB5D4">
      <w:pPr>
        <w:pStyle w:val="8"/>
        <w:keepNext w:val="0"/>
        <w:keepLines w:val="0"/>
        <w:pageBreakBefore w:val="0"/>
        <w:kinsoku/>
        <w:overflowPunct/>
        <w:topLinePunct w:val="0"/>
        <w:autoSpaceDN/>
        <w:bidi w:val="0"/>
        <w:snapToGrid w:val="0"/>
        <w:spacing w:before="0" w:beforeAutospacing="0" w:after="0" w:afterAutospacing="0" w:line="600" w:lineRule="exact"/>
        <w:ind w:firstLine="643" w:firstLineChars="200"/>
        <w:jc w:val="both"/>
        <w:rPr>
          <w:rFonts w:ascii="Times New Roman" w:hAnsi="Times New Roman" w:eastAsia="方正仿宋_GBK" w:cs="方正仿宋_GBK"/>
          <w:sz w:val="32"/>
          <w:szCs w:val="32"/>
          <w:shd w:val="clear" w:color="auto" w:fill="FFFFFF"/>
        </w:rPr>
      </w:pPr>
      <w:r>
        <w:rPr>
          <w:rStyle w:val="11"/>
          <w:rFonts w:hint="default" w:ascii="Times New Roman" w:hAnsi="Times New Roman" w:eastAsia="方正仿宋_GBK" w:cs="Times New Roman"/>
          <w:b/>
          <w:bCs w:val="0"/>
          <w:sz w:val="32"/>
          <w:szCs w:val="32"/>
          <w:shd w:val="clear" w:color="auto" w:fill="FFFFFF"/>
        </w:rPr>
        <w:t>3.支出情况。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度支出合计</w:t>
      </w:r>
      <w:r>
        <w:rPr>
          <w:rFonts w:ascii="Times New Roman" w:hAnsi="Times New Roman" w:eastAsia="方正仿宋_GBK" w:cs="方正仿宋_GBK"/>
          <w:sz w:val="32"/>
          <w:szCs w:val="32"/>
        </w:rPr>
        <w:t>10493.94</w:t>
      </w:r>
      <w:r>
        <w:rPr>
          <w:rFonts w:ascii="Times New Roman" w:hAnsi="Times New Roman" w:eastAsia="方正仿宋_GBK" w:cs="方正仿宋_GBK"/>
          <w:sz w:val="32"/>
          <w:szCs w:val="32"/>
          <w:shd w:val="clear" w:color="auto" w:fill="FFFFFF"/>
        </w:rPr>
        <w:t>万元，与2023年度相比，减少3516.36万元，下降25.1%，主要原因</w:t>
      </w:r>
      <w:r>
        <w:rPr>
          <w:rFonts w:hint="eastAsia" w:ascii="Times New Roman" w:hAnsi="Times New Roman" w:eastAsia="方正仿宋_GBK" w:cs="方正仿宋_GBK"/>
          <w:sz w:val="32"/>
          <w:szCs w:val="32"/>
          <w:shd w:val="clear" w:color="auto" w:fill="FFFFFF"/>
          <w:lang w:eastAsia="zh-CN"/>
        </w:rPr>
        <w:t>学生人数减少，且因</w:t>
      </w:r>
      <w:r>
        <w:rPr>
          <w:rFonts w:hint="eastAsia" w:ascii="Times New Roman" w:hAnsi="Times New Roman" w:eastAsia="方正仿宋_GBK" w:cs="方正仿宋_GBK"/>
          <w:sz w:val="32"/>
          <w:szCs w:val="32"/>
          <w:shd w:val="clear" w:color="auto" w:fill="FFFFFF"/>
        </w:rPr>
        <w:t>2023年综合实训楼完工及设备购置完成，2024年</w:t>
      </w:r>
      <w:r>
        <w:rPr>
          <w:rFonts w:hint="eastAsia" w:ascii="Times New Roman" w:hAnsi="Times New Roman" w:eastAsia="方正仿宋_GBK" w:cs="方正仿宋_GBK"/>
          <w:sz w:val="32"/>
          <w:szCs w:val="32"/>
          <w:shd w:val="clear" w:color="auto" w:fill="FFFFFF"/>
          <w:lang w:eastAsia="zh-CN"/>
        </w:rPr>
        <w:t>建设项目</w:t>
      </w:r>
      <w:r>
        <w:rPr>
          <w:rFonts w:hint="eastAsia" w:ascii="Times New Roman" w:hAnsi="Times New Roman" w:eastAsia="方正仿宋_GBK" w:cs="方正仿宋_GBK"/>
          <w:sz w:val="32"/>
          <w:szCs w:val="32"/>
          <w:shd w:val="clear" w:color="auto" w:fill="FFFFFF"/>
        </w:rPr>
        <w:t>减少</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导致收入相应减少</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其中：基本支出</w:t>
      </w:r>
      <w:r>
        <w:rPr>
          <w:rFonts w:ascii="Times New Roman" w:hAnsi="Times New Roman" w:eastAsia="方正仿宋_GBK" w:cs="方正仿宋_GBK"/>
          <w:sz w:val="32"/>
          <w:szCs w:val="32"/>
        </w:rPr>
        <w:t>6797.50</w:t>
      </w:r>
      <w:r>
        <w:rPr>
          <w:rFonts w:ascii="Times New Roman" w:hAnsi="Times New Roman" w:eastAsia="方正仿宋_GBK" w:cs="方正仿宋_GBK"/>
          <w:sz w:val="32"/>
          <w:szCs w:val="32"/>
          <w:shd w:val="clear" w:color="auto" w:fill="FFFFFF"/>
        </w:rPr>
        <w:t>万元，占64.78%；项目支出</w:t>
      </w:r>
      <w:r>
        <w:rPr>
          <w:rFonts w:ascii="Times New Roman" w:hAnsi="Times New Roman" w:eastAsia="方正仿宋_GBK" w:cs="方正仿宋_GBK"/>
          <w:sz w:val="32"/>
          <w:szCs w:val="32"/>
        </w:rPr>
        <w:t>3696.44</w:t>
      </w:r>
      <w:r>
        <w:rPr>
          <w:rFonts w:ascii="Times New Roman" w:hAnsi="Times New Roman" w:eastAsia="方正仿宋_GBK" w:cs="方正仿宋_GBK"/>
          <w:sz w:val="32"/>
          <w:szCs w:val="32"/>
          <w:shd w:val="clear" w:color="auto" w:fill="FFFFFF"/>
        </w:rPr>
        <w:t>万元，占35.22%。</w:t>
      </w:r>
    </w:p>
    <w:p w14:paraId="2AA80919">
      <w:pPr>
        <w:pStyle w:val="8"/>
        <w:keepNext w:val="0"/>
        <w:keepLines w:val="0"/>
        <w:pageBreakBefore w:val="0"/>
        <w:kinsoku/>
        <w:overflowPunct/>
        <w:topLinePunct w:val="0"/>
        <w:autoSpaceDN/>
        <w:bidi w:val="0"/>
        <w:snapToGrid w:val="0"/>
        <w:spacing w:before="0" w:beforeAutospacing="0" w:after="0" w:afterAutospacing="0" w:line="600" w:lineRule="exact"/>
        <w:ind w:firstLine="643" w:firstLineChars="200"/>
        <w:jc w:val="both"/>
        <w:rPr>
          <w:rFonts w:hint="eastAsia" w:ascii="Times New Roman" w:hAnsi="Times New Roman" w:eastAsia="方正仿宋_GBK" w:cs="方正仿宋_GBK"/>
          <w:sz w:val="32"/>
          <w:szCs w:val="32"/>
          <w:shd w:val="clear" w:color="auto" w:fill="FFFFFF"/>
          <w:lang w:eastAsia="zh-CN"/>
        </w:rPr>
      </w:pPr>
      <w:r>
        <w:rPr>
          <w:rStyle w:val="11"/>
          <w:rFonts w:hint="default" w:ascii="Times New Roman" w:hAnsi="Times New Roman" w:eastAsia="方正仿宋_GBK" w:cs="Times New Roman"/>
          <w:b/>
          <w:bCs w:val="0"/>
          <w:sz w:val="32"/>
          <w:szCs w:val="32"/>
          <w:shd w:val="clear" w:color="auto" w:fill="FFFFFF"/>
        </w:rPr>
        <w:t>4.结转结余情况。</w:t>
      </w:r>
      <w:r>
        <w:rPr>
          <w:rFonts w:hint="eastAsia" w:ascii="Times New Roman" w:hAnsi="Times New Roman" w:eastAsia="方正仿宋_GBK" w:cs="方正仿宋_GBK"/>
          <w:sz w:val="32"/>
          <w:szCs w:val="32"/>
          <w:shd w:val="clear" w:color="auto" w:fill="FFFFFF"/>
          <w:lang w:eastAsia="zh-CN"/>
        </w:rPr>
        <w:t>2024年度年末结转和结余0.00万元，与2023年度相比，无增减，主要原因是本年度收支平衡。</w:t>
      </w:r>
    </w:p>
    <w:p w14:paraId="58B68BC1">
      <w:pPr>
        <w:pStyle w:val="8"/>
        <w:keepNext w:val="0"/>
        <w:keepLines w:val="0"/>
        <w:pageBreakBefore w:val="0"/>
        <w:shd w:val="clear" w:color="auto" w:fill="FFFFFF"/>
        <w:kinsoku/>
        <w:overflowPunct/>
        <w:topLinePunct w:val="0"/>
        <w:autoSpaceDN/>
        <w:bidi w:val="0"/>
        <w:spacing w:beforeAutospacing="0" w:afterAutospacing="0" w:line="600" w:lineRule="exact"/>
        <w:ind w:firstLine="420"/>
        <w:jc w:val="both"/>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（二）财政拨款收入支出决算总体情况说明</w:t>
      </w:r>
    </w:p>
    <w:p w14:paraId="380D2D66">
      <w:pPr>
        <w:keepNext w:val="0"/>
        <w:keepLines w:val="0"/>
        <w:pageBreakBefore w:val="0"/>
        <w:widowControl/>
        <w:kinsoku/>
        <w:overflowPunct/>
        <w:topLinePunct w:val="0"/>
        <w:autoSpaceDN/>
        <w:bidi w:val="0"/>
        <w:spacing w:beforeAutospacing="0" w:afterAutospacing="0" w:line="600" w:lineRule="exact"/>
        <w:ind w:firstLine="640" w:firstLineChars="200"/>
        <w:jc w:val="both"/>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度财政拨款收、支总计10214.56万元。与202</w:t>
      </w:r>
      <w:r>
        <w:rPr>
          <w:rFonts w:hint="eastAsia" w:ascii="Times New Roman" w:hAnsi="Times New Roman" w:eastAsia="方正仿宋_GBK" w:cs="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年相比，财政拨款收、支总计各减少3476.74万元，下降25.4%。主要原因是</w:t>
      </w:r>
      <w:r>
        <w:rPr>
          <w:rFonts w:hint="eastAsia" w:ascii="Times New Roman" w:hAnsi="Times New Roman" w:eastAsia="方正仿宋_GBK" w:cs="方正仿宋_GBK"/>
          <w:sz w:val="32"/>
          <w:szCs w:val="32"/>
          <w:shd w:val="clear" w:color="auto" w:fill="FFFFFF"/>
          <w:lang w:eastAsia="zh-CN"/>
        </w:rPr>
        <w:t>学生人数减少，项目减少。</w:t>
      </w:r>
    </w:p>
    <w:p w14:paraId="666798A8">
      <w:pPr>
        <w:pStyle w:val="8"/>
        <w:keepNext w:val="0"/>
        <w:keepLines w:val="0"/>
        <w:pageBreakBefore w:val="0"/>
        <w:shd w:val="clear" w:color="auto" w:fill="FFFFFF"/>
        <w:kinsoku/>
        <w:overflowPunct/>
        <w:topLinePunct w:val="0"/>
        <w:autoSpaceDN/>
        <w:bidi w:val="0"/>
        <w:spacing w:beforeAutospacing="0" w:afterAutospacing="0" w:line="600" w:lineRule="exact"/>
        <w:ind w:firstLine="420"/>
        <w:jc w:val="both"/>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（三）一般公共预算财政拨款收入支出决算情况说明</w:t>
      </w:r>
    </w:p>
    <w:p w14:paraId="30A368C0">
      <w:pPr>
        <w:pStyle w:val="8"/>
        <w:keepNext w:val="0"/>
        <w:keepLines w:val="0"/>
        <w:pageBreakBefore w:val="0"/>
        <w:kinsoku/>
        <w:overflowPunct/>
        <w:topLinePunct w:val="0"/>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1"/>
          <w:rFonts w:hint="default" w:ascii="Times New Roman" w:hAnsi="Times New Roman" w:eastAsia="方正仿宋_GBK" w:cs="Times New Roman"/>
          <w:b/>
          <w:bCs w:val="0"/>
          <w:sz w:val="32"/>
          <w:szCs w:val="32"/>
          <w:shd w:val="clear" w:color="auto" w:fill="FFFFFF"/>
        </w:rPr>
        <w:t>1.收入情况。</w:t>
      </w:r>
      <w:r>
        <w:rPr>
          <w:rStyle w:val="11"/>
          <w:rFonts w:hint="eastAsia" w:ascii="Times New Roman" w:hAnsi="Times New Roman" w:eastAsia="方正仿宋_GBK" w:cs="Times New Roman"/>
          <w:b w:val="0"/>
          <w:bCs/>
          <w:sz w:val="32"/>
          <w:szCs w:val="32"/>
          <w:shd w:val="clear" w:color="auto" w:fill="FFFFFF"/>
          <w:lang w:eastAsia="zh-CN"/>
        </w:rPr>
        <w:t>2</w:t>
      </w:r>
      <w:r>
        <w:rPr>
          <w:rFonts w:hint="eastAsia" w:ascii="Times New Roman" w:hAnsi="Times New Roman" w:eastAsia="方正仿宋_GBK" w:cs="方正仿宋_GBK"/>
          <w:sz w:val="32"/>
          <w:szCs w:val="32"/>
          <w:shd w:val="clear" w:color="auto" w:fill="FFFFFF"/>
          <w:lang w:eastAsia="zh-CN"/>
        </w:rPr>
        <w:t>024年</w:t>
      </w:r>
      <w:r>
        <w:rPr>
          <w:rFonts w:ascii="Times New Roman" w:hAnsi="Times New Roman" w:eastAsia="方正仿宋_GBK" w:cs="方正仿宋_GBK"/>
          <w:sz w:val="32"/>
          <w:szCs w:val="32"/>
          <w:shd w:val="clear" w:color="auto" w:fill="FFFFFF"/>
        </w:rPr>
        <w:t>度一般公共预算财政拨款收入</w:t>
      </w:r>
      <w:r>
        <w:rPr>
          <w:rFonts w:ascii="Times New Roman" w:hAnsi="Times New Roman" w:eastAsia="方正仿宋_GBK" w:cs="方正仿宋_GBK"/>
          <w:sz w:val="32"/>
          <w:szCs w:val="32"/>
        </w:rPr>
        <w:t>10164.94</w:t>
      </w:r>
      <w:r>
        <w:rPr>
          <w:rFonts w:ascii="Times New Roman" w:hAnsi="Times New Roman" w:eastAsia="方正仿宋_GBK" w:cs="方正仿宋_GBK"/>
          <w:sz w:val="32"/>
          <w:szCs w:val="32"/>
          <w:shd w:val="clear" w:color="auto" w:fill="FFFFFF"/>
        </w:rPr>
        <w:t>万元，与2023年度相比，减少2363.36万元，下降18.9%。主要原因是</w:t>
      </w:r>
      <w:r>
        <w:rPr>
          <w:rFonts w:hint="eastAsia" w:ascii="Times New Roman" w:hAnsi="Times New Roman" w:eastAsia="方正仿宋_GBK" w:cs="方正仿宋_GBK"/>
          <w:sz w:val="32"/>
          <w:szCs w:val="32"/>
          <w:shd w:val="clear" w:color="auto" w:fill="FFFFFF"/>
          <w:lang w:eastAsia="zh-CN"/>
        </w:rPr>
        <w:t>学生人数减少，项目减少。</w:t>
      </w:r>
      <w:r>
        <w:rPr>
          <w:rFonts w:ascii="Times New Roman" w:hAnsi="Times New Roman" w:eastAsia="方正仿宋_GBK" w:cs="方正仿宋_GBK"/>
          <w:sz w:val="32"/>
          <w:szCs w:val="32"/>
          <w:shd w:val="clear" w:color="auto" w:fill="FFFFFF"/>
        </w:rPr>
        <w:t>较年初预算数增加1422.32万元，增长16.3%。主要原因是</w:t>
      </w:r>
      <w:r>
        <w:rPr>
          <w:rFonts w:ascii="Times New Roman" w:hAnsi="Times New Roman" w:eastAsia="方正仿宋_GBK" w:cs="宋体"/>
          <w:sz w:val="32"/>
          <w:szCs w:val="32"/>
        </w:rPr>
        <w:t>社会保障缴费基数调整、</w:t>
      </w:r>
      <w:r>
        <w:rPr>
          <w:rFonts w:hint="eastAsia" w:ascii="Times New Roman" w:hAnsi="Times New Roman" w:eastAsia="方正仿宋_GBK" w:cs="宋体"/>
          <w:sz w:val="32"/>
          <w:szCs w:val="32"/>
          <w:lang w:eastAsia="zh-CN"/>
        </w:rPr>
        <w:t>补缴</w:t>
      </w:r>
      <w:r>
        <w:rPr>
          <w:rFonts w:hint="eastAsia" w:ascii="Times New Roman" w:hAnsi="Times New Roman" w:eastAsia="方正仿宋_GBK" w:cs="宋体"/>
          <w:sz w:val="32"/>
          <w:szCs w:val="32"/>
          <w:lang w:val="en-US" w:eastAsia="zh-CN"/>
        </w:rPr>
        <w:t>2024年职业年金和养老保险、</w:t>
      </w:r>
      <w:r>
        <w:rPr>
          <w:rFonts w:ascii="Times New Roman" w:hAnsi="Times New Roman" w:eastAsia="方正仿宋_GBK" w:cs="宋体"/>
          <w:sz w:val="32"/>
          <w:szCs w:val="32"/>
        </w:rPr>
        <w:t>瑜欣厂租金项目等项目。</w:t>
      </w:r>
      <w:r>
        <w:rPr>
          <w:rFonts w:ascii="Times New Roman" w:hAnsi="Times New Roman" w:eastAsia="方正仿宋_GBK" w:cs="方正仿宋_GBK"/>
          <w:sz w:val="32"/>
          <w:szCs w:val="32"/>
          <w:shd w:val="clear" w:color="auto" w:fill="FFFFFF"/>
        </w:rPr>
        <w:t>此外，年初财政拨款结转和结余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14:paraId="7A24065B">
      <w:pPr>
        <w:pStyle w:val="8"/>
        <w:keepNext w:val="0"/>
        <w:keepLines w:val="0"/>
        <w:pageBreakBefore w:val="0"/>
        <w:kinsoku/>
        <w:overflowPunct/>
        <w:topLinePunct w:val="0"/>
        <w:autoSpaceDN/>
        <w:bidi w:val="0"/>
        <w:snapToGrid w:val="0"/>
        <w:spacing w:before="0" w:beforeAutospacing="0" w:after="0" w:afterAutospacing="0" w:line="600" w:lineRule="exact"/>
        <w:ind w:firstLine="643" w:firstLineChars="200"/>
        <w:jc w:val="both"/>
        <w:rPr>
          <w:rFonts w:hint="eastAsia" w:ascii="Times New Roman" w:hAnsi="Times New Roman" w:eastAsia="方正仿宋_GBK" w:cs="宋体"/>
          <w:sz w:val="32"/>
          <w:szCs w:val="32"/>
          <w:lang w:val="en-US" w:eastAsia="zh-CN"/>
        </w:rPr>
      </w:pPr>
      <w:r>
        <w:rPr>
          <w:rStyle w:val="11"/>
          <w:rFonts w:hint="default" w:ascii="Times New Roman" w:hAnsi="Times New Roman" w:eastAsia="方正仿宋_GBK" w:cs="Times New Roman"/>
          <w:b/>
          <w:bCs w:val="0"/>
          <w:sz w:val="32"/>
          <w:szCs w:val="32"/>
          <w:shd w:val="clear" w:color="auto" w:fill="FFFFFF"/>
        </w:rPr>
        <w:t>2.支出情况。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度一般公共预算财政拨款支出</w:t>
      </w:r>
      <w:r>
        <w:rPr>
          <w:rFonts w:ascii="Times New Roman" w:hAnsi="Times New Roman" w:eastAsia="方正仿宋_GBK" w:cs="方正仿宋_GBK"/>
          <w:sz w:val="32"/>
          <w:szCs w:val="32"/>
        </w:rPr>
        <w:t>10164.94</w:t>
      </w:r>
      <w:r>
        <w:rPr>
          <w:rFonts w:ascii="Times New Roman" w:hAnsi="Times New Roman" w:eastAsia="方正仿宋_GBK" w:cs="方正仿宋_GBK"/>
          <w:sz w:val="32"/>
          <w:szCs w:val="32"/>
          <w:shd w:val="clear" w:color="auto" w:fill="FFFFFF"/>
        </w:rPr>
        <w:t>万元，与2023年度相比，减少2363.36万元，下降18.9%。主要原因是</w:t>
      </w:r>
      <w:r>
        <w:rPr>
          <w:rFonts w:hint="eastAsia" w:ascii="Times New Roman" w:hAnsi="Times New Roman" w:eastAsia="方正仿宋_GBK" w:cs="方正仿宋_GBK"/>
          <w:sz w:val="32"/>
          <w:szCs w:val="32"/>
          <w:shd w:val="clear" w:color="auto" w:fill="FFFFFF"/>
          <w:lang w:eastAsia="zh-CN"/>
        </w:rPr>
        <w:t>学生人数减少，项目减少。</w:t>
      </w:r>
      <w:r>
        <w:rPr>
          <w:rFonts w:ascii="Times New Roman" w:hAnsi="Times New Roman" w:eastAsia="方正仿宋_GBK" w:cs="方正仿宋_GBK"/>
          <w:sz w:val="32"/>
          <w:szCs w:val="32"/>
          <w:shd w:val="clear" w:color="auto" w:fill="FFFFFF"/>
        </w:rPr>
        <w:t>较年初预算数增加1422.32万元，增长16.3%。主要原因是</w:t>
      </w:r>
      <w:r>
        <w:rPr>
          <w:rFonts w:ascii="Times New Roman" w:hAnsi="Times New Roman" w:eastAsia="方正仿宋_GBK" w:cs="宋体"/>
          <w:sz w:val="32"/>
          <w:szCs w:val="32"/>
        </w:rPr>
        <w:t>社会保障缴费基数调整、</w:t>
      </w:r>
      <w:r>
        <w:rPr>
          <w:rFonts w:hint="eastAsia" w:ascii="Times New Roman" w:hAnsi="Times New Roman" w:eastAsia="方正仿宋_GBK" w:cs="宋体"/>
          <w:sz w:val="32"/>
          <w:szCs w:val="32"/>
          <w:lang w:eastAsia="zh-CN"/>
        </w:rPr>
        <w:t>补缴</w:t>
      </w:r>
      <w:r>
        <w:rPr>
          <w:rFonts w:hint="eastAsia" w:ascii="Times New Roman" w:hAnsi="Times New Roman" w:eastAsia="方正仿宋_GBK" w:cs="宋体"/>
          <w:sz w:val="32"/>
          <w:szCs w:val="32"/>
          <w:lang w:val="en-US" w:eastAsia="zh-CN"/>
        </w:rPr>
        <w:t>2024年职业年金和养老保险、</w:t>
      </w:r>
      <w:r>
        <w:rPr>
          <w:rFonts w:ascii="Times New Roman" w:hAnsi="Times New Roman" w:eastAsia="方正仿宋_GBK" w:cs="宋体"/>
          <w:sz w:val="32"/>
          <w:szCs w:val="32"/>
        </w:rPr>
        <w:t>瑜欣厂租金项目等项目</w:t>
      </w:r>
      <w:r>
        <w:rPr>
          <w:rFonts w:hint="eastAsia" w:ascii="Times New Roman" w:hAnsi="Times New Roman" w:eastAsia="方正仿宋_GBK" w:cs="宋体"/>
          <w:sz w:val="32"/>
          <w:szCs w:val="32"/>
          <w:lang w:val="en-US" w:eastAsia="zh-CN"/>
        </w:rPr>
        <w:t>。</w:t>
      </w:r>
    </w:p>
    <w:p w14:paraId="1986C51A">
      <w:pPr>
        <w:pStyle w:val="8"/>
        <w:keepNext w:val="0"/>
        <w:keepLines w:val="0"/>
        <w:pageBreakBefore w:val="0"/>
        <w:kinsoku/>
        <w:overflowPunct/>
        <w:topLinePunct w:val="0"/>
        <w:autoSpaceDN/>
        <w:bidi w:val="0"/>
        <w:snapToGrid w:val="0"/>
        <w:spacing w:before="0" w:beforeAutospacing="0" w:after="0" w:afterAutospacing="0" w:line="600" w:lineRule="exact"/>
        <w:ind w:firstLine="643" w:firstLineChars="200"/>
        <w:jc w:val="both"/>
        <w:rPr>
          <w:rFonts w:ascii="Times New Roman" w:hAnsi="Times New Roman" w:eastAsia="方正仿宋_GBK" w:cs="宋体"/>
          <w:sz w:val="32"/>
          <w:szCs w:val="32"/>
        </w:rPr>
      </w:pPr>
      <w:r>
        <w:rPr>
          <w:rStyle w:val="11"/>
          <w:rFonts w:hint="default" w:ascii="Times New Roman" w:hAnsi="Times New Roman" w:eastAsia="方正仿宋_GBK" w:cs="Times New Roman"/>
          <w:b/>
          <w:bCs w:val="0"/>
          <w:sz w:val="32"/>
          <w:szCs w:val="32"/>
          <w:shd w:val="clear" w:color="auto" w:fill="FFFFFF"/>
        </w:rPr>
        <w:t>3.结转结余情况。</w:t>
      </w:r>
      <w:r>
        <w:rPr>
          <w:rFonts w:hint="eastAsia" w:ascii="Times New Roman" w:hAnsi="Times New Roman" w:eastAsia="方正仿宋_GBK" w:cs="方正仿宋_GBK"/>
          <w:sz w:val="32"/>
          <w:szCs w:val="32"/>
          <w:shd w:val="clear" w:color="auto" w:fill="FFFFFF"/>
          <w:lang w:eastAsia="zh-CN"/>
        </w:rPr>
        <w:t>2024年度年末一般公共预算财政拨款结转和结余0.00万元，与2023年度相比，无增减，主要原因是本年度收支平衡。</w:t>
      </w:r>
    </w:p>
    <w:p w14:paraId="0DD7C688">
      <w:pPr>
        <w:pStyle w:val="8"/>
        <w:keepNext w:val="0"/>
        <w:keepLines w:val="0"/>
        <w:pageBreakBefore w:val="0"/>
        <w:kinsoku/>
        <w:overflowPunct/>
        <w:topLinePunct w:val="0"/>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方正仿宋_GBK"/>
          <w:color w:val="FF0000"/>
          <w:sz w:val="32"/>
          <w:szCs w:val="32"/>
          <w:highlight w:val="cyan"/>
          <w:shd w:val="clear" w:color="auto" w:fill="FFFFFF"/>
        </w:rPr>
      </w:pPr>
      <w:r>
        <w:rPr>
          <w:rStyle w:val="11"/>
          <w:rFonts w:hint="default" w:ascii="Times New Roman" w:hAnsi="Times New Roman" w:eastAsia="方正仿宋_GBK" w:cs="Times New Roman"/>
          <w:b/>
          <w:bCs w:val="0"/>
          <w:sz w:val="32"/>
          <w:szCs w:val="32"/>
          <w:shd w:val="clear" w:color="auto" w:fill="FFFFFF"/>
        </w:rPr>
        <w:t>4.比较情况。</w:t>
      </w:r>
      <w:r>
        <w:rPr>
          <w:rFonts w:ascii="Times New Roman" w:hAnsi="Times New Roman" w:eastAsia="方正仿宋_GBK" w:cs="方正仿宋_GBK"/>
          <w:sz w:val="32"/>
          <w:szCs w:val="32"/>
          <w:shd w:val="clear" w:color="auto" w:fill="FFFFFF"/>
        </w:rPr>
        <w:t>本</w:t>
      </w:r>
      <w:r>
        <w:rPr>
          <w:rFonts w:hint="eastAsia" w:ascii="Times New Roman" w:hAnsi="Times New Roman" w:eastAsia="方正仿宋_GBK" w:cs="方正仿宋_GBK"/>
          <w:sz w:val="32"/>
          <w:szCs w:val="32"/>
          <w:shd w:val="clear" w:color="auto" w:fill="FFFFFF"/>
          <w:lang w:eastAsia="zh-CN"/>
        </w:rPr>
        <w:t>单位2024年</w:t>
      </w:r>
      <w:r>
        <w:rPr>
          <w:rFonts w:ascii="Times New Roman" w:hAnsi="Times New Roman" w:eastAsia="方正仿宋_GBK" w:cs="方正仿宋_GBK"/>
          <w:sz w:val="32"/>
          <w:szCs w:val="32"/>
          <w:shd w:val="clear" w:color="auto" w:fill="FFFFFF"/>
        </w:rPr>
        <w:t>度一般公共预算财政拨款支出主要用于以下几个方面：</w:t>
      </w:r>
    </w:p>
    <w:p w14:paraId="6EF59677">
      <w:pPr>
        <w:pStyle w:val="8"/>
        <w:keepNext w:val="0"/>
        <w:keepLines w:val="0"/>
        <w:pageBreakBefore w:val="0"/>
        <w:kinsoku/>
        <w:overflowPunct/>
        <w:topLinePunct w:val="0"/>
        <w:autoSpaceDN/>
        <w:bidi w:val="0"/>
        <w:snapToGrid w:val="0"/>
        <w:spacing w:before="0" w:beforeAutospacing="0" w:after="0" w:afterAutospacing="0" w:line="600" w:lineRule="exact"/>
        <w:ind w:firstLine="640" w:firstLineChars="200"/>
        <w:jc w:val="both"/>
        <w:rPr>
          <w:rFonts w:hint="eastAsia" w:ascii="Times New Roman" w:hAnsi="Times New Roman" w:eastAsia="方正仿宋_GBK" w:cs="方正仿宋_GBK"/>
          <w:sz w:val="32"/>
          <w:szCs w:val="32"/>
          <w:shd w:val="clear" w:color="auto" w:fill="FFFFFF"/>
          <w:lang w:val="en-US" w:eastAsia="zh-CN"/>
        </w:rPr>
      </w:pPr>
      <w:r>
        <w:rPr>
          <w:rFonts w:ascii="Times New Roman" w:hAnsi="Times New Roman" w:eastAsia="方正仿宋_GBK" w:cs="方正仿宋_GBK"/>
          <w:sz w:val="32"/>
          <w:szCs w:val="32"/>
          <w:shd w:val="clear" w:color="auto" w:fill="FFFFFF"/>
        </w:rPr>
        <w:t>（1）教育支出</w:t>
      </w:r>
      <w:r>
        <w:rPr>
          <w:rFonts w:ascii="Times New Roman" w:hAnsi="Times New Roman" w:eastAsia="方正仿宋_GBK" w:cs="方正仿宋_GBK"/>
          <w:sz w:val="32"/>
          <w:szCs w:val="32"/>
        </w:rPr>
        <w:t>8552.28</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84.14</w:t>
      </w:r>
      <w:r>
        <w:rPr>
          <w:rFonts w:ascii="Times New Roman" w:hAnsi="Times New Roman" w:eastAsia="方正仿宋_GBK" w:cs="方正仿宋_GBK"/>
          <w:sz w:val="32"/>
          <w:szCs w:val="32"/>
          <w:shd w:val="clear" w:color="auto" w:fill="FFFFFF"/>
        </w:rPr>
        <w:t>%，较年初预算数增加1541.75万元，增长22.0%，主要原因是</w:t>
      </w:r>
      <w:r>
        <w:rPr>
          <w:rFonts w:ascii="Times New Roman" w:hAnsi="Times New Roman" w:eastAsia="方正仿宋_GBK" w:cs="宋体"/>
          <w:sz w:val="32"/>
          <w:szCs w:val="32"/>
        </w:rPr>
        <w:t>社会保障缴费基数调整、</w:t>
      </w:r>
      <w:r>
        <w:rPr>
          <w:rFonts w:hint="eastAsia" w:ascii="Times New Roman" w:hAnsi="Times New Roman" w:eastAsia="方正仿宋_GBK" w:cs="宋体"/>
          <w:sz w:val="32"/>
          <w:szCs w:val="32"/>
          <w:lang w:eastAsia="zh-CN"/>
        </w:rPr>
        <w:t>补缴</w:t>
      </w:r>
      <w:r>
        <w:rPr>
          <w:rFonts w:hint="eastAsia" w:ascii="Times New Roman" w:hAnsi="Times New Roman" w:eastAsia="方正仿宋_GBK" w:cs="宋体"/>
          <w:sz w:val="32"/>
          <w:szCs w:val="32"/>
          <w:lang w:val="en-US" w:eastAsia="zh-CN"/>
        </w:rPr>
        <w:t>2024年职业年金和养老保险、支付</w:t>
      </w:r>
      <w:r>
        <w:rPr>
          <w:rFonts w:hint="eastAsia" w:ascii="Times New Roman" w:hAnsi="Times New Roman" w:eastAsia="方正仿宋_GBK" w:cs="方正仿宋_GBK"/>
          <w:sz w:val="32"/>
          <w:szCs w:val="32"/>
          <w:shd w:val="clear" w:color="auto" w:fill="FFFFFF"/>
          <w:lang w:val="en-US" w:eastAsia="zh-CN"/>
        </w:rPr>
        <w:t>2023年综合实训楼设备购置尾款等。</w:t>
      </w:r>
    </w:p>
    <w:p w14:paraId="55F7525F">
      <w:pPr>
        <w:pStyle w:val="8"/>
        <w:keepNext w:val="0"/>
        <w:keepLines w:val="0"/>
        <w:pageBreakBefore w:val="0"/>
        <w:kinsoku/>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2</w:t>
      </w:r>
      <w:r>
        <w:rPr>
          <w:rFonts w:ascii="Times New Roman" w:hAnsi="Times New Roman" w:eastAsia="方正仿宋_GBK" w:cs="方正仿宋_GBK"/>
          <w:sz w:val="32"/>
          <w:szCs w:val="32"/>
          <w:shd w:val="clear" w:color="auto" w:fill="FFFFFF"/>
        </w:rPr>
        <w:t>）社会保障与就业支出</w:t>
      </w:r>
      <w:r>
        <w:rPr>
          <w:rFonts w:ascii="Times New Roman" w:hAnsi="Times New Roman" w:eastAsia="方正仿宋_GBK" w:cs="方正仿宋_GBK"/>
          <w:sz w:val="32"/>
          <w:szCs w:val="32"/>
        </w:rPr>
        <w:t>817.07</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8.04</w:t>
      </w:r>
      <w:r>
        <w:rPr>
          <w:rFonts w:ascii="Times New Roman" w:hAnsi="Times New Roman" w:eastAsia="方正仿宋_GBK" w:cs="方正仿宋_GBK"/>
          <w:sz w:val="32"/>
          <w:szCs w:val="32"/>
          <w:shd w:val="clear" w:color="auto" w:fill="FFFFFF"/>
        </w:rPr>
        <w:t>%，较年初预算数减少114.36万元，下降12.3%，主要原因</w:t>
      </w:r>
      <w:r>
        <w:rPr>
          <w:rFonts w:hint="eastAsia" w:ascii="Times New Roman" w:hAnsi="Times New Roman" w:eastAsia="方正仿宋_GBK" w:cs="方正仿宋_GBK"/>
          <w:sz w:val="32"/>
          <w:szCs w:val="32"/>
          <w:shd w:val="clear" w:color="auto" w:fill="FFFFFF"/>
        </w:rPr>
        <w:t>政策性调整。</w:t>
      </w:r>
    </w:p>
    <w:p w14:paraId="1A3FF600">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）卫生健康支出</w:t>
      </w:r>
      <w:r>
        <w:rPr>
          <w:rFonts w:ascii="Times New Roman" w:hAnsi="Times New Roman" w:eastAsia="方正仿宋_GBK" w:cs="方正仿宋_GBK"/>
          <w:sz w:val="32"/>
          <w:szCs w:val="32"/>
        </w:rPr>
        <w:t>283.34</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2.79</w:t>
      </w:r>
      <w:r>
        <w:rPr>
          <w:rFonts w:ascii="Times New Roman" w:hAnsi="Times New Roman" w:eastAsia="方正仿宋_GBK" w:cs="方正仿宋_GBK"/>
          <w:sz w:val="32"/>
          <w:szCs w:val="32"/>
          <w:shd w:val="clear" w:color="auto" w:fill="FFFFFF"/>
        </w:rPr>
        <w:t>%，较年初预算数减少14.77万元，下降5.0%，主要原因是</w:t>
      </w:r>
      <w:r>
        <w:rPr>
          <w:rFonts w:hint="eastAsia" w:ascii="Times New Roman" w:hAnsi="Times New Roman" w:eastAsia="方正仿宋_GBK" w:cs="方正仿宋_GBK"/>
          <w:sz w:val="32"/>
          <w:szCs w:val="32"/>
          <w:shd w:val="clear" w:color="auto" w:fill="FFFFFF"/>
        </w:rPr>
        <w:t>政策性调整。</w:t>
      </w:r>
    </w:p>
    <w:p w14:paraId="47EFFF68">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jc w:val="both"/>
        <w:textAlignment w:val="auto"/>
        <w:rPr>
          <w:rFonts w:hint="eastAsia" w:ascii="Times New Roman" w:hAnsi="Times New Roman" w:eastAsia="方正仿宋_GBK" w:cs="方正仿宋_GBK"/>
          <w:color w:val="FF0000"/>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住房保障支出512.25</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5.04</w:t>
      </w:r>
      <w:r>
        <w:rPr>
          <w:rFonts w:ascii="Times New Roman" w:hAnsi="Times New Roman" w:eastAsia="方正仿宋_GBK" w:cs="方正仿宋_GBK"/>
          <w:sz w:val="32"/>
          <w:szCs w:val="32"/>
          <w:shd w:val="clear" w:color="auto" w:fill="FFFFFF"/>
        </w:rPr>
        <w:t>%，较年初预算数增加9.71万元，增长1.9%，主要原因是</w:t>
      </w:r>
      <w:r>
        <w:rPr>
          <w:rFonts w:hint="eastAsia" w:ascii="Times New Roman" w:hAnsi="Times New Roman" w:eastAsia="方正仿宋_GBK" w:cs="方正仿宋_GBK"/>
          <w:sz w:val="32"/>
          <w:szCs w:val="32"/>
          <w:shd w:val="clear" w:color="auto" w:fill="FFFFFF"/>
        </w:rPr>
        <w:t>在职人员职称结构变化引起的住房补贴的增加</w:t>
      </w:r>
      <w:r>
        <w:rPr>
          <w:rFonts w:hint="eastAsia" w:ascii="Times New Roman" w:hAnsi="Times New Roman" w:eastAsia="方正仿宋_GBK" w:cs="方正仿宋_GBK"/>
          <w:sz w:val="32"/>
          <w:szCs w:val="32"/>
          <w:shd w:val="clear" w:color="auto" w:fill="FFFFFF"/>
          <w:lang w:eastAsia="zh-CN"/>
        </w:rPr>
        <w:t>。</w:t>
      </w:r>
    </w:p>
    <w:p w14:paraId="14135E4E">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420"/>
        <w:jc w:val="both"/>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（四）一般公共预算财政拨款基本支出决算情况说明</w:t>
      </w:r>
    </w:p>
    <w:p w14:paraId="2E906C1F">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42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度一般公共财政拨款基本支出</w:t>
      </w:r>
      <w:r>
        <w:rPr>
          <w:rFonts w:ascii="Times New Roman" w:hAnsi="Times New Roman" w:eastAsia="方正仿宋_GBK" w:cs="方正仿宋_GBK"/>
          <w:sz w:val="32"/>
          <w:szCs w:val="32"/>
        </w:rPr>
        <w:t>6797.50</w:t>
      </w:r>
      <w:r>
        <w:rPr>
          <w:rFonts w:ascii="Times New Roman" w:hAnsi="Times New Roman" w:eastAsia="方正仿宋_GBK" w:cs="方正仿宋_GBK"/>
          <w:sz w:val="32"/>
          <w:szCs w:val="32"/>
          <w:shd w:val="clear" w:color="auto" w:fill="FFFFFF"/>
        </w:rPr>
        <w:t>万元。其中：人员经费</w:t>
      </w:r>
      <w:r>
        <w:rPr>
          <w:rFonts w:ascii="Times New Roman" w:hAnsi="Times New Roman" w:eastAsia="方正仿宋_GBK" w:cs="方正仿宋_GBK"/>
          <w:sz w:val="32"/>
          <w:szCs w:val="32"/>
        </w:rPr>
        <w:t>5675.17</w:t>
      </w:r>
      <w:r>
        <w:rPr>
          <w:rFonts w:ascii="Times New Roman" w:hAnsi="Times New Roman" w:eastAsia="方正仿宋_GBK" w:cs="方正仿宋_GBK"/>
          <w:sz w:val="32"/>
          <w:szCs w:val="32"/>
          <w:shd w:val="clear" w:color="auto" w:fill="FFFFFF"/>
        </w:rPr>
        <w:t>万元，与2023年度相比，增加219.32万元，增长4.0%，主要原因是</w:t>
      </w:r>
      <w:r>
        <w:rPr>
          <w:rFonts w:hint="eastAsia" w:ascii="Times New Roman" w:hAnsi="Times New Roman" w:eastAsia="方正仿宋_GBK" w:cs="方正仿宋_GBK"/>
          <w:sz w:val="32"/>
          <w:szCs w:val="32"/>
          <w:shd w:val="clear" w:color="auto" w:fill="FFFFFF"/>
          <w:lang w:eastAsia="zh-CN"/>
        </w:rPr>
        <w:t>新进人员增加，政策性调整社保及工资调标。</w:t>
      </w:r>
      <w:r>
        <w:rPr>
          <w:rFonts w:ascii="Times New Roman" w:hAnsi="Times New Roman" w:eastAsia="方正仿宋_GBK" w:cs="方正仿宋_GBK"/>
          <w:sz w:val="32"/>
          <w:szCs w:val="32"/>
          <w:shd w:val="clear" w:color="auto" w:fill="FFFFFF"/>
        </w:rPr>
        <w:t>人员经费用途主要包括基本工资、津补贴、绩效工资、机关事业单位基本养老保险、职业年金、职工基本医疗保险、住房公积金、医疗费和其他社会保障。公用经费</w:t>
      </w:r>
      <w:r>
        <w:rPr>
          <w:rFonts w:ascii="Times New Roman" w:hAnsi="Times New Roman" w:eastAsia="方正仿宋_GBK" w:cs="方正仿宋_GBK"/>
          <w:sz w:val="32"/>
          <w:szCs w:val="32"/>
        </w:rPr>
        <w:t>1122.33</w:t>
      </w:r>
      <w:r>
        <w:rPr>
          <w:rFonts w:ascii="Times New Roman" w:hAnsi="Times New Roman" w:eastAsia="方正仿宋_GBK" w:cs="方正仿宋_GBK"/>
          <w:sz w:val="32"/>
          <w:szCs w:val="32"/>
          <w:shd w:val="clear" w:color="auto" w:fill="FFFFFF"/>
        </w:rPr>
        <w:t>万元，与2023年度相比，减少94.58万元，下降7.8%，主要原因是</w:t>
      </w:r>
      <w:r>
        <w:rPr>
          <w:rFonts w:hint="eastAsia" w:ascii="Times New Roman" w:hAnsi="Times New Roman" w:eastAsia="方正仿宋_GBK" w:cs="方正仿宋_GBK"/>
          <w:sz w:val="32"/>
          <w:szCs w:val="32"/>
          <w:shd w:val="clear" w:color="auto" w:fill="FFFFFF"/>
          <w:lang w:eastAsia="zh-CN"/>
        </w:rPr>
        <w:t>学生人数减少。</w:t>
      </w:r>
      <w:r>
        <w:rPr>
          <w:rFonts w:ascii="Times New Roman" w:hAnsi="Times New Roman" w:eastAsia="方正仿宋_GBK" w:cs="方正仿宋_GBK"/>
          <w:sz w:val="32"/>
          <w:szCs w:val="32"/>
          <w:shd w:val="clear" w:color="auto" w:fill="FFFFFF"/>
        </w:rPr>
        <w:t>公用经费用途主要包括办公费、印刷费、咨询费、水电费、邮电费、物业管理费、差旅费、维修维护费、租赁费、委托业务费等</w:t>
      </w:r>
      <w:r>
        <w:rPr>
          <w:rFonts w:hint="eastAsia" w:ascii="Times New Roman" w:hAnsi="Times New Roman" w:eastAsia="方正仿宋_GBK" w:cs="方正仿宋_GBK"/>
          <w:sz w:val="32"/>
          <w:szCs w:val="32"/>
          <w:shd w:val="clear" w:color="auto" w:fill="FFFFFF"/>
          <w:lang w:eastAsia="zh-CN"/>
        </w:rPr>
        <w:t>。</w:t>
      </w:r>
    </w:p>
    <w:p w14:paraId="73A6BC32">
      <w:pPr>
        <w:pStyle w:val="8"/>
        <w:keepNext w:val="0"/>
        <w:keepLines w:val="0"/>
        <w:pageBreakBefore w:val="0"/>
        <w:shd w:val="clear" w:color="auto" w:fill="FFFFFF"/>
        <w:kinsoku/>
        <w:overflowPunct/>
        <w:topLinePunct w:val="0"/>
        <w:autoSpaceDN/>
        <w:bidi w:val="0"/>
        <w:spacing w:beforeAutospacing="0" w:afterAutospacing="0" w:line="600" w:lineRule="exact"/>
        <w:ind w:firstLine="420"/>
        <w:jc w:val="both"/>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（五）政府性基金预算收支决算情况说明</w:t>
      </w:r>
    </w:p>
    <w:p w14:paraId="7F9042E8">
      <w:pPr>
        <w:pStyle w:val="8"/>
        <w:keepNext w:val="0"/>
        <w:keepLines w:val="0"/>
        <w:pageBreakBefore w:val="0"/>
        <w:kinsoku/>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度政府性基金预算财政拨款年初结转结余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万元，年末结转结余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万元。本年收入</w:t>
      </w:r>
      <w:r>
        <w:rPr>
          <w:rFonts w:ascii="Times New Roman" w:hAnsi="Times New Roman" w:eastAsia="方正仿宋_GBK" w:cs="方正仿宋_GBK"/>
          <w:sz w:val="32"/>
          <w:szCs w:val="32"/>
        </w:rPr>
        <w:t>49.62</w:t>
      </w:r>
      <w:r>
        <w:rPr>
          <w:rFonts w:ascii="Times New Roman" w:hAnsi="Times New Roman" w:eastAsia="方正仿宋_GBK" w:cs="方正仿宋_GBK"/>
          <w:sz w:val="32"/>
          <w:szCs w:val="32"/>
          <w:shd w:val="clear" w:color="auto" w:fill="FFFFFF"/>
        </w:rPr>
        <w:t>万元，与2023年度相比，减少1113.38万元，下降95.7%，主要原因是</w:t>
      </w:r>
      <w:r>
        <w:rPr>
          <w:rFonts w:hint="eastAsia" w:ascii="Times New Roman" w:hAnsi="Times New Roman" w:eastAsia="方正仿宋_GBK" w:cs="方正仿宋_GBK"/>
          <w:sz w:val="32"/>
          <w:szCs w:val="32"/>
          <w:shd w:val="clear" w:color="auto" w:fill="FFFFFF"/>
          <w:lang w:eastAsia="zh-CN"/>
        </w:rPr>
        <w:t>综合实训楼工程建设在</w:t>
      </w:r>
      <w:r>
        <w:rPr>
          <w:rFonts w:hint="eastAsia" w:ascii="Times New Roman" w:hAnsi="Times New Roman" w:eastAsia="方正仿宋_GBK" w:cs="方正仿宋_GBK"/>
          <w:sz w:val="32"/>
          <w:szCs w:val="32"/>
          <w:shd w:val="clear" w:color="auto" w:fill="FFFFFF"/>
          <w:lang w:val="en-US" w:eastAsia="zh-CN"/>
        </w:rPr>
        <w:t>2023年底</w:t>
      </w:r>
      <w:r>
        <w:rPr>
          <w:rFonts w:hint="eastAsia" w:ascii="Times New Roman" w:hAnsi="Times New Roman" w:eastAsia="方正仿宋_GBK" w:cs="方正仿宋_GBK"/>
          <w:sz w:val="32"/>
          <w:szCs w:val="32"/>
          <w:shd w:val="clear" w:color="auto" w:fill="FFFFFF"/>
          <w:lang w:eastAsia="zh-CN"/>
        </w:rPr>
        <w:t>已竣工。</w:t>
      </w:r>
      <w:r>
        <w:rPr>
          <w:rFonts w:ascii="Times New Roman" w:hAnsi="Times New Roman" w:eastAsia="方正仿宋_GBK" w:cs="方正仿宋_GBK"/>
          <w:sz w:val="32"/>
          <w:szCs w:val="32"/>
          <w:shd w:val="clear" w:color="auto" w:fill="FFFFFF"/>
        </w:rPr>
        <w:t>本年支出</w:t>
      </w:r>
      <w:r>
        <w:rPr>
          <w:rFonts w:ascii="Times New Roman" w:hAnsi="Times New Roman" w:eastAsia="方正仿宋_GBK" w:cs="方正仿宋_GBK"/>
          <w:sz w:val="32"/>
          <w:szCs w:val="32"/>
        </w:rPr>
        <w:t>49.62</w:t>
      </w:r>
      <w:r>
        <w:rPr>
          <w:rFonts w:ascii="Times New Roman" w:hAnsi="Times New Roman" w:eastAsia="方正仿宋_GBK" w:cs="方正仿宋_GBK"/>
          <w:sz w:val="32"/>
          <w:szCs w:val="32"/>
          <w:shd w:val="clear" w:color="auto" w:fill="FFFFFF"/>
        </w:rPr>
        <w:t>万元，与2023年度相比，减少1113.38万元，下降95.7%，主要原因是</w:t>
      </w:r>
      <w:r>
        <w:rPr>
          <w:rFonts w:hint="eastAsia" w:ascii="Times New Roman" w:hAnsi="Times New Roman" w:eastAsia="方正仿宋_GBK" w:cs="方正仿宋_GBK"/>
          <w:sz w:val="32"/>
          <w:szCs w:val="32"/>
          <w:shd w:val="clear" w:color="auto" w:fill="FFFFFF"/>
          <w:lang w:eastAsia="zh-CN"/>
        </w:rPr>
        <w:t>综合实训楼工程建设在</w:t>
      </w:r>
      <w:r>
        <w:rPr>
          <w:rFonts w:hint="eastAsia" w:ascii="Times New Roman" w:hAnsi="Times New Roman" w:eastAsia="方正仿宋_GBK" w:cs="方正仿宋_GBK"/>
          <w:sz w:val="32"/>
          <w:szCs w:val="32"/>
          <w:shd w:val="clear" w:color="auto" w:fill="FFFFFF"/>
          <w:lang w:val="en-US" w:eastAsia="zh-CN"/>
        </w:rPr>
        <w:t>2023年底</w:t>
      </w:r>
      <w:r>
        <w:rPr>
          <w:rFonts w:hint="eastAsia" w:ascii="Times New Roman" w:hAnsi="Times New Roman" w:eastAsia="方正仿宋_GBK" w:cs="方正仿宋_GBK"/>
          <w:sz w:val="32"/>
          <w:szCs w:val="32"/>
          <w:shd w:val="clear" w:color="auto" w:fill="FFFFFF"/>
          <w:lang w:eastAsia="zh-CN"/>
        </w:rPr>
        <w:t>已竣工。</w:t>
      </w:r>
    </w:p>
    <w:p w14:paraId="2AC89778">
      <w:pPr>
        <w:pStyle w:val="8"/>
        <w:keepNext w:val="0"/>
        <w:keepLines w:val="0"/>
        <w:pageBreakBefore w:val="0"/>
        <w:shd w:val="clear" w:color="auto" w:fill="FFFFFF"/>
        <w:kinsoku/>
        <w:overflowPunct/>
        <w:topLinePunct w:val="0"/>
        <w:autoSpaceDN/>
        <w:bidi w:val="0"/>
        <w:spacing w:beforeAutospacing="0" w:afterAutospacing="0" w:line="600" w:lineRule="exact"/>
        <w:ind w:firstLine="420"/>
        <w:jc w:val="both"/>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（六）国有资本经营预算财政拨款支出决算情况说明</w:t>
      </w:r>
    </w:p>
    <w:p w14:paraId="5B1FA166">
      <w:pPr>
        <w:pStyle w:val="8"/>
        <w:keepNext w:val="0"/>
        <w:keepLines w:val="0"/>
        <w:pageBreakBefore w:val="0"/>
        <w:kinsoku/>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lang w:eastAsia="zh-CN"/>
        </w:rPr>
        <w:t>本单位2024年度无国有资本经营预算财政拨款支出。</w:t>
      </w:r>
    </w:p>
    <w:p w14:paraId="0B79FA8A">
      <w:pPr>
        <w:keepNext w:val="0"/>
        <w:keepLines w:val="0"/>
        <w:pageBreakBefore w:val="0"/>
        <w:widowControl/>
        <w:kinsoku/>
        <w:overflowPunct/>
        <w:topLinePunct w:val="0"/>
        <w:autoSpaceDN/>
        <w:bidi w:val="0"/>
        <w:spacing w:beforeAutospacing="0" w:afterAutospacing="0" w:line="600" w:lineRule="exact"/>
        <w:ind w:firstLine="640" w:firstLineChars="200"/>
        <w:jc w:val="both"/>
        <w:rPr>
          <w:rStyle w:val="11"/>
          <w:rFonts w:hint="default" w:ascii="Times New Roman" w:hAnsi="Times New Roman" w:eastAsia="方正黑体_GBK" w:cs="黑体"/>
          <w:b w:val="0"/>
          <w:bCs/>
          <w:sz w:val="32"/>
          <w:szCs w:val="32"/>
          <w:shd w:val="clear" w:color="auto" w:fill="FFFFFF"/>
          <w:lang w:val="en-US" w:eastAsia="zh-Hans" w:bidi="ar-SA"/>
        </w:rPr>
      </w:pPr>
      <w:r>
        <w:rPr>
          <w:rStyle w:val="11"/>
          <w:rFonts w:hint="eastAsia" w:ascii="Times New Roman" w:hAnsi="Times New Roman" w:eastAsia="方正黑体_GBK" w:cs="黑体"/>
          <w:b w:val="0"/>
          <w:bCs/>
          <w:sz w:val="32"/>
          <w:szCs w:val="32"/>
          <w:shd w:val="clear" w:color="auto" w:fill="FFFFFF"/>
          <w:lang w:val="en-US" w:eastAsia="zh-Hans" w:bidi="ar-SA"/>
        </w:rPr>
        <w:t>三、</w:t>
      </w:r>
      <w:r>
        <w:rPr>
          <w:rStyle w:val="11"/>
          <w:rFonts w:hint="eastAsia" w:ascii="Times New Roman" w:hAnsi="Times New Roman" w:eastAsia="方正黑体_GBK" w:cs="黑体"/>
          <w:b w:val="0"/>
          <w:bCs/>
          <w:sz w:val="32"/>
          <w:szCs w:val="32"/>
          <w:shd w:val="clear" w:color="auto" w:fill="FFFFFF"/>
          <w:lang w:val="en-US" w:eastAsia="zh-CN" w:bidi="ar-SA"/>
        </w:rPr>
        <w:t>财政拨款</w:t>
      </w:r>
      <w:r>
        <w:rPr>
          <w:rStyle w:val="11"/>
          <w:rFonts w:hint="eastAsia" w:ascii="Times New Roman" w:hAnsi="Times New Roman" w:eastAsia="方正黑体_GBK" w:cs="黑体"/>
          <w:b w:val="0"/>
          <w:bCs/>
          <w:sz w:val="32"/>
          <w:szCs w:val="32"/>
          <w:shd w:val="clear" w:color="auto" w:fill="FFFFFF"/>
          <w:lang w:val="en-US" w:eastAsia="zh-Hans" w:bidi="ar-SA"/>
        </w:rPr>
        <w:t>“三公”经费情况说明</w:t>
      </w:r>
    </w:p>
    <w:p w14:paraId="6CC4D10E">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420"/>
        <w:jc w:val="both"/>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（一）“三公”经费支出总体情况说明</w:t>
      </w:r>
    </w:p>
    <w:p w14:paraId="27EA19BC">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lang w:val="en-US" w:eastAsia="zh-CN"/>
        </w:rPr>
      </w:pPr>
      <w:r>
        <w:rPr>
          <w:rFonts w:hint="eastAsia" w:ascii="Times New Roman" w:hAnsi="Times New Roman" w:eastAsia="方正仿宋_GBK" w:cs="方正仿宋_GBK"/>
          <w:sz w:val="32"/>
          <w:szCs w:val="32"/>
          <w:shd w:val="clear" w:color="auto" w:fill="FFFFFF"/>
          <w:lang w:eastAsia="zh-CN"/>
        </w:rPr>
        <w:t>2024年度“三公”经费支出共计0.00万元，较年初预算数无增减，</w:t>
      </w:r>
      <w:r>
        <w:rPr>
          <w:rFonts w:hint="eastAsia" w:ascii="Times New Roman" w:hAnsi="Times New Roman" w:eastAsia="方正仿宋_GBK" w:cs="方正仿宋_GBK"/>
          <w:sz w:val="32"/>
          <w:szCs w:val="32"/>
          <w:shd w:val="clear" w:color="auto" w:fill="FFFFFF"/>
          <w:lang w:val="en-US" w:eastAsia="zh-CN"/>
        </w:rPr>
        <w:t>较上年支出数无增减，</w:t>
      </w:r>
      <w:r>
        <w:rPr>
          <w:rFonts w:hint="eastAsia" w:ascii="Times New Roman" w:hAnsi="Times New Roman" w:eastAsia="方正仿宋_GBK" w:cs="方正仿宋_GBK"/>
          <w:sz w:val="32"/>
          <w:szCs w:val="32"/>
          <w:shd w:val="clear" w:color="auto" w:fill="FFFFFF"/>
          <w:lang w:eastAsia="zh-CN"/>
        </w:rPr>
        <w:t>主要原因是本单位2024年度未发生“三公”经费支出，</w:t>
      </w:r>
      <w:r>
        <w:rPr>
          <w:rFonts w:hint="eastAsia" w:ascii="Times New Roman" w:hAnsi="Times New Roman" w:eastAsia="方正仿宋_GBK" w:cs="方正仿宋_GBK"/>
          <w:sz w:val="32"/>
          <w:szCs w:val="32"/>
          <w:shd w:val="clear" w:color="auto" w:fill="FFFFFF"/>
          <w:lang w:val="en-US" w:eastAsia="zh-CN"/>
        </w:rPr>
        <w:t>与上年决算数持平。</w:t>
      </w:r>
    </w:p>
    <w:p w14:paraId="677025C8">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（二）“三公”经费分项支出情况</w:t>
      </w:r>
    </w:p>
    <w:p w14:paraId="1923CF93">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2024年度本单位因公出国（境）费用0.00万元。费用支出较年初预算数无增减，较上年支出数无增减，主要原因是本单位2024年度未发生因公出国（境）支出，</w:t>
      </w:r>
      <w:r>
        <w:rPr>
          <w:rFonts w:hint="eastAsia" w:ascii="Times New Roman" w:hAnsi="Times New Roman" w:eastAsia="方正仿宋_GBK" w:cs="方正仿宋_GBK"/>
          <w:sz w:val="32"/>
          <w:szCs w:val="32"/>
          <w:shd w:val="clear" w:color="auto" w:fill="FFFFFF"/>
          <w:lang w:val="en-US" w:eastAsia="zh-CN"/>
        </w:rPr>
        <w:t>与上年决算数持平。</w:t>
      </w:r>
    </w:p>
    <w:p w14:paraId="3656E819">
      <w:pPr>
        <w:pStyle w:val="8"/>
        <w:keepNext w:val="0"/>
        <w:keepLines w:val="0"/>
        <w:pageBreakBefore w:val="0"/>
        <w:kinsoku/>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公务车购置费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w:t>
      </w:r>
      <w:r>
        <w:rPr>
          <w:rFonts w:hint="eastAsia" w:ascii="Times New Roman" w:hAnsi="Times New Roman" w:eastAsia="方正仿宋_GBK" w:cs="方正仿宋_GBK"/>
          <w:sz w:val="32"/>
          <w:szCs w:val="32"/>
          <w:shd w:val="clear" w:color="auto" w:fill="FFFFFF"/>
          <w:lang w:eastAsia="zh-CN"/>
        </w:rPr>
        <w:t>较上年支出数无增减，</w:t>
      </w:r>
      <w:r>
        <w:rPr>
          <w:rFonts w:ascii="Times New Roman" w:hAnsi="Times New Roman"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rPr>
        <w:t>本单位202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年度未发生公务车购置支出</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方正仿宋_GBK"/>
          <w:sz w:val="32"/>
          <w:szCs w:val="32"/>
          <w:shd w:val="clear" w:color="auto" w:fill="FFFFFF"/>
          <w:lang w:val="en-US" w:eastAsia="zh-CN"/>
        </w:rPr>
        <w:t>与上年决算数持平。</w:t>
      </w:r>
    </w:p>
    <w:p w14:paraId="341A5623">
      <w:pPr>
        <w:pStyle w:val="8"/>
        <w:keepNext w:val="0"/>
        <w:keepLines w:val="0"/>
        <w:pageBreakBefore w:val="0"/>
        <w:kinsoku/>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公务车运行维护费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w:t>
      </w:r>
      <w:r>
        <w:rPr>
          <w:rFonts w:hint="eastAsia" w:ascii="Times New Roman" w:hAnsi="Times New Roman" w:eastAsia="方正仿宋_GBK" w:cs="方正仿宋_GBK"/>
          <w:sz w:val="32"/>
          <w:szCs w:val="32"/>
          <w:shd w:val="clear" w:color="auto" w:fill="FFFFFF"/>
          <w:lang w:eastAsia="zh-CN"/>
        </w:rPr>
        <w:t>较上年支出数无增减，</w:t>
      </w:r>
      <w:r>
        <w:rPr>
          <w:rFonts w:ascii="Times New Roman" w:hAnsi="Times New Roman" w:eastAsia="方正仿宋_GBK" w:cs="方正仿宋_GBK"/>
          <w:sz w:val="32"/>
          <w:szCs w:val="32"/>
          <w:shd w:val="clear" w:color="auto" w:fill="FFFFFF"/>
        </w:rPr>
        <w:t>主要用于</w:t>
      </w:r>
      <w:r>
        <w:rPr>
          <w:rFonts w:hint="default" w:ascii="Times New Roman" w:hAnsi="Times New Roman" w:eastAsia="方正仿宋_GBK" w:cs="Times New Roman"/>
          <w:sz w:val="32"/>
          <w:szCs w:val="32"/>
        </w:rPr>
        <w:t>本单位202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年度未发生公务车运行维护</w:t>
      </w:r>
      <w:r>
        <w:rPr>
          <w:rFonts w:hint="eastAsia" w:ascii="Times New Roman" w:hAnsi="Times New Roman" w:eastAsia="方正仿宋_GBK" w:cs="Times New Roman"/>
          <w:sz w:val="32"/>
          <w:szCs w:val="32"/>
          <w:lang w:val="en-US" w:eastAsia="zh-CN"/>
        </w:rPr>
        <w:t>支出</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方正仿宋_GBK"/>
          <w:sz w:val="32"/>
          <w:szCs w:val="32"/>
          <w:shd w:val="clear" w:color="auto" w:fill="FFFFFF"/>
          <w:lang w:val="en-US" w:eastAsia="zh-CN"/>
        </w:rPr>
        <w:t>与上年决算数持平。</w:t>
      </w:r>
    </w:p>
    <w:p w14:paraId="5CA696E4">
      <w:pPr>
        <w:pStyle w:val="8"/>
        <w:keepNext w:val="0"/>
        <w:keepLines w:val="0"/>
        <w:pageBreakBefore w:val="0"/>
        <w:kinsoku/>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公务接待费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w:t>
      </w:r>
      <w:r>
        <w:rPr>
          <w:rFonts w:hint="eastAsia" w:ascii="Times New Roman" w:hAnsi="Times New Roman" w:eastAsia="方正仿宋_GBK" w:cs="方正仿宋_GBK"/>
          <w:sz w:val="32"/>
          <w:szCs w:val="32"/>
          <w:shd w:val="clear" w:color="auto" w:fill="FFFFFF"/>
          <w:lang w:eastAsia="zh-CN"/>
        </w:rPr>
        <w:t>较上年支出数无增减，</w:t>
      </w:r>
      <w:r>
        <w:rPr>
          <w:rFonts w:ascii="Times New Roman" w:hAnsi="Times New Roman"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年度未发生公务接待费</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方正仿宋_GBK"/>
          <w:sz w:val="32"/>
          <w:szCs w:val="32"/>
          <w:shd w:val="clear" w:color="auto" w:fill="FFFFFF"/>
          <w:lang w:val="en-US" w:eastAsia="zh-CN"/>
        </w:rPr>
        <w:t>与上年决算数持平。</w:t>
      </w:r>
    </w:p>
    <w:p w14:paraId="68EC0FF7">
      <w:pPr>
        <w:pStyle w:val="8"/>
        <w:keepNext w:val="0"/>
        <w:keepLines w:val="0"/>
        <w:pageBreakBefore w:val="0"/>
        <w:widowControl w:val="0"/>
        <w:shd w:val="clear" w:color="auto" w:fill="FFFFFF"/>
        <w:kinsoku/>
        <w:wordWrap/>
        <w:overflowPunct/>
        <w:topLinePunct w:val="0"/>
        <w:autoSpaceDE/>
        <w:autoSpaceDN/>
        <w:bidi w:val="0"/>
        <w:adjustRightInd/>
        <w:spacing w:beforeAutospacing="0" w:afterAutospacing="0" w:line="600" w:lineRule="exact"/>
        <w:ind w:firstLine="420"/>
        <w:jc w:val="both"/>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（三）“三公”经费实物量情况</w:t>
      </w:r>
    </w:p>
    <w:p w14:paraId="5838B410">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因公出国（境）共计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辆，公务车保有量为</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辆；国内公务接待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人均接待费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元，车均购置费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万元，车均维护费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w:t>
      </w:r>
    </w:p>
    <w:p w14:paraId="4A21484A">
      <w:pPr>
        <w:keepNext w:val="0"/>
        <w:keepLines w:val="0"/>
        <w:pageBreakBefore w:val="0"/>
        <w:widowControl w:val="0"/>
        <w:numPr>
          <w:ilvl w:val="0"/>
          <w:numId w:val="1"/>
        </w:numPr>
        <w:kinsoku/>
        <w:wordWrap/>
        <w:overflowPunct/>
        <w:topLinePunct w:val="0"/>
        <w:autoSpaceDN/>
        <w:bidi w:val="0"/>
        <w:adjustRightInd/>
        <w:spacing w:beforeAutospacing="0" w:afterAutospacing="0" w:line="600" w:lineRule="exact"/>
        <w:ind w:firstLine="640" w:firstLineChars="200"/>
        <w:jc w:val="both"/>
        <w:textAlignment w:val="auto"/>
        <w:rPr>
          <w:rStyle w:val="11"/>
          <w:rFonts w:hint="eastAsia" w:ascii="Times New Roman" w:hAnsi="Times New Roman" w:eastAsia="方正黑体_GBK" w:cs="黑体"/>
          <w:b w:val="0"/>
          <w:bCs/>
          <w:sz w:val="32"/>
          <w:szCs w:val="32"/>
          <w:shd w:val="clear" w:color="auto" w:fill="FFFFFF"/>
          <w:lang w:val="en-US" w:eastAsia="zh-Hans" w:bidi="ar-SA"/>
        </w:rPr>
      </w:pPr>
      <w:r>
        <w:rPr>
          <w:rStyle w:val="11"/>
          <w:rFonts w:hint="eastAsia" w:ascii="Times New Roman" w:hAnsi="Times New Roman" w:eastAsia="方正黑体_GBK" w:cs="黑体"/>
          <w:b w:val="0"/>
          <w:bCs/>
          <w:sz w:val="32"/>
          <w:szCs w:val="32"/>
          <w:shd w:val="clear" w:color="auto" w:fill="FFFFFF"/>
          <w:lang w:val="en-US" w:eastAsia="zh-Hans" w:bidi="ar-SA"/>
        </w:rPr>
        <w:t>其他需要说明的事项</w:t>
      </w:r>
    </w:p>
    <w:p w14:paraId="43FE636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rPr>
          <w:rStyle w:val="11"/>
          <w:rFonts w:hint="eastAsia" w:ascii="Times New Roman" w:hAnsi="Times New Roman" w:eastAsia="方正楷体_GBK" w:cs="方正楷体_GBK"/>
          <w:b w:val="0"/>
          <w:bCs/>
          <w:sz w:val="32"/>
          <w:szCs w:val="32"/>
          <w:shd w:val="clear" w:color="auto" w:fill="FFFFFF"/>
          <w:lang w:val="en-US" w:eastAsia="zh-CN" w:bidi="ar-SA"/>
        </w:rPr>
      </w:pPr>
      <w:r>
        <w:rPr>
          <w:rStyle w:val="11"/>
          <w:rFonts w:hint="eastAsia" w:ascii="Times New Roman" w:hAnsi="Times New Roman" w:eastAsia="方正楷体_GBK" w:cs="方正楷体_GBK"/>
          <w:b w:val="0"/>
          <w:bCs/>
          <w:sz w:val="32"/>
          <w:szCs w:val="32"/>
          <w:shd w:val="clear" w:color="auto" w:fill="FFFFFF"/>
          <w:lang w:val="en-US" w:eastAsia="zh-CN" w:bidi="ar-SA"/>
        </w:rPr>
        <w:t>（一）财政拨款会议费和培训费情况说明</w:t>
      </w:r>
    </w:p>
    <w:p w14:paraId="26FC0A7A">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本年度会议费支出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w:t>
      </w:r>
      <w:r>
        <w:rPr>
          <w:rFonts w:hint="eastAsia" w:ascii="Times New Roman" w:hAnsi="Times New Roman" w:eastAsia="方正仿宋_GBK" w:cs="方正仿宋_GBK"/>
          <w:sz w:val="32"/>
          <w:szCs w:val="32"/>
          <w:shd w:val="clear" w:color="auto" w:fill="FFFFFF"/>
          <w:lang w:val="en-US" w:eastAsia="zh-CN"/>
        </w:rPr>
        <w:t>2024年为发生会议费</w:t>
      </w:r>
      <w:r>
        <w:rPr>
          <w:rFonts w:ascii="Times New Roman" w:hAnsi="Times New Roman" w:eastAsia="方正仿宋_GBK" w:cs="方正仿宋_GBK"/>
          <w:sz w:val="32"/>
          <w:szCs w:val="32"/>
          <w:shd w:val="clear" w:color="auto" w:fill="FFFFFF"/>
        </w:rPr>
        <w:t>。本年度培训费支出</w:t>
      </w:r>
      <w:r>
        <w:rPr>
          <w:rFonts w:ascii="Times New Roman" w:hAnsi="Times New Roman" w:eastAsia="方正仿宋_GBK" w:cs="方正仿宋_GBK"/>
          <w:sz w:val="32"/>
          <w:szCs w:val="32"/>
        </w:rPr>
        <w:t>77.94</w:t>
      </w:r>
      <w:r>
        <w:rPr>
          <w:rFonts w:ascii="Times New Roman" w:hAnsi="Times New Roman" w:eastAsia="方正仿宋_GBK" w:cs="方正仿宋_GBK"/>
          <w:sz w:val="32"/>
          <w:szCs w:val="32"/>
          <w:shd w:val="clear" w:color="auto" w:fill="FFFFFF"/>
        </w:rPr>
        <w:t>万元，与2023年度相比，减少72.63万元，下降48.2%，主要原因是</w:t>
      </w:r>
      <w:r>
        <w:rPr>
          <w:rFonts w:ascii="Times New Roman" w:hAnsi="Times New Roman" w:eastAsia="方正仿宋_GBK" w:cs="方正仿宋_GBK"/>
          <w:sz w:val="32"/>
          <w:szCs w:val="32"/>
          <w:shd w:val="clear" w:color="auto" w:fill="FFFFFF"/>
          <w:lang w:eastAsia="zh-Hans"/>
        </w:rPr>
        <w:t>组织教师外出培训活动人次的减少</w:t>
      </w:r>
      <w:r>
        <w:rPr>
          <w:rFonts w:ascii="Times New Roman" w:hAnsi="Times New Roman" w:eastAsia="方正仿宋_GBK" w:cs="方正仿宋_GBK"/>
          <w:sz w:val="32"/>
          <w:szCs w:val="32"/>
          <w:shd w:val="clear" w:color="auto" w:fill="FFFFFF"/>
        </w:rPr>
        <w:t>。</w:t>
      </w:r>
    </w:p>
    <w:p w14:paraId="004A49A9">
      <w:pPr>
        <w:pStyle w:val="8"/>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0" w:firstLineChars="200"/>
        <w:jc w:val="both"/>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（二）机关运行经费情况说明</w:t>
      </w:r>
    </w:p>
    <w:p w14:paraId="2AD65B63">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highlight w:val="yellow"/>
          <w:lang w:val="en-US" w:eastAsia="zh-CN" w:bidi="ar-SA"/>
        </w:rPr>
      </w:pPr>
      <w:r>
        <w:rPr>
          <w:rFonts w:ascii="Times New Roman" w:hAnsi="Times New Roman" w:eastAsia="方正仿宋_GBK" w:cs="宋体"/>
          <w:sz w:val="32"/>
          <w:szCs w:val="32"/>
        </w:rPr>
        <w:t>按照单位决算列报口径，我单位不在机关运行经费统计范围之内。</w:t>
      </w:r>
    </w:p>
    <w:p w14:paraId="0DC640F5">
      <w:pPr>
        <w:pStyle w:val="8"/>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0" w:firstLineChars="200"/>
        <w:jc w:val="both"/>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（三）国有资产占用情况说明</w:t>
      </w:r>
    </w:p>
    <w:p w14:paraId="2CF2BFB0">
      <w:pPr>
        <w:pStyle w:val="8"/>
        <w:keepNext w:val="0"/>
        <w:keepLines w:val="0"/>
        <w:pageBreakBefore w:val="0"/>
        <w:kinsoku/>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宋体"/>
          <w:sz w:val="32"/>
          <w:szCs w:val="32"/>
        </w:rPr>
      </w:pPr>
      <w:r>
        <w:rPr>
          <w:rFonts w:ascii="Times New Roman" w:hAnsi="Times New Roman" w:eastAsia="方正仿宋_GBK" w:cs="宋体"/>
          <w:sz w:val="32"/>
          <w:szCs w:val="32"/>
        </w:rPr>
        <w:t>截至</w:t>
      </w:r>
      <w:r>
        <w:rPr>
          <w:rFonts w:hint="eastAsia" w:ascii="Times New Roman" w:hAnsi="Times New Roman" w:eastAsia="方正仿宋_GBK" w:cs="宋体"/>
          <w:sz w:val="32"/>
          <w:szCs w:val="32"/>
          <w:lang w:eastAsia="zh-CN"/>
        </w:rPr>
        <w:t>2024年</w:t>
      </w:r>
      <w:r>
        <w:rPr>
          <w:rFonts w:ascii="Times New Roman" w:hAnsi="Times New Roman" w:eastAsia="方正仿宋_GBK" w:cs="宋体"/>
          <w:sz w:val="32"/>
          <w:szCs w:val="32"/>
        </w:rPr>
        <w:t>12月31日，本</w:t>
      </w:r>
      <w:r>
        <w:rPr>
          <w:rFonts w:hint="eastAsia" w:ascii="Times New Roman" w:hAnsi="Times New Roman" w:eastAsia="方正仿宋_GBK" w:cs="宋体"/>
          <w:sz w:val="32"/>
          <w:szCs w:val="32"/>
          <w:lang w:eastAsia="zh-CN"/>
        </w:rPr>
        <w:t>单位</w:t>
      </w:r>
      <w:r>
        <w:rPr>
          <w:rFonts w:ascii="Times New Roman" w:hAnsi="Times New Roman" w:eastAsia="方正仿宋_GBK" w:cs="宋体"/>
          <w:sz w:val="32"/>
          <w:szCs w:val="32"/>
        </w:rPr>
        <w:t>共有车辆0辆，其中，副部（省）级及以上领导用车0辆、主要负责人用车0辆、机要通信用车0辆、应急保障用车0辆、执法执勤用车0辆，特种专业技术用车0辆，离退休干部用车0辆。单价100万元（含）以上专用设备0台（套）。</w:t>
      </w:r>
    </w:p>
    <w:p w14:paraId="1AAD6C85">
      <w:pPr>
        <w:pStyle w:val="8"/>
        <w:keepNext w:val="0"/>
        <w:keepLines w:val="0"/>
        <w:pageBreakBefore w:val="0"/>
        <w:shd w:val="clear" w:color="auto" w:fill="FFFFFF"/>
        <w:kinsoku/>
        <w:overflowPunct/>
        <w:topLinePunct w:val="0"/>
        <w:autoSpaceDN/>
        <w:bidi w:val="0"/>
        <w:spacing w:beforeAutospacing="0" w:afterAutospacing="0" w:line="600" w:lineRule="exact"/>
        <w:ind w:firstLine="420"/>
        <w:jc w:val="both"/>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（四）政府采购支出情况说明</w:t>
      </w:r>
    </w:p>
    <w:p w14:paraId="42951953">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color w:val="FF0000"/>
          <w:sz w:val="32"/>
          <w:szCs w:val="32"/>
          <w:shd w:val="clear" w:color="auto" w:fill="FFFFFF"/>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政府采购支出总额</w:t>
      </w:r>
      <w:r>
        <w:rPr>
          <w:rFonts w:ascii="Times New Roman" w:hAnsi="Times New Roman" w:eastAsia="方正仿宋_GBK" w:cs="方正仿宋_GBK"/>
          <w:sz w:val="32"/>
          <w:szCs w:val="32"/>
        </w:rPr>
        <w:t>273.97</w:t>
      </w:r>
      <w:r>
        <w:rPr>
          <w:rFonts w:ascii="Times New Roman" w:hAnsi="Times New Roman" w:eastAsia="方正仿宋_GBK" w:cs="方正仿宋_GBK"/>
          <w:sz w:val="32"/>
          <w:szCs w:val="32"/>
          <w:shd w:val="clear" w:color="auto" w:fill="FFFFFF"/>
        </w:rPr>
        <w:t>万元，其中：政府采购货物支出</w:t>
      </w:r>
      <w:r>
        <w:rPr>
          <w:rFonts w:ascii="Times New Roman" w:hAnsi="Times New Roman" w:eastAsia="方正仿宋_GBK" w:cs="方正仿宋_GBK"/>
          <w:sz w:val="32"/>
          <w:szCs w:val="32"/>
        </w:rPr>
        <w:t>273.97</w:t>
      </w:r>
      <w:r>
        <w:rPr>
          <w:rFonts w:ascii="Times New Roman" w:hAnsi="Times New Roman" w:eastAsia="方正仿宋_GBK" w:cs="方正仿宋_GBK"/>
          <w:sz w:val="32"/>
          <w:szCs w:val="32"/>
          <w:shd w:val="clear" w:color="auto" w:fill="FFFFFF"/>
        </w:rPr>
        <w:t>万元、政府采购工程支出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万元、政府采购服务支出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万元。授予中小企业合同金额</w:t>
      </w:r>
      <w:r>
        <w:rPr>
          <w:rFonts w:ascii="Times New Roman" w:hAnsi="Times New Roman" w:eastAsia="方正仿宋_GBK" w:cs="方正仿宋_GBK"/>
          <w:sz w:val="32"/>
          <w:szCs w:val="32"/>
        </w:rPr>
        <w:t>273.97万</w:t>
      </w:r>
      <w:r>
        <w:rPr>
          <w:rFonts w:ascii="Times New Roman" w:hAnsi="Times New Roman" w:eastAsia="方正仿宋_GBK" w:cs="方正仿宋_GBK"/>
          <w:sz w:val="32"/>
          <w:szCs w:val="32"/>
          <w:shd w:val="clear" w:color="auto" w:fill="FFFFFF"/>
        </w:rPr>
        <w:t>元，占政府采购支出总额的</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%，其中：授予小微企业合同金额</w:t>
      </w:r>
      <w:r>
        <w:rPr>
          <w:rFonts w:ascii="Times New Roman" w:hAnsi="Times New Roman" w:eastAsia="方正仿宋_GBK" w:cs="方正仿宋_GBK"/>
          <w:sz w:val="32"/>
          <w:szCs w:val="32"/>
        </w:rPr>
        <w:t>273.97</w:t>
      </w:r>
      <w:r>
        <w:rPr>
          <w:rFonts w:ascii="Times New Roman" w:hAnsi="Times New Roman" w:eastAsia="方正仿宋_GBK" w:cs="方正仿宋_GBK"/>
          <w:sz w:val="32"/>
          <w:szCs w:val="32"/>
          <w:shd w:val="clear" w:color="auto" w:fill="FFFFFF"/>
        </w:rPr>
        <w:t>万元，占政府采购支出总额的</w:t>
      </w:r>
      <w:r>
        <w:rPr>
          <w:rFonts w:ascii="Times New Roman" w:hAnsi="Times New Roman" w:eastAsia="方正仿宋_GBK" w:cs="方正仿宋_GBK"/>
          <w:sz w:val="32"/>
          <w:szCs w:val="32"/>
        </w:rPr>
        <w:t>100</w:t>
      </w:r>
      <w:r>
        <w:rPr>
          <w:rFonts w:ascii="Times New Roman" w:hAnsi="Times New Roman" w:eastAsia="方正仿宋_GBK" w:cs="方正仿宋_GBK"/>
          <w:sz w:val="32"/>
          <w:szCs w:val="32"/>
          <w:shd w:val="clear" w:color="auto" w:fill="FFFFFF"/>
        </w:rPr>
        <w:t>%。主要用于采购</w:t>
      </w:r>
      <w:r>
        <w:rPr>
          <w:rFonts w:hint="eastAsia" w:ascii="Times New Roman" w:hAnsi="Times New Roman" w:eastAsia="方正仿宋_GBK" w:cs="方正仿宋_GBK"/>
          <w:sz w:val="32"/>
          <w:szCs w:val="32"/>
          <w:shd w:val="clear" w:color="auto" w:fill="FFFFFF"/>
          <w:lang w:eastAsia="zh-CN"/>
        </w:rPr>
        <w:t>学生课桌椅、电脑、工业机器人设备购置等设备。</w:t>
      </w:r>
    </w:p>
    <w:p w14:paraId="50FC70B3">
      <w:pPr>
        <w:keepNext w:val="0"/>
        <w:keepLines w:val="0"/>
        <w:pageBreakBefore w:val="0"/>
        <w:widowControl/>
        <w:kinsoku/>
        <w:overflowPunct/>
        <w:topLinePunct w:val="0"/>
        <w:autoSpaceDN/>
        <w:bidi w:val="0"/>
        <w:spacing w:beforeAutospacing="0" w:afterAutospacing="0" w:line="600" w:lineRule="exact"/>
        <w:ind w:firstLine="640" w:firstLineChars="200"/>
        <w:jc w:val="both"/>
        <w:rPr>
          <w:rStyle w:val="11"/>
          <w:rFonts w:hint="eastAsia" w:ascii="Times New Roman" w:hAnsi="Times New Roman" w:eastAsia="黑体" w:cs="黑体"/>
          <w:sz w:val="32"/>
          <w:szCs w:val="32"/>
          <w:shd w:val="clear" w:color="auto" w:fill="FFFFFF"/>
          <w:lang w:val="en-US" w:eastAsia="zh-CN" w:bidi="ar-SA"/>
        </w:rPr>
      </w:pPr>
      <w:r>
        <w:rPr>
          <w:rStyle w:val="11"/>
          <w:rFonts w:hint="eastAsia" w:ascii="Times New Roman" w:hAnsi="Times New Roman" w:eastAsia="方正黑体_GBK" w:cs="黑体"/>
          <w:b w:val="0"/>
          <w:bCs/>
          <w:sz w:val="32"/>
          <w:szCs w:val="32"/>
          <w:shd w:val="clear" w:color="auto" w:fill="FFFFFF"/>
          <w:lang w:val="en-US" w:eastAsia="zh-CN" w:bidi="ar-SA"/>
        </w:rPr>
        <w:t>五、2024年度预算绩效管理情况说明</w:t>
      </w:r>
    </w:p>
    <w:p w14:paraId="1810751F">
      <w:pPr>
        <w:pStyle w:val="8"/>
        <w:keepNext w:val="0"/>
        <w:keepLines w:val="0"/>
        <w:pageBreakBefore w:val="0"/>
        <w:shd w:val="clear" w:color="auto" w:fill="FFFFFF"/>
        <w:kinsoku/>
        <w:overflowPunct/>
        <w:topLinePunct w:val="0"/>
        <w:autoSpaceDN/>
        <w:bidi w:val="0"/>
        <w:spacing w:beforeAutospacing="0" w:afterAutospacing="0" w:line="600" w:lineRule="exact"/>
        <w:ind w:firstLine="420"/>
        <w:jc w:val="both"/>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（一）预算绩效管理工作开展情况</w:t>
      </w:r>
    </w:p>
    <w:p w14:paraId="6548B1B3">
      <w:pPr>
        <w:keepNext w:val="0"/>
        <w:keepLines w:val="0"/>
        <w:pageBreakBefore w:val="0"/>
        <w:tabs>
          <w:tab w:val="center" w:pos="4153"/>
          <w:tab w:val="left" w:pos="7275"/>
        </w:tabs>
        <w:kinsoku/>
        <w:overflowPunct/>
        <w:topLinePunct w:val="0"/>
        <w:autoSpaceDN/>
        <w:bidi w:val="0"/>
        <w:spacing w:beforeAutospacing="0" w:afterAutospacing="0" w:line="600" w:lineRule="exact"/>
        <w:ind w:firstLine="640" w:firstLineChars="200"/>
        <w:jc w:val="both"/>
        <w:rPr>
          <w:rFonts w:hint="eastAsia" w:ascii="Times New Roman" w:hAnsi="Times New Roman" w:eastAsia="方正仿宋_GBK" w:cs="方正仿宋_GBK"/>
          <w:kern w:val="0"/>
          <w:sz w:val="32"/>
          <w:szCs w:val="32"/>
          <w:highlight w:val="yellow"/>
          <w:shd w:val="clear" w:fill="FFFFFF"/>
          <w:lang w:val="en-US" w:eastAsia="zh-CN" w:bidi="ar-SA"/>
        </w:rPr>
      </w:pPr>
      <w:r>
        <w:rPr>
          <w:rFonts w:hint="default" w:ascii="Times New Roman" w:hAnsi="Times New Roman" w:eastAsia="方正仿宋_GBK"/>
          <w:bCs/>
          <w:sz w:val="32"/>
          <w:szCs w:val="32"/>
          <w:shd w:val="clear" w:color="auto" w:fill="FFFFFF"/>
        </w:rPr>
        <w:t>根据预算绩效管理要求，我单位对2</w:t>
      </w:r>
      <w:r>
        <w:rPr>
          <w:rFonts w:hint="eastAsia" w:ascii="Times New Roman" w:hAnsi="Times New Roman" w:eastAsia="方正仿宋_GBK"/>
          <w:bCs/>
          <w:sz w:val="32"/>
          <w:szCs w:val="32"/>
          <w:shd w:val="clear" w:color="auto" w:fill="FFFFFF"/>
          <w:lang w:val="en-US" w:eastAsia="zh-CN"/>
        </w:rPr>
        <w:t>2</w:t>
      </w:r>
      <w:r>
        <w:rPr>
          <w:rFonts w:hint="default" w:ascii="Times New Roman" w:hAnsi="Times New Roman" w:eastAsia="方正仿宋_GBK"/>
          <w:bCs/>
          <w:sz w:val="32"/>
          <w:szCs w:val="32"/>
          <w:shd w:val="clear" w:color="auto" w:fill="FFFFFF"/>
        </w:rPr>
        <w:t>个二级项目开展了绩效自评，涉及财政拨款项目支出3,367.44万元</w:t>
      </w:r>
      <w:r>
        <w:rPr>
          <w:rFonts w:hint="default" w:ascii="Times New Roman" w:hAnsi="Times New Roman" w:eastAsia="方正仿宋_GBK"/>
          <w:b/>
          <w:sz w:val="32"/>
          <w:szCs w:val="32"/>
          <w:shd w:val="clear" w:color="auto" w:fill="FFFFFF"/>
        </w:rPr>
        <w:t>。</w:t>
      </w:r>
    </w:p>
    <w:p w14:paraId="50ED910A">
      <w:pPr>
        <w:keepNext w:val="0"/>
        <w:keepLines w:val="0"/>
        <w:pageBreakBefore w:val="0"/>
        <w:tabs>
          <w:tab w:val="center" w:pos="4153"/>
          <w:tab w:val="left" w:pos="7275"/>
        </w:tabs>
        <w:kinsoku/>
        <w:overflowPunct/>
        <w:topLinePunct w:val="0"/>
        <w:autoSpaceDN/>
        <w:bidi w:val="0"/>
        <w:spacing w:beforeAutospacing="0" w:afterAutospacing="0" w:line="600" w:lineRule="exact"/>
        <w:jc w:val="center"/>
        <w:rPr>
          <w:rFonts w:hint="eastAsia" w:ascii="Times New Roman" w:hAnsi="Times New Roman" w:eastAsia="方正小标宋_GBK" w:cs="方正小标宋_GBK"/>
          <w:color w:val="000000"/>
          <w:kern w:val="0"/>
          <w:sz w:val="36"/>
          <w:szCs w:val="36"/>
          <w:lang w:eastAsia="zh-CN" w:bidi="ar"/>
        </w:rPr>
      </w:pPr>
      <w:r>
        <w:rPr>
          <w:rFonts w:hint="eastAsia" w:ascii="Times New Roman" w:hAnsi="Times New Roman" w:eastAsia="方正小标宋_GBK" w:cs="方正小标宋_GBK"/>
          <w:color w:val="000000"/>
          <w:kern w:val="0"/>
          <w:sz w:val="36"/>
          <w:szCs w:val="36"/>
          <w:lang w:eastAsia="zh-CN" w:bidi="ar"/>
        </w:rPr>
        <w:t>重庆市九龙坡职业教育中心</w:t>
      </w:r>
    </w:p>
    <w:p w14:paraId="17CF66E2">
      <w:pPr>
        <w:keepNext w:val="0"/>
        <w:keepLines w:val="0"/>
        <w:pageBreakBefore w:val="0"/>
        <w:tabs>
          <w:tab w:val="center" w:pos="4153"/>
          <w:tab w:val="left" w:pos="7275"/>
        </w:tabs>
        <w:kinsoku/>
        <w:overflowPunct/>
        <w:topLinePunct w:val="0"/>
        <w:autoSpaceDN/>
        <w:bidi w:val="0"/>
        <w:spacing w:beforeAutospacing="0" w:afterAutospacing="0" w:line="600" w:lineRule="exact"/>
        <w:jc w:val="center"/>
        <w:rPr>
          <w:rFonts w:ascii="Times New Roman" w:hAnsi="Times New Roman" w:cs="宋体"/>
          <w:kern w:val="0"/>
          <w:szCs w:val="32"/>
        </w:rPr>
      </w:pPr>
      <w:r>
        <w:rPr>
          <w:rFonts w:hint="eastAsia" w:ascii="Times New Roman" w:hAnsi="Times New Roman" w:eastAsia="方正小标宋_GBK" w:cs="方正小标宋_GBK"/>
          <w:color w:val="000000"/>
          <w:kern w:val="0"/>
          <w:sz w:val="36"/>
          <w:szCs w:val="36"/>
          <w:lang w:bidi="ar"/>
        </w:rPr>
        <w:t>2024年度项目支出绩效自评表</w:t>
      </w:r>
    </w:p>
    <w:tbl>
      <w:tblPr>
        <w:tblStyle w:val="9"/>
        <w:tblW w:w="9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64" w:type="dxa"/>
          <w:bottom w:w="40" w:type="dxa"/>
          <w:right w:w="64" w:type="dxa"/>
        </w:tblCellMar>
      </w:tblPr>
      <w:tblGrid>
        <w:gridCol w:w="626"/>
        <w:gridCol w:w="1363"/>
        <w:gridCol w:w="1825"/>
        <w:gridCol w:w="737"/>
        <w:gridCol w:w="913"/>
        <w:gridCol w:w="737"/>
        <w:gridCol w:w="675"/>
        <w:gridCol w:w="898"/>
        <w:gridCol w:w="628"/>
        <w:gridCol w:w="688"/>
        <w:gridCol w:w="575"/>
      </w:tblGrid>
      <w:tr w14:paraId="74D0F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blHeader/>
          <w:jc w:val="center"/>
        </w:trPr>
        <w:tc>
          <w:tcPr>
            <w:tcW w:w="626" w:type="dxa"/>
            <w:tcBorders>
              <w:top w:val="single" w:color="auto" w:sz="4" w:space="0"/>
            </w:tcBorders>
            <w:noWrap w:val="0"/>
            <w:vAlign w:val="center"/>
          </w:tcPr>
          <w:p w14:paraId="0F3AE60B">
            <w:pPr>
              <w:keepNext w:val="0"/>
              <w:keepLines w:val="0"/>
              <w:pageBreakBefore w:val="0"/>
              <w:widowControl/>
              <w:kinsoku/>
              <w:overflowPunct/>
              <w:topLinePunct w:val="0"/>
              <w:autoSpaceDN/>
              <w:bidi w:val="0"/>
              <w:snapToGrid w:val="0"/>
              <w:spacing w:beforeAutospacing="0" w:afterAutospacing="0" w:line="600" w:lineRule="exact"/>
              <w:jc w:val="center"/>
              <w:textAlignment w:val="center"/>
              <w:rPr>
                <w:rFonts w:hint="eastAsia" w:eastAsia="方正黑体_GBK" w:cs="方正黑体_GBK"/>
                <w:b w:val="0"/>
                <w:bCs/>
                <w:color w:val="000000"/>
                <w:sz w:val="22"/>
                <w:lang w:eastAsia="zh-CN"/>
              </w:rPr>
            </w:pPr>
            <w:r>
              <w:rPr>
                <w:rFonts w:hint="eastAsia" w:eastAsia="方正黑体_GBK" w:cs="方正黑体_GBK"/>
                <w:b w:val="0"/>
                <w:bCs/>
                <w:color w:val="000000"/>
                <w:kern w:val="0"/>
                <w:sz w:val="22"/>
                <w:lang w:eastAsia="zh-CN" w:bidi="ar"/>
              </w:rPr>
              <w:t>序号</w:t>
            </w:r>
          </w:p>
        </w:tc>
        <w:tc>
          <w:tcPr>
            <w:tcW w:w="1363" w:type="dxa"/>
            <w:tcBorders>
              <w:top w:val="single" w:color="auto" w:sz="4" w:space="0"/>
            </w:tcBorders>
            <w:noWrap w:val="0"/>
            <w:vAlign w:val="center"/>
          </w:tcPr>
          <w:p w14:paraId="4C9D24D4">
            <w:pPr>
              <w:keepNext w:val="0"/>
              <w:keepLines w:val="0"/>
              <w:pageBreakBefore w:val="0"/>
              <w:widowControl/>
              <w:kinsoku/>
              <w:overflowPunct/>
              <w:topLinePunct w:val="0"/>
              <w:autoSpaceDN/>
              <w:bidi w:val="0"/>
              <w:snapToGrid w:val="0"/>
              <w:spacing w:beforeAutospacing="0" w:afterAutospacing="0" w:line="600" w:lineRule="exact"/>
              <w:jc w:val="center"/>
              <w:textAlignment w:val="center"/>
              <w:rPr>
                <w:rFonts w:hint="eastAsia" w:eastAsia="方正黑体_GBK" w:cs="方正黑体_GBK"/>
                <w:b w:val="0"/>
                <w:bCs/>
                <w:color w:val="000000"/>
                <w:sz w:val="22"/>
                <w:lang w:eastAsia="zh-CN"/>
              </w:rPr>
            </w:pPr>
            <w:r>
              <w:rPr>
                <w:rFonts w:hint="eastAsia" w:eastAsia="方正黑体_GBK" w:cs="方正黑体_GBK"/>
                <w:b w:val="0"/>
                <w:bCs/>
                <w:color w:val="000000"/>
                <w:kern w:val="0"/>
                <w:sz w:val="22"/>
                <w:lang w:eastAsia="zh-CN" w:bidi="ar"/>
              </w:rPr>
              <w:t>项目名称</w:t>
            </w:r>
          </w:p>
        </w:tc>
        <w:tc>
          <w:tcPr>
            <w:tcW w:w="1825" w:type="dxa"/>
            <w:tcBorders>
              <w:top w:val="single" w:color="auto" w:sz="4" w:space="0"/>
            </w:tcBorders>
            <w:noWrap w:val="0"/>
            <w:vAlign w:val="center"/>
          </w:tcPr>
          <w:p w14:paraId="5468F69E">
            <w:pPr>
              <w:keepNext w:val="0"/>
              <w:keepLines w:val="0"/>
              <w:pageBreakBefore w:val="0"/>
              <w:widowControl/>
              <w:kinsoku/>
              <w:overflowPunct/>
              <w:topLinePunct w:val="0"/>
              <w:autoSpaceDN/>
              <w:bidi w:val="0"/>
              <w:snapToGrid w:val="0"/>
              <w:spacing w:beforeAutospacing="0" w:afterAutospacing="0" w:line="600" w:lineRule="exact"/>
              <w:jc w:val="center"/>
              <w:textAlignment w:val="center"/>
              <w:rPr>
                <w:rFonts w:hint="eastAsia" w:eastAsia="方正黑体_GBK" w:cs="方正黑体_GBK"/>
                <w:b w:val="0"/>
                <w:bCs/>
                <w:color w:val="000000"/>
                <w:sz w:val="22"/>
                <w:lang w:eastAsia="zh-CN"/>
              </w:rPr>
            </w:pPr>
            <w:r>
              <w:rPr>
                <w:rFonts w:hint="eastAsia" w:eastAsia="方正黑体_GBK" w:cs="方正黑体_GBK"/>
                <w:b w:val="0"/>
                <w:bCs/>
                <w:color w:val="000000"/>
                <w:kern w:val="0"/>
                <w:sz w:val="22"/>
                <w:lang w:eastAsia="zh-CN" w:bidi="ar"/>
              </w:rPr>
              <w:t>指标名称</w:t>
            </w:r>
          </w:p>
        </w:tc>
        <w:tc>
          <w:tcPr>
            <w:tcW w:w="737" w:type="dxa"/>
            <w:tcBorders>
              <w:top w:val="single" w:color="auto" w:sz="4" w:space="0"/>
            </w:tcBorders>
            <w:noWrap w:val="0"/>
            <w:vAlign w:val="center"/>
          </w:tcPr>
          <w:p w14:paraId="4E8F7138">
            <w:pPr>
              <w:keepNext w:val="0"/>
              <w:keepLines w:val="0"/>
              <w:pageBreakBefore w:val="0"/>
              <w:widowControl/>
              <w:kinsoku/>
              <w:overflowPunct/>
              <w:topLinePunct w:val="0"/>
              <w:autoSpaceDN/>
              <w:bidi w:val="0"/>
              <w:snapToGrid w:val="0"/>
              <w:spacing w:beforeAutospacing="0" w:afterAutospacing="0" w:line="600" w:lineRule="exact"/>
              <w:jc w:val="center"/>
              <w:textAlignment w:val="center"/>
              <w:rPr>
                <w:rFonts w:hint="eastAsia" w:eastAsia="方正黑体_GBK" w:cs="方正黑体_GBK"/>
                <w:b w:val="0"/>
                <w:bCs/>
                <w:color w:val="000000"/>
                <w:sz w:val="22"/>
                <w:lang w:eastAsia="zh-CN"/>
              </w:rPr>
            </w:pPr>
            <w:r>
              <w:rPr>
                <w:rFonts w:hint="eastAsia" w:eastAsia="方正黑体_GBK" w:cs="方正黑体_GBK"/>
                <w:b w:val="0"/>
                <w:bCs/>
                <w:color w:val="000000"/>
                <w:kern w:val="0"/>
                <w:sz w:val="22"/>
                <w:lang w:eastAsia="zh-CN" w:bidi="ar"/>
              </w:rPr>
              <w:t>指标性质</w:t>
            </w:r>
          </w:p>
        </w:tc>
        <w:tc>
          <w:tcPr>
            <w:tcW w:w="913" w:type="dxa"/>
            <w:tcBorders>
              <w:top w:val="single" w:color="auto" w:sz="4" w:space="0"/>
            </w:tcBorders>
            <w:noWrap w:val="0"/>
            <w:vAlign w:val="center"/>
          </w:tcPr>
          <w:p w14:paraId="5A5B0C97">
            <w:pPr>
              <w:keepNext w:val="0"/>
              <w:keepLines w:val="0"/>
              <w:pageBreakBefore w:val="0"/>
              <w:widowControl/>
              <w:kinsoku/>
              <w:overflowPunct/>
              <w:topLinePunct w:val="0"/>
              <w:autoSpaceDN/>
              <w:bidi w:val="0"/>
              <w:snapToGrid w:val="0"/>
              <w:spacing w:beforeAutospacing="0" w:afterAutospacing="0" w:line="600" w:lineRule="exact"/>
              <w:jc w:val="center"/>
              <w:textAlignment w:val="center"/>
              <w:rPr>
                <w:rFonts w:hint="eastAsia" w:eastAsia="方正黑体_GBK" w:cs="方正黑体_GBK"/>
                <w:b w:val="0"/>
                <w:bCs/>
                <w:color w:val="000000"/>
                <w:sz w:val="22"/>
                <w:lang w:eastAsia="zh-CN"/>
              </w:rPr>
            </w:pPr>
            <w:r>
              <w:rPr>
                <w:rFonts w:hint="eastAsia" w:eastAsia="方正黑体_GBK" w:cs="方正黑体_GBK"/>
                <w:b w:val="0"/>
                <w:bCs/>
                <w:color w:val="000000"/>
                <w:kern w:val="0"/>
                <w:sz w:val="22"/>
                <w:lang w:eastAsia="zh-CN" w:bidi="ar"/>
              </w:rPr>
              <w:t>指标值</w:t>
            </w:r>
          </w:p>
        </w:tc>
        <w:tc>
          <w:tcPr>
            <w:tcW w:w="737" w:type="dxa"/>
            <w:tcBorders>
              <w:top w:val="single" w:color="auto" w:sz="4" w:space="0"/>
            </w:tcBorders>
            <w:noWrap w:val="0"/>
            <w:vAlign w:val="center"/>
          </w:tcPr>
          <w:p w14:paraId="63B059FF">
            <w:pPr>
              <w:keepNext w:val="0"/>
              <w:keepLines w:val="0"/>
              <w:pageBreakBefore w:val="0"/>
              <w:widowControl/>
              <w:kinsoku/>
              <w:overflowPunct/>
              <w:topLinePunct w:val="0"/>
              <w:autoSpaceDN/>
              <w:bidi w:val="0"/>
              <w:snapToGrid w:val="0"/>
              <w:spacing w:beforeAutospacing="0" w:afterAutospacing="0" w:line="600" w:lineRule="exact"/>
              <w:jc w:val="center"/>
              <w:textAlignment w:val="center"/>
              <w:rPr>
                <w:rFonts w:hint="eastAsia" w:eastAsia="方正黑体_GBK" w:cs="方正黑体_GBK"/>
                <w:b w:val="0"/>
                <w:bCs/>
                <w:color w:val="000000"/>
                <w:sz w:val="22"/>
                <w:lang w:eastAsia="zh-CN"/>
              </w:rPr>
            </w:pPr>
            <w:r>
              <w:rPr>
                <w:rFonts w:hint="eastAsia" w:eastAsia="方正黑体_GBK" w:cs="方正黑体_GBK"/>
                <w:b w:val="0"/>
                <w:bCs/>
                <w:color w:val="000000"/>
                <w:kern w:val="0"/>
                <w:sz w:val="22"/>
                <w:lang w:eastAsia="zh-CN" w:bidi="ar"/>
              </w:rPr>
              <w:t>计量单位</w:t>
            </w:r>
          </w:p>
        </w:tc>
        <w:tc>
          <w:tcPr>
            <w:tcW w:w="675" w:type="dxa"/>
            <w:tcBorders>
              <w:top w:val="single" w:color="auto" w:sz="4" w:space="0"/>
            </w:tcBorders>
            <w:noWrap w:val="0"/>
            <w:vAlign w:val="center"/>
          </w:tcPr>
          <w:p w14:paraId="612BDE45">
            <w:pPr>
              <w:keepNext w:val="0"/>
              <w:keepLines w:val="0"/>
              <w:pageBreakBefore w:val="0"/>
              <w:widowControl/>
              <w:kinsoku/>
              <w:overflowPunct/>
              <w:topLinePunct w:val="0"/>
              <w:autoSpaceDN/>
              <w:bidi w:val="0"/>
              <w:snapToGrid w:val="0"/>
              <w:spacing w:beforeAutospacing="0" w:afterAutospacing="0" w:line="600" w:lineRule="exact"/>
              <w:jc w:val="center"/>
              <w:textAlignment w:val="center"/>
              <w:rPr>
                <w:rFonts w:hint="eastAsia" w:eastAsia="方正黑体_GBK" w:cs="方正黑体_GBK"/>
                <w:b w:val="0"/>
                <w:bCs/>
                <w:color w:val="000000"/>
                <w:sz w:val="22"/>
                <w:lang w:eastAsia="zh-CN"/>
              </w:rPr>
            </w:pPr>
            <w:r>
              <w:rPr>
                <w:rFonts w:hint="eastAsia" w:eastAsia="方正黑体_GBK" w:cs="方正黑体_GBK"/>
                <w:b w:val="0"/>
                <w:bCs/>
                <w:color w:val="000000"/>
                <w:kern w:val="0"/>
                <w:sz w:val="22"/>
                <w:lang w:eastAsia="zh-CN" w:bidi="ar"/>
              </w:rPr>
              <w:t>指标权重</w:t>
            </w:r>
          </w:p>
        </w:tc>
        <w:tc>
          <w:tcPr>
            <w:tcW w:w="898" w:type="dxa"/>
            <w:tcBorders>
              <w:top w:val="single" w:color="auto" w:sz="4" w:space="0"/>
            </w:tcBorders>
            <w:noWrap w:val="0"/>
            <w:vAlign w:val="center"/>
          </w:tcPr>
          <w:p w14:paraId="73F2CEBD">
            <w:pPr>
              <w:keepNext w:val="0"/>
              <w:keepLines w:val="0"/>
              <w:pageBreakBefore w:val="0"/>
              <w:widowControl/>
              <w:kinsoku/>
              <w:overflowPunct/>
              <w:topLinePunct w:val="0"/>
              <w:autoSpaceDN/>
              <w:bidi w:val="0"/>
              <w:snapToGrid w:val="0"/>
              <w:spacing w:beforeAutospacing="0" w:afterAutospacing="0" w:line="600" w:lineRule="exact"/>
              <w:jc w:val="center"/>
              <w:textAlignment w:val="center"/>
              <w:rPr>
                <w:rFonts w:hint="eastAsia" w:eastAsia="方正黑体_GBK" w:cs="方正黑体_GBK"/>
                <w:b w:val="0"/>
                <w:bCs/>
                <w:color w:val="000000"/>
                <w:sz w:val="22"/>
                <w:lang w:eastAsia="zh-CN"/>
              </w:rPr>
            </w:pPr>
            <w:r>
              <w:rPr>
                <w:rFonts w:hint="eastAsia" w:eastAsia="方正黑体_GBK" w:cs="方正黑体_GBK"/>
                <w:b w:val="0"/>
                <w:bCs/>
                <w:color w:val="000000"/>
                <w:kern w:val="0"/>
                <w:sz w:val="22"/>
                <w:lang w:eastAsia="zh-CN" w:bidi="ar"/>
              </w:rPr>
              <w:t>全年完成值</w:t>
            </w:r>
          </w:p>
        </w:tc>
        <w:tc>
          <w:tcPr>
            <w:tcW w:w="628" w:type="dxa"/>
            <w:tcBorders>
              <w:top w:val="single" w:color="auto" w:sz="4" w:space="0"/>
            </w:tcBorders>
            <w:noWrap w:val="0"/>
            <w:vAlign w:val="center"/>
          </w:tcPr>
          <w:p w14:paraId="280CA589">
            <w:pPr>
              <w:keepNext w:val="0"/>
              <w:keepLines w:val="0"/>
              <w:pageBreakBefore w:val="0"/>
              <w:widowControl/>
              <w:kinsoku/>
              <w:overflowPunct/>
              <w:topLinePunct w:val="0"/>
              <w:autoSpaceDN/>
              <w:bidi w:val="0"/>
              <w:snapToGrid w:val="0"/>
              <w:spacing w:beforeAutospacing="0" w:afterAutospacing="0" w:line="600" w:lineRule="exact"/>
              <w:jc w:val="center"/>
              <w:textAlignment w:val="center"/>
              <w:rPr>
                <w:rFonts w:hint="eastAsia" w:eastAsia="方正黑体_GBK" w:cs="方正黑体_GBK"/>
                <w:b w:val="0"/>
                <w:bCs/>
                <w:color w:val="000000"/>
                <w:sz w:val="22"/>
                <w:lang w:eastAsia="zh-CN"/>
              </w:rPr>
            </w:pPr>
            <w:r>
              <w:rPr>
                <w:rFonts w:hint="eastAsia" w:eastAsia="方正黑体_GBK" w:cs="方正黑体_GBK"/>
                <w:b w:val="0"/>
                <w:bCs/>
                <w:color w:val="000000"/>
                <w:kern w:val="0"/>
                <w:sz w:val="22"/>
                <w:lang w:eastAsia="zh-CN" w:bidi="ar"/>
              </w:rPr>
              <w:t>指标得分</w:t>
            </w:r>
          </w:p>
        </w:tc>
        <w:tc>
          <w:tcPr>
            <w:tcW w:w="688" w:type="dxa"/>
            <w:tcBorders>
              <w:top w:val="single" w:color="auto" w:sz="4" w:space="0"/>
            </w:tcBorders>
            <w:noWrap w:val="0"/>
            <w:vAlign w:val="center"/>
          </w:tcPr>
          <w:p w14:paraId="32D6FC13">
            <w:pPr>
              <w:keepNext w:val="0"/>
              <w:keepLines w:val="0"/>
              <w:pageBreakBefore w:val="0"/>
              <w:widowControl/>
              <w:kinsoku/>
              <w:overflowPunct/>
              <w:topLinePunct w:val="0"/>
              <w:autoSpaceDN/>
              <w:bidi w:val="0"/>
              <w:snapToGrid w:val="0"/>
              <w:spacing w:beforeAutospacing="0" w:afterAutospacing="0" w:line="600" w:lineRule="exact"/>
              <w:jc w:val="center"/>
              <w:textAlignment w:val="center"/>
              <w:rPr>
                <w:rFonts w:hint="eastAsia" w:eastAsia="方正黑体_GBK" w:cs="方正黑体_GBK"/>
                <w:b w:val="0"/>
                <w:bCs/>
                <w:color w:val="000000"/>
                <w:sz w:val="22"/>
                <w:lang w:eastAsia="zh-CN"/>
              </w:rPr>
            </w:pPr>
            <w:r>
              <w:rPr>
                <w:rFonts w:hint="eastAsia" w:eastAsia="方正黑体_GBK" w:cs="方正黑体_GBK"/>
                <w:b w:val="0"/>
                <w:bCs/>
                <w:color w:val="000000"/>
                <w:kern w:val="0"/>
                <w:sz w:val="22"/>
                <w:lang w:eastAsia="zh-CN" w:bidi="ar"/>
              </w:rPr>
              <w:t>说明</w:t>
            </w:r>
          </w:p>
        </w:tc>
        <w:tc>
          <w:tcPr>
            <w:tcW w:w="575" w:type="dxa"/>
            <w:tcBorders>
              <w:top w:val="single" w:color="auto" w:sz="4" w:space="0"/>
            </w:tcBorders>
            <w:noWrap w:val="0"/>
            <w:vAlign w:val="center"/>
          </w:tcPr>
          <w:p w14:paraId="6385A417">
            <w:pPr>
              <w:keepNext w:val="0"/>
              <w:keepLines w:val="0"/>
              <w:pageBreakBefore w:val="0"/>
              <w:widowControl/>
              <w:kinsoku/>
              <w:overflowPunct/>
              <w:topLinePunct w:val="0"/>
              <w:autoSpaceDN/>
              <w:bidi w:val="0"/>
              <w:snapToGrid w:val="0"/>
              <w:spacing w:beforeAutospacing="0" w:afterAutospacing="0" w:line="600" w:lineRule="exact"/>
              <w:jc w:val="center"/>
              <w:textAlignment w:val="center"/>
              <w:rPr>
                <w:rFonts w:hint="eastAsia" w:eastAsia="方正黑体_GBK" w:cs="方正黑体_GBK"/>
                <w:b w:val="0"/>
                <w:bCs/>
                <w:color w:val="000000"/>
                <w:sz w:val="22"/>
                <w:lang w:eastAsia="zh-CN"/>
              </w:rPr>
            </w:pPr>
            <w:r>
              <w:rPr>
                <w:rFonts w:hint="eastAsia" w:eastAsia="方正黑体_GBK" w:cs="方正黑体_GBK"/>
                <w:b w:val="0"/>
                <w:bCs/>
                <w:color w:val="000000"/>
                <w:kern w:val="0"/>
                <w:sz w:val="22"/>
                <w:lang w:eastAsia="zh-CN" w:bidi="ar"/>
              </w:rPr>
              <w:t>自评得分</w:t>
            </w:r>
          </w:p>
        </w:tc>
      </w:tr>
      <w:tr w14:paraId="429D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626" w:type="dxa"/>
            <w:vMerge w:val="restart"/>
            <w:noWrap/>
            <w:vAlign w:val="center"/>
          </w:tcPr>
          <w:p w14:paraId="4FCFD8F0">
            <w:pPr>
              <w:keepNext w:val="0"/>
              <w:keepLines w:val="0"/>
              <w:pageBreakBefore w:val="0"/>
              <w:kinsoku/>
              <w:overflowPunct/>
              <w:topLinePunct w:val="0"/>
              <w:autoSpaceDN/>
              <w:bidi w:val="0"/>
              <w:snapToGrid w:val="0"/>
              <w:spacing w:beforeAutospacing="0" w:afterAutospacing="0" w:line="600" w:lineRule="exact"/>
              <w:jc w:val="center"/>
              <w:textAlignment w:val="center"/>
              <w:rPr>
                <w:color w:val="000000"/>
                <w:sz w:val="22"/>
              </w:rPr>
            </w:pPr>
            <w:r>
              <w:rPr>
                <w:color w:val="000000"/>
                <w:kern w:val="0"/>
                <w:sz w:val="22"/>
                <w:lang w:bidi="ar"/>
              </w:rPr>
              <w:t>1</w:t>
            </w:r>
          </w:p>
        </w:tc>
        <w:tc>
          <w:tcPr>
            <w:tcW w:w="1363" w:type="dxa"/>
            <w:vMerge w:val="restart"/>
            <w:noWrap/>
            <w:vAlign w:val="center"/>
          </w:tcPr>
          <w:p w14:paraId="14D6348D">
            <w:pPr>
              <w:keepNext w:val="0"/>
              <w:keepLines w:val="0"/>
              <w:pageBreakBefore w:val="0"/>
              <w:kinsoku/>
              <w:overflowPunct/>
              <w:topLinePunct w:val="0"/>
              <w:autoSpaceDN/>
              <w:bidi w:val="0"/>
              <w:snapToGrid w:val="0"/>
              <w:spacing w:beforeAutospacing="0" w:afterAutospacing="0" w:line="600" w:lineRule="exact"/>
              <w:jc w:val="center"/>
              <w:rPr>
                <w:rFonts w:cs="宋体"/>
                <w:color w:val="000000"/>
                <w:sz w:val="22"/>
              </w:rPr>
            </w:pPr>
            <w:r>
              <w:rPr>
                <w:rFonts w:hint="eastAsia" w:cs="宋体"/>
                <w:color w:val="000000"/>
                <w:sz w:val="22"/>
                <w:lang w:val="en-US" w:eastAsia="zh-CN"/>
              </w:rPr>
              <w:t>2024年</w:t>
            </w:r>
            <w:r>
              <w:rPr>
                <w:rFonts w:hint="eastAsia" w:cs="宋体"/>
                <w:color w:val="000000"/>
                <w:sz w:val="22"/>
              </w:rPr>
              <w:t>聘用人员专项经费一事一议</w:t>
            </w:r>
          </w:p>
        </w:tc>
        <w:tc>
          <w:tcPr>
            <w:tcW w:w="1825" w:type="dxa"/>
            <w:noWrap/>
            <w:vAlign w:val="center"/>
          </w:tcPr>
          <w:p w14:paraId="1A920F3A">
            <w:pPr>
              <w:keepNext w:val="0"/>
              <w:keepLines w:val="0"/>
              <w:pageBreakBefore w:val="0"/>
              <w:widowControl/>
              <w:suppressLineNumbers w:val="0"/>
              <w:kinsoku/>
              <w:overflowPunct/>
              <w:topLinePunct w:val="0"/>
              <w:autoSpaceDN/>
              <w:bidi w:val="0"/>
              <w:snapToGrid w:val="0"/>
              <w:spacing w:beforeAutospacing="0" w:afterAutospacing="0" w:line="600" w:lineRule="exact"/>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临聘教师人数</w:t>
            </w:r>
          </w:p>
        </w:tc>
        <w:tc>
          <w:tcPr>
            <w:tcW w:w="737" w:type="dxa"/>
            <w:noWrap/>
            <w:vAlign w:val="center"/>
          </w:tcPr>
          <w:p w14:paraId="5CF4A446">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w:t>
            </w:r>
          </w:p>
        </w:tc>
        <w:tc>
          <w:tcPr>
            <w:tcW w:w="913" w:type="dxa"/>
            <w:noWrap/>
            <w:vAlign w:val="center"/>
          </w:tcPr>
          <w:p w14:paraId="02E1F61B">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145</w:t>
            </w:r>
          </w:p>
        </w:tc>
        <w:tc>
          <w:tcPr>
            <w:tcW w:w="737" w:type="dxa"/>
            <w:noWrap/>
            <w:vAlign w:val="center"/>
          </w:tcPr>
          <w:p w14:paraId="658DCA7C">
            <w:pPr>
              <w:keepNext w:val="0"/>
              <w:keepLines w:val="0"/>
              <w:pageBreakBefore w:val="0"/>
              <w:widowControl/>
              <w:suppressLineNumbers w:val="0"/>
              <w:kinsoku/>
              <w:overflowPunct/>
              <w:topLinePunct w:val="0"/>
              <w:autoSpaceDN/>
              <w:bidi w:val="0"/>
              <w:snapToGrid w:val="0"/>
              <w:spacing w:beforeAutospacing="0" w:afterAutospacing="0" w:line="600" w:lineRule="exact"/>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145</w:t>
            </w:r>
          </w:p>
        </w:tc>
        <w:tc>
          <w:tcPr>
            <w:tcW w:w="675" w:type="dxa"/>
            <w:noWrap/>
            <w:vAlign w:val="center"/>
          </w:tcPr>
          <w:p w14:paraId="6EDC1357">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20</w:t>
            </w:r>
          </w:p>
        </w:tc>
        <w:tc>
          <w:tcPr>
            <w:tcW w:w="898" w:type="dxa"/>
            <w:noWrap/>
            <w:vAlign w:val="center"/>
          </w:tcPr>
          <w:p w14:paraId="2B786EEF">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145</w:t>
            </w:r>
          </w:p>
        </w:tc>
        <w:tc>
          <w:tcPr>
            <w:tcW w:w="628" w:type="dxa"/>
            <w:noWrap/>
            <w:vAlign w:val="center"/>
          </w:tcPr>
          <w:p w14:paraId="0AACD3E3">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20</w:t>
            </w:r>
          </w:p>
        </w:tc>
        <w:tc>
          <w:tcPr>
            <w:tcW w:w="688" w:type="dxa"/>
            <w:noWrap/>
            <w:vAlign w:val="center"/>
          </w:tcPr>
          <w:p w14:paraId="0FAD2A22">
            <w:pPr>
              <w:keepNext w:val="0"/>
              <w:keepLines w:val="0"/>
              <w:pageBreakBefore w:val="0"/>
              <w:kinsoku/>
              <w:overflowPunct/>
              <w:topLinePunct w:val="0"/>
              <w:autoSpaceDN/>
              <w:bidi w:val="0"/>
              <w:snapToGrid w:val="0"/>
              <w:spacing w:beforeAutospacing="0" w:afterAutospacing="0" w:line="600" w:lineRule="exact"/>
              <w:jc w:val="center"/>
              <w:rPr>
                <w:rFonts w:cs="宋体"/>
                <w:color w:val="000000"/>
                <w:sz w:val="22"/>
              </w:rPr>
            </w:pPr>
          </w:p>
        </w:tc>
        <w:tc>
          <w:tcPr>
            <w:tcW w:w="575" w:type="dxa"/>
            <w:vMerge w:val="restart"/>
            <w:noWrap/>
            <w:vAlign w:val="center"/>
          </w:tcPr>
          <w:p w14:paraId="1EF2CBC0">
            <w:pPr>
              <w:keepNext w:val="0"/>
              <w:keepLines w:val="0"/>
              <w:pageBreakBefore w:val="0"/>
              <w:kinsoku/>
              <w:overflowPunct/>
              <w:topLinePunct w:val="0"/>
              <w:autoSpaceDN/>
              <w:bidi w:val="0"/>
              <w:snapToGrid w:val="0"/>
              <w:spacing w:beforeAutospacing="0" w:afterAutospacing="0" w:line="600" w:lineRule="exact"/>
              <w:jc w:val="center"/>
              <w:rPr>
                <w:rFonts w:hint="default" w:eastAsia="宋体" w:cs="宋体"/>
                <w:color w:val="000000"/>
                <w:sz w:val="22"/>
                <w:lang w:val="en-US" w:eastAsia="zh-CN"/>
              </w:rPr>
            </w:pPr>
            <w:r>
              <w:rPr>
                <w:rFonts w:hint="eastAsia" w:cs="宋体"/>
                <w:color w:val="000000"/>
                <w:sz w:val="22"/>
                <w:lang w:val="en-US" w:eastAsia="zh-CN"/>
              </w:rPr>
              <w:t>100</w:t>
            </w:r>
          </w:p>
        </w:tc>
      </w:tr>
      <w:tr w14:paraId="7F657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626" w:type="dxa"/>
            <w:vMerge w:val="continue"/>
            <w:noWrap/>
            <w:vAlign w:val="center"/>
          </w:tcPr>
          <w:p w14:paraId="3B4B94F2">
            <w:pPr>
              <w:keepNext w:val="0"/>
              <w:keepLines w:val="0"/>
              <w:pageBreakBefore w:val="0"/>
              <w:kinsoku/>
              <w:overflowPunct/>
              <w:topLinePunct w:val="0"/>
              <w:autoSpaceDN/>
              <w:bidi w:val="0"/>
              <w:snapToGrid w:val="0"/>
              <w:spacing w:beforeAutospacing="0" w:afterAutospacing="0" w:line="600" w:lineRule="exact"/>
              <w:jc w:val="center"/>
              <w:textAlignment w:val="center"/>
              <w:rPr>
                <w:color w:val="000000"/>
                <w:sz w:val="22"/>
              </w:rPr>
            </w:pPr>
          </w:p>
        </w:tc>
        <w:tc>
          <w:tcPr>
            <w:tcW w:w="1363" w:type="dxa"/>
            <w:vMerge w:val="continue"/>
            <w:noWrap/>
            <w:vAlign w:val="center"/>
          </w:tcPr>
          <w:p w14:paraId="20F4585F">
            <w:pPr>
              <w:keepNext w:val="0"/>
              <w:keepLines w:val="0"/>
              <w:pageBreakBefore w:val="0"/>
              <w:kinsoku/>
              <w:overflowPunct/>
              <w:topLinePunct w:val="0"/>
              <w:autoSpaceDN/>
              <w:bidi w:val="0"/>
              <w:snapToGrid w:val="0"/>
              <w:spacing w:beforeAutospacing="0" w:afterAutospacing="0" w:line="600" w:lineRule="exact"/>
              <w:jc w:val="center"/>
              <w:rPr>
                <w:rFonts w:cs="宋体"/>
                <w:color w:val="000000"/>
                <w:sz w:val="22"/>
              </w:rPr>
            </w:pPr>
          </w:p>
        </w:tc>
        <w:tc>
          <w:tcPr>
            <w:tcW w:w="1825" w:type="dxa"/>
            <w:noWrap/>
            <w:vAlign w:val="center"/>
          </w:tcPr>
          <w:p w14:paraId="3744B438">
            <w:pPr>
              <w:keepNext w:val="0"/>
              <w:keepLines w:val="0"/>
              <w:pageBreakBefore w:val="0"/>
              <w:widowControl/>
              <w:suppressLineNumbers w:val="0"/>
              <w:kinsoku/>
              <w:overflowPunct/>
              <w:topLinePunct w:val="0"/>
              <w:autoSpaceDN/>
              <w:bidi w:val="0"/>
              <w:snapToGrid w:val="0"/>
              <w:spacing w:beforeAutospacing="0" w:afterAutospacing="0" w:line="600" w:lineRule="exact"/>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拨付时间</w:t>
            </w:r>
          </w:p>
        </w:tc>
        <w:tc>
          <w:tcPr>
            <w:tcW w:w="737" w:type="dxa"/>
            <w:noWrap/>
            <w:vAlign w:val="center"/>
          </w:tcPr>
          <w:p w14:paraId="2595BE7D">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w:t>
            </w:r>
          </w:p>
        </w:tc>
        <w:tc>
          <w:tcPr>
            <w:tcW w:w="913" w:type="dxa"/>
            <w:noWrap/>
            <w:vAlign w:val="center"/>
          </w:tcPr>
          <w:p w14:paraId="5F650EBF">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1</w:t>
            </w:r>
          </w:p>
        </w:tc>
        <w:tc>
          <w:tcPr>
            <w:tcW w:w="737" w:type="dxa"/>
            <w:noWrap/>
            <w:vAlign w:val="center"/>
          </w:tcPr>
          <w:p w14:paraId="63869A0D">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1</w:t>
            </w:r>
          </w:p>
        </w:tc>
        <w:tc>
          <w:tcPr>
            <w:tcW w:w="675" w:type="dxa"/>
            <w:noWrap/>
            <w:vAlign w:val="center"/>
          </w:tcPr>
          <w:p w14:paraId="0A11D13C">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20</w:t>
            </w:r>
          </w:p>
        </w:tc>
        <w:tc>
          <w:tcPr>
            <w:tcW w:w="898" w:type="dxa"/>
            <w:noWrap/>
            <w:vAlign w:val="center"/>
          </w:tcPr>
          <w:p w14:paraId="5B17914D">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1</w:t>
            </w:r>
          </w:p>
        </w:tc>
        <w:tc>
          <w:tcPr>
            <w:tcW w:w="628" w:type="dxa"/>
            <w:noWrap/>
            <w:vAlign w:val="center"/>
          </w:tcPr>
          <w:p w14:paraId="024285B9">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20</w:t>
            </w:r>
          </w:p>
        </w:tc>
        <w:tc>
          <w:tcPr>
            <w:tcW w:w="688" w:type="dxa"/>
            <w:noWrap/>
            <w:vAlign w:val="center"/>
          </w:tcPr>
          <w:p w14:paraId="2C8D2F0B">
            <w:pPr>
              <w:keepNext w:val="0"/>
              <w:keepLines w:val="0"/>
              <w:pageBreakBefore w:val="0"/>
              <w:kinsoku/>
              <w:overflowPunct/>
              <w:topLinePunct w:val="0"/>
              <w:autoSpaceDN/>
              <w:bidi w:val="0"/>
              <w:snapToGrid w:val="0"/>
              <w:spacing w:beforeAutospacing="0" w:afterAutospacing="0" w:line="600" w:lineRule="exact"/>
              <w:jc w:val="center"/>
              <w:rPr>
                <w:rFonts w:cs="宋体"/>
                <w:color w:val="000000"/>
                <w:sz w:val="22"/>
              </w:rPr>
            </w:pPr>
          </w:p>
        </w:tc>
        <w:tc>
          <w:tcPr>
            <w:tcW w:w="575" w:type="dxa"/>
            <w:vMerge w:val="continue"/>
            <w:noWrap/>
            <w:vAlign w:val="center"/>
          </w:tcPr>
          <w:p w14:paraId="4ED94553">
            <w:pPr>
              <w:keepNext w:val="0"/>
              <w:keepLines w:val="0"/>
              <w:pageBreakBefore w:val="0"/>
              <w:kinsoku/>
              <w:overflowPunct/>
              <w:topLinePunct w:val="0"/>
              <w:autoSpaceDN/>
              <w:bidi w:val="0"/>
              <w:snapToGrid w:val="0"/>
              <w:spacing w:beforeAutospacing="0" w:afterAutospacing="0" w:line="600" w:lineRule="exact"/>
              <w:jc w:val="both"/>
              <w:rPr>
                <w:rFonts w:cs="宋体"/>
                <w:color w:val="000000"/>
                <w:sz w:val="22"/>
              </w:rPr>
            </w:pPr>
          </w:p>
        </w:tc>
      </w:tr>
      <w:tr w14:paraId="50690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626" w:type="dxa"/>
            <w:vMerge w:val="continue"/>
            <w:noWrap/>
            <w:vAlign w:val="center"/>
          </w:tcPr>
          <w:p w14:paraId="4D105067">
            <w:pPr>
              <w:keepNext w:val="0"/>
              <w:keepLines w:val="0"/>
              <w:pageBreakBefore w:val="0"/>
              <w:kinsoku/>
              <w:overflowPunct/>
              <w:topLinePunct w:val="0"/>
              <w:autoSpaceDN/>
              <w:bidi w:val="0"/>
              <w:snapToGrid w:val="0"/>
              <w:spacing w:beforeAutospacing="0" w:afterAutospacing="0" w:line="600" w:lineRule="exact"/>
              <w:jc w:val="center"/>
              <w:textAlignment w:val="center"/>
              <w:rPr>
                <w:color w:val="000000"/>
                <w:sz w:val="22"/>
              </w:rPr>
            </w:pPr>
          </w:p>
        </w:tc>
        <w:tc>
          <w:tcPr>
            <w:tcW w:w="1363" w:type="dxa"/>
            <w:vMerge w:val="continue"/>
            <w:noWrap/>
            <w:vAlign w:val="center"/>
          </w:tcPr>
          <w:p w14:paraId="4CE406EB">
            <w:pPr>
              <w:keepNext w:val="0"/>
              <w:keepLines w:val="0"/>
              <w:pageBreakBefore w:val="0"/>
              <w:kinsoku/>
              <w:overflowPunct/>
              <w:topLinePunct w:val="0"/>
              <w:autoSpaceDN/>
              <w:bidi w:val="0"/>
              <w:snapToGrid w:val="0"/>
              <w:spacing w:beforeAutospacing="0" w:afterAutospacing="0" w:line="600" w:lineRule="exact"/>
              <w:jc w:val="center"/>
              <w:rPr>
                <w:rFonts w:cs="宋体"/>
                <w:color w:val="000000"/>
                <w:sz w:val="22"/>
              </w:rPr>
            </w:pPr>
          </w:p>
        </w:tc>
        <w:tc>
          <w:tcPr>
            <w:tcW w:w="1825" w:type="dxa"/>
            <w:noWrap/>
            <w:vAlign w:val="center"/>
          </w:tcPr>
          <w:p w14:paraId="0066131F">
            <w:pPr>
              <w:keepNext w:val="0"/>
              <w:keepLines w:val="0"/>
              <w:pageBreakBefore w:val="0"/>
              <w:widowControl/>
              <w:suppressLineNumbers w:val="0"/>
              <w:kinsoku/>
              <w:overflowPunct/>
              <w:topLinePunct w:val="0"/>
              <w:autoSpaceDN/>
              <w:bidi w:val="0"/>
              <w:snapToGrid w:val="0"/>
              <w:spacing w:beforeAutospacing="0" w:afterAutospacing="0" w:line="600" w:lineRule="exact"/>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补助标准</w:t>
            </w:r>
          </w:p>
        </w:tc>
        <w:tc>
          <w:tcPr>
            <w:tcW w:w="737" w:type="dxa"/>
            <w:noWrap/>
            <w:vAlign w:val="center"/>
          </w:tcPr>
          <w:p w14:paraId="780B590C">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w:t>
            </w:r>
          </w:p>
        </w:tc>
        <w:tc>
          <w:tcPr>
            <w:tcW w:w="913" w:type="dxa"/>
            <w:noWrap/>
            <w:vAlign w:val="center"/>
          </w:tcPr>
          <w:p w14:paraId="2F15A235">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5000</w:t>
            </w:r>
          </w:p>
        </w:tc>
        <w:tc>
          <w:tcPr>
            <w:tcW w:w="737" w:type="dxa"/>
            <w:noWrap/>
            <w:vAlign w:val="center"/>
          </w:tcPr>
          <w:p w14:paraId="467D6E0C">
            <w:pPr>
              <w:keepNext w:val="0"/>
              <w:keepLines w:val="0"/>
              <w:pageBreakBefore w:val="0"/>
              <w:widowControl/>
              <w:suppressLineNumbers w:val="0"/>
              <w:kinsoku/>
              <w:overflowPunct/>
              <w:topLinePunct w:val="0"/>
              <w:autoSpaceDN/>
              <w:bidi w:val="0"/>
              <w:snapToGrid w:val="0"/>
              <w:spacing w:beforeAutospacing="0" w:afterAutospacing="0" w:line="600" w:lineRule="exact"/>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5000</w:t>
            </w:r>
          </w:p>
        </w:tc>
        <w:tc>
          <w:tcPr>
            <w:tcW w:w="675" w:type="dxa"/>
            <w:noWrap/>
            <w:vAlign w:val="center"/>
          </w:tcPr>
          <w:p w14:paraId="1409681C">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10</w:t>
            </w:r>
          </w:p>
        </w:tc>
        <w:tc>
          <w:tcPr>
            <w:tcW w:w="898" w:type="dxa"/>
            <w:noWrap/>
            <w:vAlign w:val="center"/>
          </w:tcPr>
          <w:p w14:paraId="2FB68FE9">
            <w:pPr>
              <w:keepNext w:val="0"/>
              <w:keepLines w:val="0"/>
              <w:pageBreakBefore w:val="0"/>
              <w:widowControl/>
              <w:suppressLineNumbers w:val="0"/>
              <w:kinsoku/>
              <w:overflowPunct/>
              <w:topLinePunct w:val="0"/>
              <w:autoSpaceDN/>
              <w:bidi w:val="0"/>
              <w:snapToGrid w:val="0"/>
              <w:spacing w:beforeAutospacing="0" w:afterAutospacing="0" w:line="600" w:lineRule="exact"/>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5000</w:t>
            </w:r>
          </w:p>
        </w:tc>
        <w:tc>
          <w:tcPr>
            <w:tcW w:w="628" w:type="dxa"/>
            <w:noWrap/>
            <w:vAlign w:val="center"/>
          </w:tcPr>
          <w:p w14:paraId="26FD611B">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10</w:t>
            </w:r>
          </w:p>
        </w:tc>
        <w:tc>
          <w:tcPr>
            <w:tcW w:w="688" w:type="dxa"/>
            <w:noWrap/>
            <w:vAlign w:val="center"/>
          </w:tcPr>
          <w:p w14:paraId="261DCE3F">
            <w:pPr>
              <w:keepNext w:val="0"/>
              <w:keepLines w:val="0"/>
              <w:pageBreakBefore w:val="0"/>
              <w:kinsoku/>
              <w:overflowPunct/>
              <w:topLinePunct w:val="0"/>
              <w:autoSpaceDN/>
              <w:bidi w:val="0"/>
              <w:snapToGrid w:val="0"/>
              <w:spacing w:beforeAutospacing="0" w:afterAutospacing="0" w:line="600" w:lineRule="exact"/>
              <w:jc w:val="center"/>
              <w:rPr>
                <w:rFonts w:cs="宋体"/>
                <w:color w:val="000000"/>
                <w:sz w:val="22"/>
              </w:rPr>
            </w:pPr>
          </w:p>
        </w:tc>
        <w:tc>
          <w:tcPr>
            <w:tcW w:w="575" w:type="dxa"/>
            <w:vMerge w:val="continue"/>
            <w:noWrap/>
            <w:vAlign w:val="center"/>
          </w:tcPr>
          <w:p w14:paraId="78327429">
            <w:pPr>
              <w:keepNext w:val="0"/>
              <w:keepLines w:val="0"/>
              <w:pageBreakBefore w:val="0"/>
              <w:kinsoku/>
              <w:overflowPunct/>
              <w:topLinePunct w:val="0"/>
              <w:autoSpaceDN/>
              <w:bidi w:val="0"/>
              <w:snapToGrid w:val="0"/>
              <w:spacing w:beforeAutospacing="0" w:afterAutospacing="0" w:line="600" w:lineRule="exact"/>
              <w:jc w:val="both"/>
              <w:rPr>
                <w:rFonts w:cs="宋体"/>
                <w:color w:val="000000"/>
                <w:sz w:val="22"/>
              </w:rPr>
            </w:pPr>
          </w:p>
        </w:tc>
      </w:tr>
      <w:tr w14:paraId="270A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626" w:type="dxa"/>
            <w:vMerge w:val="continue"/>
            <w:noWrap/>
            <w:vAlign w:val="center"/>
          </w:tcPr>
          <w:p w14:paraId="18739CB2">
            <w:pPr>
              <w:keepNext w:val="0"/>
              <w:keepLines w:val="0"/>
              <w:pageBreakBefore w:val="0"/>
              <w:kinsoku/>
              <w:overflowPunct/>
              <w:topLinePunct w:val="0"/>
              <w:autoSpaceDN/>
              <w:bidi w:val="0"/>
              <w:snapToGrid w:val="0"/>
              <w:spacing w:beforeAutospacing="0" w:afterAutospacing="0" w:line="600" w:lineRule="exact"/>
              <w:jc w:val="center"/>
              <w:textAlignment w:val="center"/>
              <w:rPr>
                <w:color w:val="000000"/>
                <w:sz w:val="22"/>
              </w:rPr>
            </w:pPr>
          </w:p>
        </w:tc>
        <w:tc>
          <w:tcPr>
            <w:tcW w:w="1363" w:type="dxa"/>
            <w:vMerge w:val="continue"/>
            <w:noWrap/>
            <w:vAlign w:val="center"/>
          </w:tcPr>
          <w:p w14:paraId="02F4A774">
            <w:pPr>
              <w:keepNext w:val="0"/>
              <w:keepLines w:val="0"/>
              <w:pageBreakBefore w:val="0"/>
              <w:kinsoku/>
              <w:overflowPunct/>
              <w:topLinePunct w:val="0"/>
              <w:autoSpaceDN/>
              <w:bidi w:val="0"/>
              <w:snapToGrid w:val="0"/>
              <w:spacing w:beforeAutospacing="0" w:afterAutospacing="0" w:line="600" w:lineRule="exact"/>
              <w:jc w:val="center"/>
              <w:rPr>
                <w:rFonts w:cs="宋体"/>
                <w:color w:val="000000"/>
                <w:sz w:val="22"/>
              </w:rPr>
            </w:pPr>
          </w:p>
        </w:tc>
        <w:tc>
          <w:tcPr>
            <w:tcW w:w="1825" w:type="dxa"/>
            <w:noWrap/>
            <w:vAlign w:val="center"/>
          </w:tcPr>
          <w:p w14:paraId="143844FA">
            <w:pPr>
              <w:keepNext w:val="0"/>
              <w:keepLines w:val="0"/>
              <w:pageBreakBefore w:val="0"/>
              <w:widowControl/>
              <w:suppressLineNumbers w:val="0"/>
              <w:kinsoku/>
              <w:overflowPunct/>
              <w:topLinePunct w:val="0"/>
              <w:autoSpaceDN/>
              <w:bidi w:val="0"/>
              <w:snapToGrid w:val="0"/>
              <w:spacing w:beforeAutospacing="0" w:afterAutospacing="0" w:line="600" w:lineRule="exact"/>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增加就业岗位</w:t>
            </w:r>
          </w:p>
        </w:tc>
        <w:tc>
          <w:tcPr>
            <w:tcW w:w="737" w:type="dxa"/>
            <w:noWrap/>
            <w:vAlign w:val="center"/>
          </w:tcPr>
          <w:p w14:paraId="32940072">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w:t>
            </w:r>
          </w:p>
        </w:tc>
        <w:tc>
          <w:tcPr>
            <w:tcW w:w="913" w:type="dxa"/>
            <w:noWrap/>
            <w:vAlign w:val="center"/>
          </w:tcPr>
          <w:p w14:paraId="4EB4DA1A">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145</w:t>
            </w:r>
          </w:p>
        </w:tc>
        <w:tc>
          <w:tcPr>
            <w:tcW w:w="737" w:type="dxa"/>
            <w:noWrap/>
            <w:vAlign w:val="center"/>
          </w:tcPr>
          <w:p w14:paraId="0B06B503">
            <w:pPr>
              <w:keepNext w:val="0"/>
              <w:keepLines w:val="0"/>
              <w:pageBreakBefore w:val="0"/>
              <w:widowControl/>
              <w:suppressLineNumbers w:val="0"/>
              <w:kinsoku/>
              <w:overflowPunct/>
              <w:topLinePunct w:val="0"/>
              <w:autoSpaceDN/>
              <w:bidi w:val="0"/>
              <w:snapToGrid w:val="0"/>
              <w:spacing w:beforeAutospacing="0" w:afterAutospacing="0" w:line="600" w:lineRule="exact"/>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145</w:t>
            </w:r>
          </w:p>
        </w:tc>
        <w:tc>
          <w:tcPr>
            <w:tcW w:w="675" w:type="dxa"/>
            <w:noWrap/>
            <w:vAlign w:val="center"/>
          </w:tcPr>
          <w:p w14:paraId="5E57CBF0">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15</w:t>
            </w:r>
          </w:p>
        </w:tc>
        <w:tc>
          <w:tcPr>
            <w:tcW w:w="898" w:type="dxa"/>
            <w:noWrap/>
            <w:vAlign w:val="center"/>
          </w:tcPr>
          <w:p w14:paraId="50E8BBC8">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145</w:t>
            </w:r>
          </w:p>
        </w:tc>
        <w:tc>
          <w:tcPr>
            <w:tcW w:w="628" w:type="dxa"/>
            <w:noWrap/>
            <w:vAlign w:val="center"/>
          </w:tcPr>
          <w:p w14:paraId="10606FD7">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15</w:t>
            </w:r>
          </w:p>
        </w:tc>
        <w:tc>
          <w:tcPr>
            <w:tcW w:w="688" w:type="dxa"/>
            <w:noWrap/>
            <w:vAlign w:val="center"/>
          </w:tcPr>
          <w:p w14:paraId="1F884073">
            <w:pPr>
              <w:keepNext w:val="0"/>
              <w:keepLines w:val="0"/>
              <w:pageBreakBefore w:val="0"/>
              <w:kinsoku/>
              <w:overflowPunct/>
              <w:topLinePunct w:val="0"/>
              <w:autoSpaceDN/>
              <w:bidi w:val="0"/>
              <w:snapToGrid w:val="0"/>
              <w:spacing w:beforeAutospacing="0" w:afterAutospacing="0" w:line="600" w:lineRule="exact"/>
              <w:jc w:val="center"/>
              <w:rPr>
                <w:rFonts w:cs="宋体"/>
                <w:color w:val="000000"/>
                <w:sz w:val="22"/>
              </w:rPr>
            </w:pPr>
          </w:p>
        </w:tc>
        <w:tc>
          <w:tcPr>
            <w:tcW w:w="575" w:type="dxa"/>
            <w:vMerge w:val="continue"/>
            <w:noWrap/>
            <w:vAlign w:val="center"/>
          </w:tcPr>
          <w:p w14:paraId="7418A949">
            <w:pPr>
              <w:keepNext w:val="0"/>
              <w:keepLines w:val="0"/>
              <w:pageBreakBefore w:val="0"/>
              <w:kinsoku/>
              <w:overflowPunct/>
              <w:topLinePunct w:val="0"/>
              <w:autoSpaceDN/>
              <w:bidi w:val="0"/>
              <w:snapToGrid w:val="0"/>
              <w:spacing w:beforeAutospacing="0" w:afterAutospacing="0" w:line="600" w:lineRule="exact"/>
              <w:jc w:val="both"/>
              <w:rPr>
                <w:rFonts w:cs="宋体"/>
                <w:color w:val="000000"/>
                <w:sz w:val="22"/>
              </w:rPr>
            </w:pPr>
          </w:p>
        </w:tc>
      </w:tr>
      <w:tr w14:paraId="5341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626" w:type="dxa"/>
            <w:vMerge w:val="continue"/>
            <w:noWrap/>
            <w:vAlign w:val="center"/>
          </w:tcPr>
          <w:p w14:paraId="6E241186">
            <w:pPr>
              <w:keepNext w:val="0"/>
              <w:keepLines w:val="0"/>
              <w:pageBreakBefore w:val="0"/>
              <w:kinsoku/>
              <w:overflowPunct/>
              <w:topLinePunct w:val="0"/>
              <w:autoSpaceDN/>
              <w:bidi w:val="0"/>
              <w:snapToGrid w:val="0"/>
              <w:spacing w:beforeAutospacing="0" w:afterAutospacing="0" w:line="600" w:lineRule="exact"/>
              <w:jc w:val="center"/>
              <w:textAlignment w:val="center"/>
              <w:rPr>
                <w:color w:val="000000"/>
                <w:sz w:val="22"/>
              </w:rPr>
            </w:pPr>
          </w:p>
        </w:tc>
        <w:tc>
          <w:tcPr>
            <w:tcW w:w="1363" w:type="dxa"/>
            <w:vMerge w:val="continue"/>
            <w:noWrap/>
            <w:vAlign w:val="center"/>
          </w:tcPr>
          <w:p w14:paraId="608FE550">
            <w:pPr>
              <w:keepNext w:val="0"/>
              <w:keepLines w:val="0"/>
              <w:pageBreakBefore w:val="0"/>
              <w:kinsoku/>
              <w:overflowPunct/>
              <w:topLinePunct w:val="0"/>
              <w:autoSpaceDN/>
              <w:bidi w:val="0"/>
              <w:snapToGrid w:val="0"/>
              <w:spacing w:beforeAutospacing="0" w:afterAutospacing="0" w:line="600" w:lineRule="exact"/>
              <w:jc w:val="center"/>
              <w:rPr>
                <w:rFonts w:cs="宋体"/>
                <w:color w:val="000000"/>
                <w:sz w:val="22"/>
              </w:rPr>
            </w:pPr>
          </w:p>
        </w:tc>
        <w:tc>
          <w:tcPr>
            <w:tcW w:w="1825" w:type="dxa"/>
            <w:noWrap/>
            <w:vAlign w:val="center"/>
          </w:tcPr>
          <w:p w14:paraId="5E34D220">
            <w:pPr>
              <w:keepNext w:val="0"/>
              <w:keepLines w:val="0"/>
              <w:pageBreakBefore w:val="0"/>
              <w:widowControl/>
              <w:suppressLineNumbers w:val="0"/>
              <w:kinsoku/>
              <w:overflowPunct/>
              <w:topLinePunct w:val="0"/>
              <w:autoSpaceDN/>
              <w:bidi w:val="0"/>
              <w:snapToGrid w:val="0"/>
              <w:spacing w:beforeAutospacing="0" w:afterAutospacing="0" w:line="600" w:lineRule="exact"/>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补助周期</w:t>
            </w:r>
          </w:p>
        </w:tc>
        <w:tc>
          <w:tcPr>
            <w:tcW w:w="737" w:type="dxa"/>
            <w:noWrap/>
            <w:vAlign w:val="center"/>
          </w:tcPr>
          <w:p w14:paraId="67F5EF84">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w:t>
            </w:r>
          </w:p>
        </w:tc>
        <w:tc>
          <w:tcPr>
            <w:tcW w:w="913" w:type="dxa"/>
            <w:noWrap/>
            <w:vAlign w:val="center"/>
          </w:tcPr>
          <w:p w14:paraId="1D1B0588">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9</w:t>
            </w:r>
          </w:p>
        </w:tc>
        <w:tc>
          <w:tcPr>
            <w:tcW w:w="737" w:type="dxa"/>
            <w:noWrap/>
            <w:vAlign w:val="center"/>
          </w:tcPr>
          <w:p w14:paraId="5DE5259E">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9</w:t>
            </w:r>
          </w:p>
        </w:tc>
        <w:tc>
          <w:tcPr>
            <w:tcW w:w="675" w:type="dxa"/>
            <w:noWrap/>
            <w:vAlign w:val="center"/>
          </w:tcPr>
          <w:p w14:paraId="09923833">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15</w:t>
            </w:r>
          </w:p>
        </w:tc>
        <w:tc>
          <w:tcPr>
            <w:tcW w:w="898" w:type="dxa"/>
            <w:noWrap/>
            <w:vAlign w:val="center"/>
          </w:tcPr>
          <w:p w14:paraId="5AA4A3EA">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9</w:t>
            </w:r>
          </w:p>
        </w:tc>
        <w:tc>
          <w:tcPr>
            <w:tcW w:w="628" w:type="dxa"/>
            <w:noWrap/>
            <w:vAlign w:val="center"/>
          </w:tcPr>
          <w:p w14:paraId="6ACD0866">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15</w:t>
            </w:r>
          </w:p>
        </w:tc>
        <w:tc>
          <w:tcPr>
            <w:tcW w:w="688" w:type="dxa"/>
            <w:noWrap/>
            <w:vAlign w:val="center"/>
          </w:tcPr>
          <w:p w14:paraId="697340C3">
            <w:pPr>
              <w:keepNext w:val="0"/>
              <w:keepLines w:val="0"/>
              <w:pageBreakBefore w:val="0"/>
              <w:kinsoku/>
              <w:overflowPunct/>
              <w:topLinePunct w:val="0"/>
              <w:autoSpaceDN/>
              <w:bidi w:val="0"/>
              <w:snapToGrid w:val="0"/>
              <w:spacing w:beforeAutospacing="0" w:afterAutospacing="0" w:line="600" w:lineRule="exact"/>
              <w:jc w:val="center"/>
              <w:rPr>
                <w:rFonts w:cs="宋体"/>
                <w:color w:val="000000"/>
                <w:sz w:val="22"/>
              </w:rPr>
            </w:pPr>
          </w:p>
        </w:tc>
        <w:tc>
          <w:tcPr>
            <w:tcW w:w="575" w:type="dxa"/>
            <w:vMerge w:val="continue"/>
            <w:noWrap/>
            <w:vAlign w:val="center"/>
          </w:tcPr>
          <w:p w14:paraId="71D2D014">
            <w:pPr>
              <w:keepNext w:val="0"/>
              <w:keepLines w:val="0"/>
              <w:pageBreakBefore w:val="0"/>
              <w:kinsoku/>
              <w:overflowPunct/>
              <w:topLinePunct w:val="0"/>
              <w:autoSpaceDN/>
              <w:bidi w:val="0"/>
              <w:snapToGrid w:val="0"/>
              <w:spacing w:beforeAutospacing="0" w:afterAutospacing="0" w:line="600" w:lineRule="exact"/>
              <w:jc w:val="both"/>
              <w:rPr>
                <w:rFonts w:cs="宋体"/>
                <w:color w:val="000000"/>
                <w:sz w:val="22"/>
              </w:rPr>
            </w:pPr>
          </w:p>
        </w:tc>
      </w:tr>
      <w:tr w14:paraId="35ED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626" w:type="dxa"/>
            <w:vMerge w:val="continue"/>
            <w:noWrap/>
            <w:vAlign w:val="center"/>
          </w:tcPr>
          <w:p w14:paraId="01222468">
            <w:pPr>
              <w:keepNext w:val="0"/>
              <w:keepLines w:val="0"/>
              <w:pageBreakBefore w:val="0"/>
              <w:kinsoku/>
              <w:overflowPunct/>
              <w:topLinePunct w:val="0"/>
              <w:autoSpaceDN/>
              <w:bidi w:val="0"/>
              <w:snapToGrid w:val="0"/>
              <w:spacing w:beforeAutospacing="0" w:afterAutospacing="0" w:line="600" w:lineRule="exact"/>
              <w:jc w:val="center"/>
              <w:textAlignment w:val="center"/>
              <w:rPr>
                <w:color w:val="000000"/>
                <w:sz w:val="22"/>
              </w:rPr>
            </w:pPr>
          </w:p>
        </w:tc>
        <w:tc>
          <w:tcPr>
            <w:tcW w:w="1363" w:type="dxa"/>
            <w:vMerge w:val="continue"/>
            <w:noWrap/>
            <w:vAlign w:val="center"/>
          </w:tcPr>
          <w:p w14:paraId="6E89DE2D">
            <w:pPr>
              <w:keepNext w:val="0"/>
              <w:keepLines w:val="0"/>
              <w:pageBreakBefore w:val="0"/>
              <w:kinsoku/>
              <w:overflowPunct/>
              <w:topLinePunct w:val="0"/>
              <w:autoSpaceDN/>
              <w:bidi w:val="0"/>
              <w:snapToGrid w:val="0"/>
              <w:spacing w:beforeAutospacing="0" w:afterAutospacing="0" w:line="600" w:lineRule="exact"/>
              <w:jc w:val="center"/>
              <w:rPr>
                <w:rFonts w:cs="宋体"/>
                <w:color w:val="000000"/>
                <w:sz w:val="22"/>
              </w:rPr>
            </w:pPr>
          </w:p>
        </w:tc>
        <w:tc>
          <w:tcPr>
            <w:tcW w:w="1825" w:type="dxa"/>
            <w:noWrap/>
            <w:vAlign w:val="center"/>
          </w:tcPr>
          <w:p w14:paraId="209E3DE0">
            <w:pPr>
              <w:keepNext w:val="0"/>
              <w:keepLines w:val="0"/>
              <w:pageBreakBefore w:val="0"/>
              <w:widowControl/>
              <w:suppressLineNumbers w:val="0"/>
              <w:kinsoku/>
              <w:overflowPunct/>
              <w:topLinePunct w:val="0"/>
              <w:autoSpaceDN/>
              <w:bidi w:val="0"/>
              <w:snapToGrid w:val="0"/>
              <w:spacing w:beforeAutospacing="0" w:afterAutospacing="0" w:line="60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执行率</w:t>
            </w:r>
          </w:p>
        </w:tc>
        <w:tc>
          <w:tcPr>
            <w:tcW w:w="737" w:type="dxa"/>
            <w:noWrap/>
            <w:vAlign w:val="center"/>
          </w:tcPr>
          <w:p w14:paraId="48A7C5BE">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w:t>
            </w:r>
          </w:p>
        </w:tc>
        <w:tc>
          <w:tcPr>
            <w:tcW w:w="913" w:type="dxa"/>
            <w:noWrap/>
            <w:vAlign w:val="center"/>
          </w:tcPr>
          <w:p w14:paraId="24E2AED8">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100</w:t>
            </w:r>
          </w:p>
        </w:tc>
        <w:tc>
          <w:tcPr>
            <w:tcW w:w="737" w:type="dxa"/>
            <w:noWrap/>
            <w:vAlign w:val="center"/>
          </w:tcPr>
          <w:p w14:paraId="1D6E2C93">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w:t>
            </w:r>
          </w:p>
        </w:tc>
        <w:tc>
          <w:tcPr>
            <w:tcW w:w="675" w:type="dxa"/>
            <w:noWrap/>
            <w:vAlign w:val="center"/>
          </w:tcPr>
          <w:p w14:paraId="7ADA1914">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w:t>
            </w:r>
          </w:p>
        </w:tc>
        <w:tc>
          <w:tcPr>
            <w:tcW w:w="898" w:type="dxa"/>
            <w:noWrap/>
            <w:vAlign w:val="center"/>
          </w:tcPr>
          <w:p w14:paraId="4895E6E6">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100</w:t>
            </w:r>
          </w:p>
        </w:tc>
        <w:tc>
          <w:tcPr>
            <w:tcW w:w="628" w:type="dxa"/>
            <w:noWrap/>
            <w:vAlign w:val="center"/>
          </w:tcPr>
          <w:p w14:paraId="632E3FFA">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w:t>
            </w:r>
          </w:p>
        </w:tc>
        <w:tc>
          <w:tcPr>
            <w:tcW w:w="688" w:type="dxa"/>
            <w:noWrap/>
            <w:vAlign w:val="center"/>
          </w:tcPr>
          <w:p w14:paraId="33692E0B">
            <w:pPr>
              <w:keepNext w:val="0"/>
              <w:keepLines w:val="0"/>
              <w:pageBreakBefore w:val="0"/>
              <w:kinsoku/>
              <w:overflowPunct/>
              <w:topLinePunct w:val="0"/>
              <w:autoSpaceDN/>
              <w:bidi w:val="0"/>
              <w:snapToGrid w:val="0"/>
              <w:spacing w:beforeAutospacing="0" w:afterAutospacing="0" w:line="600" w:lineRule="exact"/>
              <w:jc w:val="center"/>
              <w:rPr>
                <w:rFonts w:cs="宋体"/>
                <w:color w:val="000000"/>
                <w:sz w:val="22"/>
              </w:rPr>
            </w:pPr>
          </w:p>
        </w:tc>
        <w:tc>
          <w:tcPr>
            <w:tcW w:w="575" w:type="dxa"/>
            <w:vMerge w:val="continue"/>
            <w:noWrap/>
            <w:vAlign w:val="center"/>
          </w:tcPr>
          <w:p w14:paraId="2B433FFA">
            <w:pPr>
              <w:keepNext w:val="0"/>
              <w:keepLines w:val="0"/>
              <w:pageBreakBefore w:val="0"/>
              <w:kinsoku/>
              <w:overflowPunct/>
              <w:topLinePunct w:val="0"/>
              <w:autoSpaceDN/>
              <w:bidi w:val="0"/>
              <w:snapToGrid w:val="0"/>
              <w:spacing w:beforeAutospacing="0" w:afterAutospacing="0" w:line="600" w:lineRule="exact"/>
              <w:jc w:val="both"/>
              <w:rPr>
                <w:rFonts w:cs="宋体"/>
                <w:color w:val="000000"/>
                <w:sz w:val="22"/>
              </w:rPr>
            </w:pPr>
          </w:p>
        </w:tc>
      </w:tr>
      <w:tr w14:paraId="3DD6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626" w:type="dxa"/>
            <w:vMerge w:val="continue"/>
            <w:noWrap/>
            <w:vAlign w:val="center"/>
          </w:tcPr>
          <w:p w14:paraId="2775BA33">
            <w:pPr>
              <w:keepNext w:val="0"/>
              <w:keepLines w:val="0"/>
              <w:pageBreakBefore w:val="0"/>
              <w:kinsoku/>
              <w:overflowPunct/>
              <w:topLinePunct w:val="0"/>
              <w:autoSpaceDN/>
              <w:bidi w:val="0"/>
              <w:snapToGrid w:val="0"/>
              <w:spacing w:beforeAutospacing="0" w:afterAutospacing="0" w:line="600" w:lineRule="exact"/>
              <w:jc w:val="center"/>
              <w:textAlignment w:val="center"/>
              <w:rPr>
                <w:color w:val="000000"/>
                <w:sz w:val="22"/>
              </w:rPr>
            </w:pPr>
          </w:p>
        </w:tc>
        <w:tc>
          <w:tcPr>
            <w:tcW w:w="1363" w:type="dxa"/>
            <w:vMerge w:val="continue"/>
            <w:noWrap/>
            <w:vAlign w:val="center"/>
          </w:tcPr>
          <w:p w14:paraId="7F791D59">
            <w:pPr>
              <w:keepNext w:val="0"/>
              <w:keepLines w:val="0"/>
              <w:pageBreakBefore w:val="0"/>
              <w:kinsoku/>
              <w:overflowPunct/>
              <w:topLinePunct w:val="0"/>
              <w:autoSpaceDN/>
              <w:bidi w:val="0"/>
              <w:snapToGrid w:val="0"/>
              <w:spacing w:beforeAutospacing="0" w:afterAutospacing="0" w:line="600" w:lineRule="exact"/>
              <w:jc w:val="center"/>
              <w:rPr>
                <w:rFonts w:cs="宋体"/>
                <w:color w:val="000000"/>
                <w:sz w:val="22"/>
              </w:rPr>
            </w:pPr>
          </w:p>
        </w:tc>
        <w:tc>
          <w:tcPr>
            <w:tcW w:w="1825" w:type="dxa"/>
            <w:noWrap/>
            <w:vAlign w:val="center"/>
          </w:tcPr>
          <w:p w14:paraId="61AED9DF">
            <w:pPr>
              <w:keepNext w:val="0"/>
              <w:keepLines w:val="0"/>
              <w:pageBreakBefore w:val="0"/>
              <w:widowControl/>
              <w:suppressLineNumbers w:val="0"/>
              <w:kinsoku/>
              <w:overflowPunct/>
              <w:topLinePunct w:val="0"/>
              <w:autoSpaceDN/>
              <w:bidi w:val="0"/>
              <w:snapToGrid w:val="0"/>
              <w:spacing w:beforeAutospacing="0" w:afterAutospacing="0" w:line="600" w:lineRule="exact"/>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临聘教师满意度</w:t>
            </w:r>
          </w:p>
        </w:tc>
        <w:tc>
          <w:tcPr>
            <w:tcW w:w="737" w:type="dxa"/>
            <w:noWrap/>
            <w:vAlign w:val="center"/>
          </w:tcPr>
          <w:p w14:paraId="256FD5BF">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w:t>
            </w:r>
          </w:p>
        </w:tc>
        <w:tc>
          <w:tcPr>
            <w:tcW w:w="913" w:type="dxa"/>
            <w:noWrap/>
            <w:vAlign w:val="center"/>
          </w:tcPr>
          <w:p w14:paraId="5F5D89EF">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95</w:t>
            </w:r>
          </w:p>
        </w:tc>
        <w:tc>
          <w:tcPr>
            <w:tcW w:w="737" w:type="dxa"/>
            <w:noWrap/>
            <w:vAlign w:val="center"/>
          </w:tcPr>
          <w:p w14:paraId="7CC97887">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95</w:t>
            </w:r>
          </w:p>
        </w:tc>
        <w:tc>
          <w:tcPr>
            <w:tcW w:w="675" w:type="dxa"/>
            <w:noWrap/>
            <w:vAlign w:val="center"/>
          </w:tcPr>
          <w:p w14:paraId="398E6C30">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10</w:t>
            </w:r>
          </w:p>
        </w:tc>
        <w:tc>
          <w:tcPr>
            <w:tcW w:w="898" w:type="dxa"/>
            <w:noWrap/>
            <w:vAlign w:val="center"/>
          </w:tcPr>
          <w:p w14:paraId="71FC318E">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95</w:t>
            </w:r>
          </w:p>
        </w:tc>
        <w:tc>
          <w:tcPr>
            <w:tcW w:w="628" w:type="dxa"/>
            <w:noWrap/>
            <w:vAlign w:val="center"/>
          </w:tcPr>
          <w:p w14:paraId="1CD45CB5">
            <w:pPr>
              <w:keepNext w:val="0"/>
              <w:keepLines w:val="0"/>
              <w:pageBreakBefore w:val="0"/>
              <w:widowControl/>
              <w:suppressLineNumbers w:val="0"/>
              <w:kinsoku/>
              <w:overflowPunct/>
              <w:topLinePunct w:val="0"/>
              <w:autoSpaceDN/>
              <w:bidi w:val="0"/>
              <w:snapToGrid w:val="0"/>
              <w:spacing w:beforeAutospacing="0" w:afterAutospacing="0" w:line="600" w:lineRule="exact"/>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10</w:t>
            </w:r>
          </w:p>
        </w:tc>
        <w:tc>
          <w:tcPr>
            <w:tcW w:w="688" w:type="dxa"/>
            <w:noWrap/>
            <w:vAlign w:val="center"/>
          </w:tcPr>
          <w:p w14:paraId="66505B49">
            <w:pPr>
              <w:keepNext w:val="0"/>
              <w:keepLines w:val="0"/>
              <w:pageBreakBefore w:val="0"/>
              <w:kinsoku/>
              <w:overflowPunct/>
              <w:topLinePunct w:val="0"/>
              <w:autoSpaceDN/>
              <w:bidi w:val="0"/>
              <w:snapToGrid w:val="0"/>
              <w:spacing w:beforeAutospacing="0" w:afterAutospacing="0" w:line="600" w:lineRule="exact"/>
              <w:jc w:val="center"/>
              <w:rPr>
                <w:rFonts w:cs="宋体"/>
                <w:color w:val="000000"/>
                <w:sz w:val="22"/>
              </w:rPr>
            </w:pPr>
          </w:p>
        </w:tc>
        <w:tc>
          <w:tcPr>
            <w:tcW w:w="575" w:type="dxa"/>
            <w:vMerge w:val="continue"/>
            <w:noWrap/>
            <w:vAlign w:val="center"/>
          </w:tcPr>
          <w:p w14:paraId="0F34FD21">
            <w:pPr>
              <w:keepNext w:val="0"/>
              <w:keepLines w:val="0"/>
              <w:pageBreakBefore w:val="0"/>
              <w:kinsoku/>
              <w:overflowPunct/>
              <w:topLinePunct w:val="0"/>
              <w:autoSpaceDN/>
              <w:bidi w:val="0"/>
              <w:snapToGrid w:val="0"/>
              <w:spacing w:beforeAutospacing="0" w:afterAutospacing="0" w:line="600" w:lineRule="exact"/>
              <w:jc w:val="both"/>
              <w:rPr>
                <w:rFonts w:cs="宋体"/>
                <w:color w:val="000000"/>
                <w:sz w:val="22"/>
              </w:rPr>
            </w:pPr>
          </w:p>
        </w:tc>
      </w:tr>
    </w:tbl>
    <w:p w14:paraId="21FC8EBA">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420"/>
        <w:jc w:val="both"/>
        <w:textAlignment w:val="auto"/>
        <w:rPr>
          <w:rStyle w:val="11"/>
          <w:rFonts w:hint="eastAsia" w:ascii="Times New Roman" w:hAnsi="Times New Roman" w:eastAsia="方正楷体_GBK" w:cs="方正楷体_GBK"/>
          <w:b w:val="0"/>
          <w:bCs/>
          <w:sz w:val="32"/>
          <w:szCs w:val="32"/>
          <w:shd w:val="clear" w:color="auto" w:fill="FFFFFF"/>
          <w:lang w:val="en-US" w:eastAsia="zh-CN"/>
        </w:rPr>
      </w:pPr>
      <w:r>
        <w:rPr>
          <w:rStyle w:val="11"/>
          <w:rFonts w:hint="eastAsia" w:ascii="Times New Roman" w:hAnsi="Times New Roman" w:eastAsia="方正楷体_GBK" w:cs="方正楷体_GBK"/>
          <w:b w:val="0"/>
          <w:bCs/>
          <w:sz w:val="32"/>
          <w:szCs w:val="32"/>
          <w:shd w:val="clear" w:color="auto" w:fill="FFFFFF"/>
          <w:lang w:val="en-US" w:eastAsia="zh-CN"/>
        </w:rPr>
        <w:t>（二）单位重点绩效评价情况</w:t>
      </w:r>
    </w:p>
    <w:p w14:paraId="47E6CB53">
      <w:pPr>
        <w:keepNext w:val="0"/>
        <w:keepLines w:val="0"/>
        <w:pageBreakBefore w:val="0"/>
        <w:widowControl w:val="0"/>
        <w:tabs>
          <w:tab w:val="center" w:pos="4153"/>
          <w:tab w:val="left" w:pos="7275"/>
        </w:tabs>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bookmarkStart w:id="0" w:name="_Hlk211960820"/>
      <w:r>
        <w:rPr>
          <w:rFonts w:ascii="Times New Roman" w:hAnsi="Times New Roman" w:eastAsia="方正仿宋_GBK" w:cs="方正仿宋_GBK"/>
          <w:sz w:val="32"/>
          <w:szCs w:val="32"/>
          <w:shd w:val="clear" w:color="auto" w:fill="FFFFFF"/>
        </w:rPr>
        <w:t>我单位2</w:t>
      </w:r>
      <w:r>
        <w:rPr>
          <w:rFonts w:hint="default" w:ascii="Times New Roman" w:hAnsi="Times New Roman" w:eastAsia="方正仿宋_GBK" w:cs="方正仿宋_GBK"/>
          <w:sz w:val="32"/>
          <w:szCs w:val="32"/>
          <w:shd w:val="clear" w:color="auto" w:fill="FFFFFF"/>
        </w:rPr>
        <w:t>0</w:t>
      </w:r>
      <w:r>
        <w:rPr>
          <w:rFonts w:hint="eastAsia" w:ascii="Times New Roman" w:hAnsi="Times New Roman" w:eastAsia="方正仿宋_GBK" w:cs="方正仿宋_GBK"/>
          <w:sz w:val="32"/>
          <w:szCs w:val="32"/>
          <w:shd w:val="clear" w:color="auto" w:fill="FFFFFF"/>
          <w:lang w:val="en-US" w:eastAsia="zh-CN"/>
        </w:rPr>
        <w:t>2</w:t>
      </w:r>
      <w:r>
        <w:rPr>
          <w:rFonts w:hint="default" w:ascii="Times New Roman" w:hAnsi="Times New Roman" w:eastAsia="方正仿宋_GBK" w:cs="方正仿宋_GBK"/>
          <w:sz w:val="32"/>
          <w:szCs w:val="32"/>
          <w:shd w:val="clear" w:color="auto" w:fill="FFFFFF"/>
        </w:rPr>
        <w:t>4</w:t>
      </w:r>
      <w:r>
        <w:rPr>
          <w:rFonts w:ascii="Times New Roman" w:hAnsi="Times New Roman" w:eastAsia="方正仿宋_GBK" w:cs="方正仿宋_GBK"/>
          <w:sz w:val="32"/>
          <w:szCs w:val="32"/>
          <w:shd w:val="clear" w:color="auto" w:fill="FFFFFF"/>
        </w:rPr>
        <w:t>年无重点绩效评价。</w:t>
      </w:r>
    </w:p>
    <w:bookmarkEnd w:id="0"/>
    <w:p w14:paraId="39F5E653">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420"/>
        <w:jc w:val="both"/>
        <w:textAlignment w:val="auto"/>
        <w:rPr>
          <w:rStyle w:val="11"/>
          <w:rFonts w:hint="eastAsia" w:ascii="Times New Roman" w:hAnsi="Times New Roman" w:eastAsia="方正楷体_GBK" w:cs="方正楷体_GBK"/>
          <w:b w:val="0"/>
          <w:bCs/>
          <w:sz w:val="32"/>
          <w:szCs w:val="32"/>
          <w:shd w:val="clear" w:color="auto" w:fill="FFFFFF"/>
          <w:lang w:val="en-US" w:eastAsia="zh-CN"/>
        </w:rPr>
      </w:pPr>
      <w:r>
        <w:rPr>
          <w:rStyle w:val="11"/>
          <w:rFonts w:hint="eastAsia" w:ascii="Times New Roman" w:hAnsi="Times New Roman" w:eastAsia="方正楷体_GBK" w:cs="方正楷体_GBK"/>
          <w:b w:val="0"/>
          <w:bCs/>
          <w:sz w:val="32"/>
          <w:szCs w:val="32"/>
          <w:shd w:val="clear" w:color="auto" w:fill="FFFFFF"/>
          <w:lang w:val="en-US" w:eastAsia="zh-CN"/>
        </w:rPr>
        <w:t>（三）财政绩效评价情况</w:t>
      </w:r>
    </w:p>
    <w:p w14:paraId="17E1DAA0">
      <w:pPr>
        <w:keepNext w:val="0"/>
        <w:keepLines w:val="0"/>
        <w:pageBreakBefore w:val="0"/>
        <w:tabs>
          <w:tab w:val="center" w:pos="4153"/>
          <w:tab w:val="left" w:pos="7275"/>
        </w:tabs>
        <w:kinsoku/>
        <w:overflowPunct/>
        <w:topLinePunct w:val="0"/>
        <w:autoSpaceDN/>
        <w:bidi w:val="0"/>
        <w:spacing w:beforeAutospacing="0" w:afterAutospacing="0" w:line="600" w:lineRule="exact"/>
        <w:ind w:firstLine="640" w:firstLineChars="200"/>
        <w:jc w:val="both"/>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重点绩效评价工作由区财政局统一公开。</w:t>
      </w:r>
    </w:p>
    <w:p w14:paraId="278AFDD0">
      <w:pPr>
        <w:keepNext w:val="0"/>
        <w:keepLines w:val="0"/>
        <w:pageBreakBefore w:val="0"/>
        <w:widowControl/>
        <w:kinsoku/>
        <w:overflowPunct/>
        <w:topLinePunct w:val="0"/>
        <w:autoSpaceDN/>
        <w:bidi w:val="0"/>
        <w:spacing w:beforeAutospacing="0" w:afterAutospacing="0" w:line="600" w:lineRule="exact"/>
        <w:ind w:firstLine="640" w:firstLineChars="200"/>
        <w:jc w:val="both"/>
        <w:rPr>
          <w:rStyle w:val="11"/>
          <w:rFonts w:hint="eastAsia" w:ascii="Times New Roman" w:hAnsi="Times New Roman" w:eastAsia="方正黑体_GBK" w:cs="黑体"/>
          <w:b w:val="0"/>
          <w:bCs/>
          <w:sz w:val="32"/>
          <w:szCs w:val="32"/>
          <w:shd w:val="clear" w:color="auto" w:fill="FFFFFF"/>
          <w:lang w:val="en-US" w:eastAsia="zh-CN" w:bidi="ar-SA"/>
        </w:rPr>
      </w:pPr>
      <w:r>
        <w:rPr>
          <w:rStyle w:val="11"/>
          <w:rFonts w:hint="eastAsia" w:ascii="Times New Roman" w:hAnsi="Times New Roman" w:eastAsia="方正黑体_GBK" w:cs="黑体"/>
          <w:b w:val="0"/>
          <w:bCs/>
          <w:sz w:val="32"/>
          <w:szCs w:val="32"/>
          <w:shd w:val="clear" w:color="auto" w:fill="FFFFFF"/>
          <w:lang w:val="en-US" w:eastAsia="zh-CN" w:bidi="ar-SA"/>
        </w:rPr>
        <w:t>六、专业名词解释</w:t>
      </w:r>
    </w:p>
    <w:p w14:paraId="4542FCA7">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（一）财政拨款收入：</w:t>
      </w:r>
      <w:r>
        <w:rPr>
          <w:rFonts w:hint="eastAsia" w:ascii="Times New Roman" w:hAnsi="Times New Roman" w:eastAsia="方正仿宋_GBK" w:cs="方正仿宋_GBK"/>
          <w:kern w:val="0"/>
          <w:sz w:val="32"/>
          <w:szCs w:val="32"/>
          <w:shd w:val="clear" w:fill="FFFFFF"/>
        </w:rPr>
        <w:t>指本年度从本级财政</w:t>
      </w:r>
      <w:r>
        <w:rPr>
          <w:rFonts w:hint="eastAsia" w:ascii="Times New Roman" w:hAnsi="Times New Roman" w:eastAsia="方正仿宋_GBK" w:cs="方正仿宋_GBK"/>
          <w:kern w:val="0"/>
          <w:sz w:val="32"/>
          <w:szCs w:val="32"/>
          <w:shd w:val="clear" w:fill="FFFFFF"/>
          <w:lang w:eastAsia="zh-CN"/>
        </w:rPr>
        <w:t>单位</w:t>
      </w:r>
      <w:r>
        <w:rPr>
          <w:rFonts w:hint="eastAsia" w:ascii="Times New Roman" w:hAnsi="Times New Roman" w:eastAsia="方正仿宋_GBK" w:cs="方正仿宋_GBK"/>
          <w:kern w:val="0"/>
          <w:sz w:val="32"/>
          <w:szCs w:val="32"/>
          <w:shd w:val="clear" w:fill="FFFFFF"/>
        </w:rPr>
        <w:t>取得的财政拨款，包括一般公共预算财政拨款和政府性基金预算财政拨款。</w:t>
      </w:r>
    </w:p>
    <w:p w14:paraId="301EF143">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（二）事业收入：</w:t>
      </w:r>
      <w:r>
        <w:rPr>
          <w:rFonts w:hint="eastAsia" w:ascii="Times New Roman" w:hAnsi="Times New Roman"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4A8C8509">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（三）经营收入：</w:t>
      </w:r>
      <w:r>
        <w:rPr>
          <w:rFonts w:hint="eastAsia" w:ascii="Times New Roman" w:hAnsi="Times New Roman" w:eastAsia="方正仿宋_GBK" w:cs="方正仿宋_GBK"/>
          <w:kern w:val="0"/>
          <w:sz w:val="32"/>
          <w:szCs w:val="32"/>
          <w:shd w:val="clear" w:fill="FFFFFF"/>
        </w:rPr>
        <w:t>指事业单位在专业业务活动及其辅助活动之外开展非独立核算经营活动取得的现金流入。</w:t>
      </w:r>
    </w:p>
    <w:p w14:paraId="55DC9B54">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（四）其他收入：</w:t>
      </w:r>
      <w:r>
        <w:rPr>
          <w:rFonts w:hint="eastAsia" w:ascii="Times New Roman" w:hAnsi="Times New Roman"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Times New Roman" w:hAnsi="Times New Roman" w:eastAsia="方正仿宋_GBK" w:cs="方正仿宋_GBK"/>
          <w:kern w:val="0"/>
          <w:sz w:val="32"/>
          <w:szCs w:val="32"/>
          <w:shd w:val="clear" w:fill="FFFFFF"/>
          <w:lang w:eastAsia="zh-CN"/>
        </w:rPr>
        <w:t>单位</w:t>
      </w:r>
      <w:r>
        <w:rPr>
          <w:rFonts w:hint="eastAsia" w:ascii="Times New Roman" w:hAnsi="Times New Roman" w:eastAsia="方正仿宋_GBK" w:cs="方正仿宋_GBK"/>
          <w:kern w:val="0"/>
          <w:sz w:val="32"/>
          <w:szCs w:val="32"/>
          <w:shd w:val="clear" w:fill="FFFFFF"/>
        </w:rPr>
        <w:t>以外的同级单位取得的经费、从非本级财政</w:t>
      </w:r>
      <w:r>
        <w:rPr>
          <w:rFonts w:hint="eastAsia" w:ascii="Times New Roman" w:hAnsi="Times New Roman" w:eastAsia="方正仿宋_GBK" w:cs="方正仿宋_GBK"/>
          <w:kern w:val="0"/>
          <w:sz w:val="32"/>
          <w:szCs w:val="32"/>
          <w:shd w:val="clear" w:fill="FFFFFF"/>
          <w:lang w:eastAsia="zh-CN"/>
        </w:rPr>
        <w:t>单位</w:t>
      </w:r>
      <w:r>
        <w:rPr>
          <w:rFonts w:hint="eastAsia" w:ascii="Times New Roman" w:hAnsi="Times New Roman" w:eastAsia="方正仿宋_GBK" w:cs="方正仿宋_GBK"/>
          <w:kern w:val="0"/>
          <w:sz w:val="32"/>
          <w:szCs w:val="32"/>
          <w:shd w:val="clear" w:fill="FFFFFF"/>
        </w:rPr>
        <w:t>取得的经费，以及行政单位收到的财政专户管理资金反映在本项内。</w:t>
      </w:r>
    </w:p>
    <w:p w14:paraId="0DB24B93">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（五）使用非财政拨款结余：</w:t>
      </w:r>
      <w:r>
        <w:rPr>
          <w:rFonts w:hint="eastAsia" w:ascii="Times New Roman" w:hAnsi="Times New Roman"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0E8EAA61">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（六）年初结转和结余：</w:t>
      </w:r>
      <w:r>
        <w:rPr>
          <w:rFonts w:hint="eastAsia" w:ascii="Times New Roman" w:hAnsi="Times New Roman" w:eastAsia="方正仿宋_GBK" w:cs="方正仿宋_GBK"/>
          <w:kern w:val="0"/>
          <w:sz w:val="32"/>
          <w:szCs w:val="32"/>
          <w:shd w:val="clear" w:fill="FFFFFF"/>
        </w:rPr>
        <w:t>指单位上年结转本年使用的基本支出结转、项目支出结转和结余、经营结余。</w:t>
      </w:r>
    </w:p>
    <w:p w14:paraId="1BC42F32">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（七）结余分配：</w:t>
      </w:r>
      <w:r>
        <w:rPr>
          <w:rFonts w:hint="eastAsia" w:ascii="Times New Roman" w:hAnsi="Times New Roman" w:eastAsia="方正仿宋_GBK" w:cs="方正仿宋_GBK"/>
          <w:kern w:val="0"/>
          <w:sz w:val="32"/>
          <w:szCs w:val="32"/>
          <w:shd w:val="clear" w:fill="FFFFFF"/>
        </w:rPr>
        <w:t>指单位按照国家有关规定，缴纳所得税、提取专用基金、转入非财政拨款结余等当年结余的分配情况。</w:t>
      </w:r>
    </w:p>
    <w:p w14:paraId="375DCDDA">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（八）年末结转和结余：</w:t>
      </w:r>
      <w:r>
        <w:rPr>
          <w:rFonts w:hint="eastAsia" w:ascii="Times New Roman" w:hAnsi="Times New Roman" w:eastAsia="方正仿宋_GBK" w:cs="方正仿宋_GBK"/>
          <w:kern w:val="0"/>
          <w:sz w:val="32"/>
          <w:szCs w:val="32"/>
          <w:shd w:val="clear" w:fill="FFFFFF"/>
        </w:rPr>
        <w:t>指单位结转下年的基本支出结转、项目支出结转和结余、经营结余。</w:t>
      </w:r>
    </w:p>
    <w:p w14:paraId="1653978B">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（九）基本支出：</w:t>
      </w:r>
      <w:r>
        <w:rPr>
          <w:rFonts w:hint="eastAsia" w:ascii="Times New Roman" w:hAnsi="Times New Roman"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6DF20AA">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（十）项目支出：</w:t>
      </w:r>
      <w:r>
        <w:rPr>
          <w:rFonts w:hint="eastAsia" w:ascii="Times New Roman" w:hAnsi="Times New Roman" w:eastAsia="方正仿宋_GBK" w:cs="方正仿宋_GBK"/>
          <w:kern w:val="0"/>
          <w:sz w:val="32"/>
          <w:szCs w:val="32"/>
          <w:shd w:val="clear" w:fill="FFFFFF"/>
        </w:rPr>
        <w:t>指在基本支出之外为完成特定行政任务和事业发展目标所发生的支出。</w:t>
      </w:r>
    </w:p>
    <w:p w14:paraId="29955F42">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（十一）经营支出：</w:t>
      </w:r>
      <w:r>
        <w:rPr>
          <w:rFonts w:hint="eastAsia" w:ascii="Times New Roman" w:hAnsi="Times New Roman" w:eastAsia="方正仿宋_GBK" w:cs="方正仿宋_GBK"/>
          <w:kern w:val="0"/>
          <w:sz w:val="32"/>
          <w:szCs w:val="32"/>
          <w:shd w:val="clear" w:fill="FFFFFF"/>
        </w:rPr>
        <w:t>指事业单位在专业业务活动及其辅助活动之外开展非独立核算经营活动发生的支出。</w:t>
      </w:r>
    </w:p>
    <w:p w14:paraId="7B2F3268">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（十二）“三公”经费：</w:t>
      </w:r>
      <w:r>
        <w:rPr>
          <w:rFonts w:hint="eastAsia" w:ascii="Times New Roman" w:hAnsi="Times New Roman"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CAEEAF1">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（十三）机关运行经费：</w:t>
      </w:r>
      <w:r>
        <w:rPr>
          <w:rFonts w:hint="eastAsia" w:ascii="Times New Roman" w:hAnsi="Times New Roman"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EEFA606">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（十四）工资福利支出（支出经济分类科目类级）：</w:t>
      </w:r>
      <w:r>
        <w:rPr>
          <w:rFonts w:hint="eastAsia" w:ascii="Times New Roman" w:hAnsi="Times New Roman" w:eastAsia="方正仿宋_GBK" w:cs="方正仿宋_GBK"/>
          <w:kern w:val="0"/>
          <w:sz w:val="32"/>
          <w:szCs w:val="32"/>
          <w:shd w:val="clear" w:fill="FFFFFF"/>
        </w:rPr>
        <w:t>反映单位开支的在职职工和编制外长期聘用人员的各类劳动报酬，以及为上述人员缴纳的各项社会保险费等。</w:t>
      </w:r>
    </w:p>
    <w:p w14:paraId="7507066D">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（十五）商品和服务支出（支出经济分类科目类级）：</w:t>
      </w:r>
      <w:r>
        <w:rPr>
          <w:rFonts w:hint="eastAsia" w:ascii="Times New Roman" w:hAnsi="Times New Roman" w:eastAsia="方正仿宋_GBK" w:cs="方正仿宋_GBK"/>
          <w:kern w:val="0"/>
          <w:sz w:val="32"/>
          <w:szCs w:val="32"/>
          <w:shd w:val="clear" w:fill="FFFFFF"/>
        </w:rPr>
        <w:t>反映单位购买商品和服务的支出（不包括用于购置固定资产的支出、战略性和应急储备支出）。</w:t>
      </w:r>
    </w:p>
    <w:p w14:paraId="3E3D74DB">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（十六）对个人和家庭的补助（支出经济分类科目类级）：</w:t>
      </w:r>
      <w:r>
        <w:rPr>
          <w:rFonts w:hint="eastAsia" w:ascii="Times New Roman" w:hAnsi="Times New Roman" w:eastAsia="方正仿宋_GBK" w:cs="方正仿宋_GBK"/>
          <w:kern w:val="0"/>
          <w:sz w:val="32"/>
          <w:szCs w:val="32"/>
          <w:shd w:val="clear" w:fill="FFFFFF"/>
        </w:rPr>
        <w:t>反映用于对个人和家庭的补助支出。</w:t>
      </w:r>
    </w:p>
    <w:p w14:paraId="3BC3BDB8">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（十七）其他资本性支出（支出经济分类科目类级）：</w:t>
      </w:r>
      <w:r>
        <w:rPr>
          <w:rFonts w:hint="eastAsia" w:ascii="Times New Roman" w:hAnsi="Times New Roman" w:eastAsia="方正仿宋_GBK" w:cs="方正仿宋_GBK"/>
          <w:kern w:val="0"/>
          <w:sz w:val="32"/>
          <w:szCs w:val="32"/>
          <w:shd w:val="clear" w:fill="FFFFFF"/>
        </w:rPr>
        <w:t>反映非各级发展与改革</w:t>
      </w:r>
      <w:r>
        <w:rPr>
          <w:rFonts w:hint="eastAsia" w:ascii="Times New Roman" w:hAnsi="Times New Roman" w:eastAsia="方正仿宋_GBK" w:cs="方正仿宋_GBK"/>
          <w:kern w:val="0"/>
          <w:sz w:val="32"/>
          <w:szCs w:val="32"/>
          <w:shd w:val="clear" w:fill="FFFFFF"/>
          <w:lang w:eastAsia="zh-CN"/>
        </w:rPr>
        <w:t>单位</w:t>
      </w:r>
      <w:r>
        <w:rPr>
          <w:rFonts w:hint="eastAsia" w:ascii="Times New Roman" w:hAnsi="Times New Roman" w:eastAsia="方正仿宋_GBK" w:cs="方正仿宋_GBK"/>
          <w:kern w:val="0"/>
          <w:sz w:val="32"/>
          <w:szCs w:val="32"/>
          <w:shd w:val="clear" w:fill="FFFFFF"/>
        </w:rPr>
        <w:t>集中安排的用于购置固定资产、战略性和应急性储备、土地和无形资产，以及构建基础设施、大型修缮和财政支持企业更新改造所发生的支出。</w:t>
      </w:r>
    </w:p>
    <w:p w14:paraId="7E9B5A02">
      <w:pPr>
        <w:keepNext w:val="0"/>
        <w:keepLines w:val="0"/>
        <w:pageBreakBefore w:val="0"/>
        <w:widowControl/>
        <w:kinsoku/>
        <w:overflowPunct/>
        <w:topLinePunct w:val="0"/>
        <w:autoSpaceDN/>
        <w:bidi w:val="0"/>
        <w:spacing w:beforeAutospacing="0" w:afterAutospacing="0" w:line="600" w:lineRule="exact"/>
        <w:ind w:firstLine="640" w:firstLineChars="200"/>
        <w:jc w:val="both"/>
        <w:rPr>
          <w:rFonts w:hint="eastAsia" w:ascii="Times New Roman" w:hAnsi="Times New Roman" w:eastAsia="方正仿宋_GBK" w:cs="方正仿宋_GBK"/>
          <w:kern w:val="0"/>
          <w:sz w:val="32"/>
          <w:szCs w:val="32"/>
        </w:rPr>
      </w:pPr>
      <w:r>
        <w:rPr>
          <w:rStyle w:val="11"/>
          <w:rFonts w:hint="eastAsia" w:ascii="Times New Roman" w:hAnsi="Times New Roman" w:eastAsia="方正黑体_GBK" w:cs="黑体"/>
          <w:b w:val="0"/>
          <w:bCs/>
          <w:sz w:val="32"/>
          <w:szCs w:val="32"/>
          <w:shd w:val="clear" w:color="auto" w:fill="FFFFFF"/>
          <w:lang w:val="en-US" w:eastAsia="zh-CN" w:bidi="ar-SA"/>
        </w:rPr>
        <w:t>七、决算公开联系方式及信息反馈渠道</w:t>
      </w:r>
    </w:p>
    <w:p w14:paraId="192A0F33">
      <w:pPr>
        <w:keepNext w:val="0"/>
        <w:keepLines w:val="0"/>
        <w:pageBreakBefore w:val="0"/>
        <w:kinsoku/>
        <w:overflowPunct/>
        <w:topLinePunct w:val="0"/>
        <w:autoSpaceDN/>
        <w:bidi w:val="0"/>
        <w:adjustRightInd w:val="0"/>
        <w:snapToGrid w:val="0"/>
        <w:spacing w:beforeAutospacing="0" w:afterAutospacing="0" w:line="600" w:lineRule="exact"/>
        <w:ind w:firstLine="640" w:firstLineChars="200"/>
        <w:jc w:val="both"/>
        <w:rPr>
          <w:rStyle w:val="11"/>
          <w:rFonts w:hint="eastAsia" w:ascii="Times New Roman" w:hAnsi="Times New Roman" w:eastAsia="黑体" w:cs="黑体"/>
          <w:color w:val="FF0000"/>
          <w:sz w:val="32"/>
          <w:szCs w:val="32"/>
          <w:highlight w:val="yellow"/>
          <w:shd w:val="clear" w:color="auto" w:fill="FFFFFF"/>
          <w:lang w:val="en-US" w:eastAsia="zh-CN" w:bidi="ar-SA"/>
        </w:rPr>
      </w:pPr>
      <w:r>
        <w:rPr>
          <w:rFonts w:ascii="Times New Roman" w:hAnsi="Times New Roman" w:eastAsia="方正仿宋_GBK" w:cs="方正仿宋_GBK"/>
          <w:sz w:val="32"/>
          <w:szCs w:val="32"/>
          <w:shd w:val="clear" w:color="auto" w:fill="FFFFFF"/>
        </w:rPr>
        <w:t>本单位决算公开信息反馈和联系方式：18908373817</w:t>
      </w:r>
    </w:p>
    <w:p w14:paraId="14498AE4">
      <w:pPr>
        <w:keepNext w:val="0"/>
        <w:keepLines w:val="0"/>
        <w:pageBreakBefore w:val="0"/>
        <w:kinsoku/>
        <w:overflowPunct/>
        <w:topLinePunct w:val="0"/>
        <w:autoSpaceDN/>
        <w:bidi w:val="0"/>
        <w:adjustRightInd w:val="0"/>
        <w:snapToGrid w:val="0"/>
        <w:spacing w:beforeAutospacing="0" w:afterAutospacing="0" w:line="600" w:lineRule="exact"/>
        <w:ind w:firstLine="640" w:firstLineChars="200"/>
        <w:jc w:val="left"/>
        <w:rPr>
          <w:rFonts w:hint="eastAsia" w:ascii="Times New Roman" w:hAnsi="Times New Roman" w:eastAsia="方正仿宋_GBK" w:cs="方正仿宋_GBK"/>
          <w:kern w:val="0"/>
          <w:sz w:val="32"/>
          <w:szCs w:val="32"/>
          <w:shd w:val="clear" w:fill="FFFFFF"/>
          <w:lang w:val="en-US" w:eastAsia="zh-CN" w:bidi="ar-SA"/>
        </w:rPr>
      </w:pPr>
    </w:p>
    <w:p w14:paraId="626548CD">
      <w:pPr>
        <w:keepNext w:val="0"/>
        <w:keepLines w:val="0"/>
        <w:pageBreakBefore w:val="0"/>
        <w:kinsoku/>
        <w:overflowPunct/>
        <w:topLinePunct w:val="0"/>
        <w:autoSpaceDN/>
        <w:bidi w:val="0"/>
        <w:adjustRightInd w:val="0"/>
        <w:snapToGrid w:val="0"/>
        <w:spacing w:beforeAutospacing="0" w:afterAutospacing="0" w:line="600" w:lineRule="exact"/>
        <w:ind w:firstLine="640" w:firstLineChars="200"/>
        <w:jc w:val="left"/>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附件：1.收入支出决算总表</w:t>
      </w:r>
    </w:p>
    <w:p w14:paraId="23097D10">
      <w:pPr>
        <w:keepNext w:val="0"/>
        <w:keepLines w:val="0"/>
        <w:pageBreakBefore w:val="0"/>
        <w:kinsoku/>
        <w:overflowPunct/>
        <w:topLinePunct w:val="0"/>
        <w:autoSpaceDN/>
        <w:bidi w:val="0"/>
        <w:adjustRightInd w:val="0"/>
        <w:snapToGrid w:val="0"/>
        <w:spacing w:beforeAutospacing="0" w:afterAutospacing="0" w:line="600" w:lineRule="exact"/>
        <w:ind w:firstLine="1600" w:firstLineChars="500"/>
        <w:jc w:val="left"/>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2.收入决算表</w:t>
      </w:r>
    </w:p>
    <w:p w14:paraId="4F62D3A1">
      <w:pPr>
        <w:keepNext w:val="0"/>
        <w:keepLines w:val="0"/>
        <w:pageBreakBefore w:val="0"/>
        <w:kinsoku/>
        <w:overflowPunct/>
        <w:topLinePunct w:val="0"/>
        <w:autoSpaceDN/>
        <w:bidi w:val="0"/>
        <w:adjustRightInd w:val="0"/>
        <w:snapToGrid w:val="0"/>
        <w:spacing w:beforeAutospacing="0" w:afterAutospacing="0" w:line="600" w:lineRule="exact"/>
        <w:ind w:firstLine="1600" w:firstLineChars="500"/>
        <w:jc w:val="left"/>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3.支出决算表</w:t>
      </w:r>
    </w:p>
    <w:p w14:paraId="697DC52E">
      <w:pPr>
        <w:keepNext w:val="0"/>
        <w:keepLines w:val="0"/>
        <w:pageBreakBefore w:val="0"/>
        <w:kinsoku/>
        <w:overflowPunct/>
        <w:topLinePunct w:val="0"/>
        <w:autoSpaceDN/>
        <w:bidi w:val="0"/>
        <w:adjustRightInd w:val="0"/>
        <w:snapToGrid w:val="0"/>
        <w:spacing w:beforeAutospacing="0" w:afterAutospacing="0" w:line="600" w:lineRule="exact"/>
        <w:ind w:firstLine="1600" w:firstLineChars="500"/>
        <w:jc w:val="left"/>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4.财政拨款收入支出决算总表</w:t>
      </w:r>
    </w:p>
    <w:p w14:paraId="057A7AA1">
      <w:pPr>
        <w:keepNext w:val="0"/>
        <w:keepLines w:val="0"/>
        <w:pageBreakBefore w:val="0"/>
        <w:kinsoku/>
        <w:overflowPunct/>
        <w:topLinePunct w:val="0"/>
        <w:autoSpaceDN/>
        <w:bidi w:val="0"/>
        <w:adjustRightInd w:val="0"/>
        <w:snapToGrid w:val="0"/>
        <w:spacing w:beforeAutospacing="0" w:afterAutospacing="0" w:line="600" w:lineRule="exact"/>
        <w:ind w:firstLine="1600" w:firstLineChars="500"/>
        <w:jc w:val="left"/>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5.一般公共预算财政拨款收入支出决算表</w:t>
      </w:r>
    </w:p>
    <w:p w14:paraId="33D60518">
      <w:pPr>
        <w:keepNext w:val="0"/>
        <w:keepLines w:val="0"/>
        <w:pageBreakBefore w:val="0"/>
        <w:kinsoku/>
        <w:overflowPunct/>
        <w:topLinePunct w:val="0"/>
        <w:autoSpaceDN/>
        <w:bidi w:val="0"/>
        <w:adjustRightInd w:val="0"/>
        <w:snapToGrid w:val="0"/>
        <w:spacing w:beforeAutospacing="0" w:afterAutospacing="0" w:line="600" w:lineRule="exact"/>
        <w:ind w:firstLine="1600" w:firstLineChars="500"/>
        <w:jc w:val="left"/>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6.一般公共预算财政拨款基本支出决算表</w:t>
      </w:r>
    </w:p>
    <w:p w14:paraId="7A67D9A0">
      <w:pPr>
        <w:keepNext w:val="0"/>
        <w:keepLines w:val="0"/>
        <w:pageBreakBefore w:val="0"/>
        <w:kinsoku/>
        <w:overflowPunct/>
        <w:topLinePunct w:val="0"/>
        <w:autoSpaceDN/>
        <w:bidi w:val="0"/>
        <w:adjustRightInd w:val="0"/>
        <w:snapToGrid w:val="0"/>
        <w:spacing w:beforeAutospacing="0" w:afterAutospacing="0" w:line="600" w:lineRule="exact"/>
        <w:ind w:firstLine="1600" w:firstLineChars="500"/>
        <w:jc w:val="left"/>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7.政府性基金预算财政拨款收入支出决算表</w:t>
      </w:r>
    </w:p>
    <w:p w14:paraId="194DF301">
      <w:pPr>
        <w:keepNext w:val="0"/>
        <w:keepLines w:val="0"/>
        <w:pageBreakBefore w:val="0"/>
        <w:kinsoku/>
        <w:overflowPunct/>
        <w:topLinePunct w:val="0"/>
        <w:autoSpaceDN/>
        <w:bidi w:val="0"/>
        <w:adjustRightInd w:val="0"/>
        <w:snapToGrid w:val="0"/>
        <w:spacing w:beforeAutospacing="0" w:afterAutospacing="0" w:line="600" w:lineRule="exact"/>
        <w:ind w:firstLine="1600" w:firstLineChars="500"/>
        <w:jc w:val="left"/>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8.国有资本经营预算财政拨款支出决算表</w:t>
      </w:r>
    </w:p>
    <w:p w14:paraId="24E61984">
      <w:pPr>
        <w:pStyle w:val="12"/>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1600" w:firstLineChars="500"/>
        <w:jc w:val="both"/>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9.机构运行信息表</w:t>
      </w:r>
    </w:p>
    <w:p w14:paraId="7BB07FA2">
      <w:pPr>
        <w:pStyle w:val="12"/>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p>
    <w:p w14:paraId="0B906B44">
      <w:pPr>
        <w:pStyle w:val="12"/>
        <w:keepNext w:val="0"/>
        <w:keepLines w:val="0"/>
        <w:pageBreakBefore w:val="0"/>
        <w:kinsoku/>
        <w:overflowPunct/>
        <w:topLinePunct w:val="0"/>
        <w:autoSpaceDE w:val="0"/>
        <w:autoSpaceDN/>
        <w:bidi w:val="0"/>
        <w:spacing w:beforeAutospacing="0" w:afterAutospacing="0" w:line="600" w:lineRule="exact"/>
        <w:ind w:firstLine="640"/>
        <w:jc w:val="both"/>
        <w:rPr>
          <w:rStyle w:val="11"/>
          <w:rFonts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992" w:gutter="0"/>
          <w:pgNumType w:fmt="decimal"/>
          <w:cols w:space="720" w:num="1"/>
          <w:docGrid w:type="lines" w:linePitch="312" w:charSpace="0"/>
        </w:sectPr>
      </w:pPr>
    </w:p>
    <w:p w14:paraId="6AD32984">
      <w:pPr>
        <w:keepNext w:val="0"/>
        <w:keepLines w:val="0"/>
        <w:pageBreakBefore w:val="0"/>
        <w:kinsoku/>
        <w:overflowPunct/>
        <w:topLinePunct w:val="0"/>
        <w:autoSpaceDN/>
        <w:bidi w:val="0"/>
        <w:spacing w:beforeAutospacing="0" w:afterAutospacing="0" w:line="600" w:lineRule="exact"/>
        <w:rPr>
          <w:rFonts w:hint="default" w:cs="宋体"/>
          <w:sz w:val="21"/>
          <w:szCs w:val="21"/>
        </w:rPr>
      </w:pPr>
    </w:p>
    <w:tbl>
      <w:tblPr>
        <w:tblStyle w:val="9"/>
        <w:tblpPr w:leftFromText="180" w:rightFromText="180" w:vertAnchor="text" w:horzAnchor="page" w:tblpXSpec="center" w:tblpY="22"/>
        <w:tblOverlap w:val="never"/>
        <w:tblW w:w="4913" w:type="pct"/>
        <w:jc w:val="center"/>
        <w:tblLayout w:type="autofit"/>
        <w:tblCellMar>
          <w:top w:w="0" w:type="dxa"/>
          <w:left w:w="0" w:type="dxa"/>
          <w:bottom w:w="0" w:type="dxa"/>
          <w:right w:w="0" w:type="dxa"/>
        </w:tblCellMar>
      </w:tblPr>
      <w:tblGrid>
        <w:gridCol w:w="4290"/>
        <w:gridCol w:w="3559"/>
        <w:gridCol w:w="4041"/>
        <w:gridCol w:w="3165"/>
      </w:tblGrid>
      <w:tr w14:paraId="6E117C21">
        <w:tblPrEx>
          <w:tblCellMar>
            <w:top w:w="0" w:type="dxa"/>
            <w:left w:w="0" w:type="dxa"/>
            <w:bottom w:w="0" w:type="dxa"/>
            <w:right w:w="0" w:type="dxa"/>
          </w:tblCellMar>
        </w:tblPrEx>
        <w:trPr>
          <w:trHeight w:val="232" w:hRule="atLeast"/>
          <w:jc w:val="center"/>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3FA9186">
            <w:pPr>
              <w:keepNext w:val="0"/>
              <w:keepLines w:val="0"/>
              <w:pageBreakBefore w:val="0"/>
              <w:kinsoku/>
              <w:overflowPunct/>
              <w:topLinePunct w:val="0"/>
              <w:autoSpaceDN/>
              <w:bidi w:val="0"/>
              <w:spacing w:beforeAutospacing="0" w:afterAutospacing="0" w:line="6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64914934">
        <w:tblPrEx>
          <w:tblCellMar>
            <w:top w:w="0" w:type="dxa"/>
            <w:left w:w="0" w:type="dxa"/>
            <w:bottom w:w="0" w:type="dxa"/>
            <w:right w:w="0" w:type="dxa"/>
          </w:tblCellMar>
        </w:tblPrEx>
        <w:trPr>
          <w:trHeight w:val="232" w:hRule="atLeast"/>
          <w:jc w:val="center"/>
        </w:trPr>
        <w:tc>
          <w:tcPr>
            <w:tcW w:w="1425" w:type="pct"/>
            <w:tcBorders>
              <w:top w:val="nil"/>
              <w:left w:val="nil"/>
              <w:bottom w:val="nil"/>
              <w:right w:val="nil"/>
            </w:tcBorders>
            <w:shd w:val="clear" w:color="auto" w:fill="auto"/>
            <w:noWrap/>
            <w:tcMar>
              <w:top w:w="15" w:type="dxa"/>
              <w:left w:w="15" w:type="dxa"/>
              <w:right w:w="15" w:type="dxa"/>
            </w:tcMar>
            <w:vAlign w:val="bottom"/>
          </w:tcPr>
          <w:p w14:paraId="18AB20D3">
            <w:pPr>
              <w:keepNext w:val="0"/>
              <w:keepLines w:val="0"/>
              <w:pageBreakBefore w:val="0"/>
              <w:kinsoku/>
              <w:overflowPunct/>
              <w:topLinePunct w:val="0"/>
              <w:autoSpaceDN/>
              <w:bidi w:val="0"/>
              <w:spacing w:beforeAutospacing="0" w:afterAutospacing="0" w:line="600" w:lineRule="exact"/>
              <w:rPr>
                <w:rFonts w:hint="default" w:ascii="Arial" w:hAnsi="Arial" w:cs="Arial"/>
                <w:color w:val="000000"/>
                <w:sz w:val="20"/>
                <w:szCs w:val="20"/>
              </w:rPr>
            </w:pPr>
          </w:p>
        </w:tc>
        <w:tc>
          <w:tcPr>
            <w:tcW w:w="1181" w:type="pct"/>
            <w:tcBorders>
              <w:top w:val="nil"/>
              <w:left w:val="nil"/>
              <w:bottom w:val="nil"/>
              <w:right w:val="nil"/>
            </w:tcBorders>
            <w:shd w:val="clear" w:color="auto" w:fill="auto"/>
            <w:noWrap/>
            <w:tcMar>
              <w:top w:w="15" w:type="dxa"/>
              <w:left w:w="15" w:type="dxa"/>
              <w:right w:w="15" w:type="dxa"/>
            </w:tcMar>
            <w:vAlign w:val="bottom"/>
          </w:tcPr>
          <w:p w14:paraId="0CBC754C">
            <w:pPr>
              <w:keepNext w:val="0"/>
              <w:keepLines w:val="0"/>
              <w:pageBreakBefore w:val="0"/>
              <w:kinsoku/>
              <w:overflowPunct/>
              <w:topLinePunct w:val="0"/>
              <w:autoSpaceDN/>
              <w:bidi w:val="0"/>
              <w:spacing w:beforeAutospacing="0" w:afterAutospacing="0" w:line="600" w:lineRule="exact"/>
              <w:jc w:val="right"/>
              <w:rPr>
                <w:rFonts w:hint="default" w:ascii="Arial" w:hAnsi="Arial" w:cs="Arial"/>
                <w:color w:val="000000"/>
                <w:sz w:val="20"/>
                <w:szCs w:val="20"/>
              </w:rPr>
            </w:pPr>
          </w:p>
        </w:tc>
        <w:tc>
          <w:tcPr>
            <w:tcW w:w="1342" w:type="pct"/>
            <w:tcBorders>
              <w:top w:val="nil"/>
              <w:left w:val="nil"/>
              <w:bottom w:val="nil"/>
              <w:right w:val="nil"/>
            </w:tcBorders>
            <w:shd w:val="clear" w:color="auto" w:fill="auto"/>
            <w:noWrap/>
            <w:tcMar>
              <w:top w:w="15" w:type="dxa"/>
              <w:left w:w="15" w:type="dxa"/>
              <w:right w:w="15" w:type="dxa"/>
            </w:tcMar>
            <w:vAlign w:val="bottom"/>
          </w:tcPr>
          <w:p w14:paraId="7CF6A95C">
            <w:pPr>
              <w:keepNext w:val="0"/>
              <w:keepLines w:val="0"/>
              <w:pageBreakBefore w:val="0"/>
              <w:kinsoku/>
              <w:overflowPunct/>
              <w:topLinePunct w:val="0"/>
              <w:autoSpaceDN/>
              <w:bidi w:val="0"/>
              <w:spacing w:beforeAutospacing="0" w:afterAutospacing="0" w:line="600" w:lineRule="exact"/>
              <w:rPr>
                <w:rFonts w:hint="default" w:ascii="Arial" w:hAnsi="Arial" w:cs="Arial"/>
                <w:color w:val="000000"/>
                <w:sz w:val="20"/>
                <w:szCs w:val="20"/>
              </w:rPr>
            </w:pPr>
          </w:p>
        </w:tc>
        <w:tc>
          <w:tcPr>
            <w:tcW w:w="1049" w:type="pct"/>
            <w:tcBorders>
              <w:top w:val="nil"/>
              <w:left w:val="nil"/>
              <w:bottom w:val="nil"/>
              <w:right w:val="nil"/>
            </w:tcBorders>
            <w:shd w:val="clear" w:color="auto" w:fill="auto"/>
            <w:noWrap/>
            <w:tcMar>
              <w:top w:w="15" w:type="dxa"/>
              <w:left w:w="15" w:type="dxa"/>
              <w:right w:w="15" w:type="dxa"/>
            </w:tcMar>
            <w:vAlign w:val="bottom"/>
          </w:tcPr>
          <w:p w14:paraId="48AAC17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4C68CF7E">
        <w:tblPrEx>
          <w:tblCellMar>
            <w:top w:w="0" w:type="dxa"/>
            <w:left w:w="0" w:type="dxa"/>
            <w:bottom w:w="0" w:type="dxa"/>
            <w:right w:w="0" w:type="dxa"/>
          </w:tblCellMar>
        </w:tblPrEx>
        <w:trPr>
          <w:trHeight w:val="232" w:hRule="atLeast"/>
          <w:jc w:val="center"/>
        </w:trPr>
        <w:tc>
          <w:tcPr>
            <w:tcW w:w="2607" w:type="pct"/>
            <w:gridSpan w:val="2"/>
            <w:tcBorders>
              <w:top w:val="nil"/>
              <w:left w:val="nil"/>
              <w:bottom w:val="nil"/>
              <w:right w:val="nil"/>
            </w:tcBorders>
            <w:shd w:val="clear" w:color="auto" w:fill="auto"/>
            <w:noWrap/>
            <w:tcMar>
              <w:top w:w="15" w:type="dxa"/>
              <w:left w:w="15" w:type="dxa"/>
              <w:right w:w="15" w:type="dxa"/>
            </w:tcMar>
            <w:vAlign w:val="bottom"/>
          </w:tcPr>
          <w:p w14:paraId="4F9A0D2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auto"/>
              <w:rPr>
                <w:rFonts w:hint="default" w:ascii="Arial" w:hAnsi="Arial" w:cs="Arial"/>
                <w:color w:val="000000"/>
                <w:sz w:val="22"/>
                <w:szCs w:val="22"/>
              </w:rPr>
            </w:pPr>
            <w:r>
              <w:rPr>
                <w:rFonts w:cs="宋体"/>
                <w:sz w:val="20"/>
                <w:szCs w:val="20"/>
              </w:rPr>
              <w:t>单位：</w:t>
            </w:r>
            <w:r>
              <w:rPr>
                <w:sz w:val="20"/>
                <w:u w:color="auto"/>
              </w:rPr>
              <w:t>重庆市九龙坡职业教育中心</w:t>
            </w:r>
          </w:p>
        </w:tc>
        <w:tc>
          <w:tcPr>
            <w:tcW w:w="1342" w:type="pct"/>
            <w:tcBorders>
              <w:top w:val="nil"/>
              <w:left w:val="nil"/>
              <w:bottom w:val="nil"/>
              <w:right w:val="nil"/>
            </w:tcBorders>
            <w:shd w:val="clear" w:color="auto" w:fill="auto"/>
            <w:noWrap/>
            <w:tcMar>
              <w:top w:w="15" w:type="dxa"/>
              <w:left w:w="15" w:type="dxa"/>
              <w:right w:w="15" w:type="dxa"/>
            </w:tcMar>
            <w:vAlign w:val="bottom"/>
          </w:tcPr>
          <w:p w14:paraId="4D295687">
            <w:pPr>
              <w:keepNext w:val="0"/>
              <w:keepLines w:val="0"/>
              <w:pageBreakBefore w:val="0"/>
              <w:kinsoku/>
              <w:overflowPunct/>
              <w:topLinePunct w:val="0"/>
              <w:autoSpaceDN/>
              <w:bidi w:val="0"/>
              <w:spacing w:beforeAutospacing="0" w:afterAutospacing="0" w:line="600" w:lineRule="exact"/>
              <w:rPr>
                <w:rFonts w:hint="default" w:ascii="Arial" w:hAnsi="Arial" w:cs="Arial"/>
                <w:color w:val="000000"/>
                <w:sz w:val="22"/>
                <w:szCs w:val="22"/>
              </w:rPr>
            </w:pPr>
          </w:p>
        </w:tc>
        <w:tc>
          <w:tcPr>
            <w:tcW w:w="1049" w:type="pct"/>
            <w:tcBorders>
              <w:top w:val="nil"/>
              <w:left w:val="nil"/>
              <w:bottom w:val="nil"/>
              <w:right w:val="nil"/>
            </w:tcBorders>
            <w:shd w:val="clear" w:color="auto" w:fill="auto"/>
            <w:noWrap/>
            <w:tcMar>
              <w:top w:w="15" w:type="dxa"/>
              <w:left w:w="15" w:type="dxa"/>
              <w:right w:w="15" w:type="dxa"/>
            </w:tcMar>
            <w:vAlign w:val="bottom"/>
          </w:tcPr>
          <w:p w14:paraId="488AFB5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168135A">
        <w:tblPrEx>
          <w:tblCellMar>
            <w:top w:w="0" w:type="dxa"/>
            <w:left w:w="0" w:type="dxa"/>
            <w:bottom w:w="0" w:type="dxa"/>
            <w:right w:w="0" w:type="dxa"/>
          </w:tblCellMar>
        </w:tblPrEx>
        <w:trPr>
          <w:trHeight w:val="243" w:hRule="atLeast"/>
          <w:jc w:val="center"/>
        </w:trPr>
        <w:tc>
          <w:tcPr>
            <w:tcW w:w="260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77106">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收入</w:t>
            </w:r>
          </w:p>
        </w:tc>
        <w:tc>
          <w:tcPr>
            <w:tcW w:w="2392"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60B1AF3">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支出</w:t>
            </w:r>
          </w:p>
        </w:tc>
      </w:tr>
      <w:tr w14:paraId="2AE2ECE8">
        <w:tblPrEx>
          <w:tblCellMar>
            <w:top w:w="0" w:type="dxa"/>
            <w:left w:w="0" w:type="dxa"/>
            <w:bottom w:w="0" w:type="dxa"/>
            <w:right w:w="0" w:type="dxa"/>
          </w:tblCellMar>
        </w:tblPrEx>
        <w:trPr>
          <w:trHeight w:val="243" w:hRule="atLeas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FD52C">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项目</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B6B92">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决算数</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3064C">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功能分类科目</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DBA7A">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决算数</w:t>
            </w:r>
          </w:p>
        </w:tc>
      </w:tr>
      <w:tr w14:paraId="608E72DF">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CCFD7">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FFCA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10,164.94</w:t>
            </w:r>
            <w:r>
              <w:rPr>
                <w:rFonts w:ascii="Times New Roman" w:hAnsi="Times New Roman"/>
                <w:color w:val="000000"/>
                <w:sz w:val="20"/>
                <w:u w:color="auto"/>
              </w:rPr>
              <w:t xml:space="preserve"> </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A36BA">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一、一般公共服务支出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A336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9A2E288">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7AE61">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64E8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49.62</w:t>
            </w:r>
            <w:r>
              <w:rPr>
                <w:rFonts w:ascii="Times New Roman" w:hAnsi="Times New Roman"/>
                <w:color w:val="000000"/>
                <w:sz w:val="20"/>
                <w:u w:color="auto"/>
              </w:rPr>
              <w:t xml:space="preserve"> </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BBAFE">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二、外交支出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0985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2751BE">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D2505">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CC67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7687B">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三、国防支出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9CEF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EF40964">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DCF2F">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四、上级补助收入</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C95A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4A7DF">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四、公共安全支出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9001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810776">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3DFCC">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五、事业收入</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3BC1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279.38</w:t>
            </w:r>
            <w:r>
              <w:rPr>
                <w:rFonts w:ascii="Times New Roman" w:hAnsi="Times New Roman"/>
                <w:color w:val="000000"/>
                <w:sz w:val="20"/>
                <w:u w:color="auto"/>
              </w:rPr>
              <w:t xml:space="preserve"> </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ABC67">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五、教育支出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20E8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8,831.66</w:t>
            </w:r>
            <w:r>
              <w:rPr>
                <w:rFonts w:ascii="Times New Roman" w:hAnsi="Times New Roman"/>
                <w:color w:val="000000"/>
                <w:sz w:val="20"/>
                <w:u w:color="auto"/>
              </w:rPr>
              <w:t xml:space="preserve"> </w:t>
            </w:r>
          </w:p>
        </w:tc>
      </w:tr>
      <w:tr w14:paraId="4AE47A09">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4E66F">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六、经营收入</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0BFF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EA962">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六、科学技术支出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0238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F0DED7">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4386E">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6802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5CC1A">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B8C3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8E6576B">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D6715">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八、其他收入</w:t>
            </w:r>
          </w:p>
        </w:tc>
        <w:tc>
          <w:tcPr>
            <w:tcW w:w="1181" w:type="pct"/>
            <w:tcBorders>
              <w:top w:val="nil"/>
              <w:left w:val="nil"/>
              <w:bottom w:val="nil"/>
              <w:right w:val="single" w:color="000000" w:sz="4" w:space="0"/>
            </w:tcBorders>
            <w:shd w:val="clear" w:color="auto" w:fill="auto"/>
            <w:noWrap/>
            <w:tcMar>
              <w:top w:w="15" w:type="dxa"/>
              <w:left w:w="15" w:type="dxa"/>
              <w:right w:w="15" w:type="dxa"/>
            </w:tcMar>
            <w:vAlign w:val="center"/>
          </w:tcPr>
          <w:p w14:paraId="49BACB9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038A4">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3989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817.07</w:t>
            </w:r>
            <w:r>
              <w:rPr>
                <w:rFonts w:ascii="Times New Roman" w:hAnsi="Times New Roman"/>
                <w:color w:val="000000"/>
                <w:sz w:val="20"/>
                <w:u w:color="auto"/>
              </w:rPr>
              <w:t xml:space="preserve"> </w:t>
            </w:r>
          </w:p>
        </w:tc>
      </w:tr>
      <w:tr w14:paraId="6E93DB0A">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ACE72">
            <w:pPr>
              <w:keepNext w:val="0"/>
              <w:keepLines w:val="0"/>
              <w:pageBreakBefore w:val="0"/>
              <w:kinsoku/>
              <w:overflowPunct/>
              <w:topLinePunct w:val="0"/>
              <w:autoSpaceDN/>
              <w:bidi w:val="0"/>
              <w:spacing w:beforeAutospacing="0" w:afterAutospacing="0" w:line="600" w:lineRule="exact"/>
              <w:rPr>
                <w:rFonts w:hint="default" w:cs="宋体"/>
                <w:b/>
                <w:bCs/>
                <w:color w:val="000000"/>
                <w:sz w:val="20"/>
                <w:szCs w:val="20"/>
              </w:rPr>
            </w:pP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AF52D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CDDC1">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九、卫生健康支出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B21C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283.34</w:t>
            </w:r>
            <w:r>
              <w:rPr>
                <w:rFonts w:ascii="Times New Roman" w:hAnsi="Times New Roman"/>
                <w:color w:val="000000"/>
                <w:sz w:val="20"/>
                <w:u w:color="auto"/>
              </w:rPr>
              <w:t xml:space="preserve"> </w:t>
            </w:r>
          </w:p>
        </w:tc>
      </w:tr>
      <w:tr w14:paraId="5A9624E5">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4AF11">
            <w:pPr>
              <w:keepNext w:val="0"/>
              <w:keepLines w:val="0"/>
              <w:pageBreakBefore w:val="0"/>
              <w:kinsoku/>
              <w:overflowPunct/>
              <w:topLinePunct w:val="0"/>
              <w:autoSpaceDN/>
              <w:bidi w:val="0"/>
              <w:spacing w:beforeAutospacing="0" w:afterAutospacing="0" w:line="600" w:lineRule="exact"/>
              <w:rPr>
                <w:rFonts w:hint="default" w:cs="宋体"/>
                <w:b/>
                <w:bCs/>
                <w:color w:val="000000"/>
                <w:sz w:val="20"/>
                <w:szCs w:val="20"/>
              </w:rPr>
            </w:pP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5B7B3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61B44">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十、节能环保支出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B4E4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37D9159">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B9F5D">
            <w:pPr>
              <w:keepNext w:val="0"/>
              <w:keepLines w:val="0"/>
              <w:pageBreakBefore w:val="0"/>
              <w:kinsoku/>
              <w:overflowPunct/>
              <w:topLinePunct w:val="0"/>
              <w:autoSpaceDN/>
              <w:bidi w:val="0"/>
              <w:spacing w:beforeAutospacing="0" w:afterAutospacing="0" w:line="600" w:lineRule="exact"/>
              <w:rPr>
                <w:rFonts w:hint="default" w:cs="宋体"/>
                <w:b/>
                <w:bCs/>
                <w:color w:val="000000"/>
                <w:sz w:val="20"/>
                <w:szCs w:val="20"/>
              </w:rPr>
            </w:pP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8F65E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8B48F">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十一、城乡社区支出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1DF6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49.62</w:t>
            </w:r>
            <w:r>
              <w:rPr>
                <w:rFonts w:ascii="Times New Roman" w:hAnsi="Times New Roman"/>
                <w:color w:val="000000"/>
                <w:sz w:val="20"/>
                <w:u w:color="auto"/>
              </w:rPr>
              <w:t xml:space="preserve"> </w:t>
            </w:r>
          </w:p>
        </w:tc>
      </w:tr>
      <w:tr w14:paraId="36F66920">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BC5DE">
            <w:pPr>
              <w:keepNext w:val="0"/>
              <w:keepLines w:val="0"/>
              <w:pageBreakBefore w:val="0"/>
              <w:kinsoku/>
              <w:overflowPunct/>
              <w:topLinePunct w:val="0"/>
              <w:autoSpaceDN/>
              <w:bidi w:val="0"/>
              <w:spacing w:beforeAutospacing="0" w:afterAutospacing="0" w:line="600" w:lineRule="exact"/>
              <w:rPr>
                <w:rFonts w:hint="default" w:cs="宋体"/>
                <w:b/>
                <w:bCs/>
                <w:color w:val="000000"/>
                <w:sz w:val="20"/>
                <w:szCs w:val="20"/>
              </w:rPr>
            </w:pP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CA6E9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E9137">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十二、农林水支出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19B0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432BAD">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66EFB">
            <w:pPr>
              <w:keepNext w:val="0"/>
              <w:keepLines w:val="0"/>
              <w:pageBreakBefore w:val="0"/>
              <w:kinsoku/>
              <w:overflowPunct/>
              <w:topLinePunct w:val="0"/>
              <w:autoSpaceDN/>
              <w:bidi w:val="0"/>
              <w:spacing w:beforeAutospacing="0" w:afterAutospacing="0" w:line="600" w:lineRule="exact"/>
              <w:rPr>
                <w:rFonts w:hint="default" w:cs="宋体"/>
                <w:b/>
                <w:bCs/>
                <w:color w:val="000000"/>
                <w:sz w:val="20"/>
                <w:szCs w:val="20"/>
              </w:rPr>
            </w:pP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D87C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F0D46">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十三、交通运输支出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9FAE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38AB36">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E6D96">
            <w:pPr>
              <w:keepNext w:val="0"/>
              <w:keepLines w:val="0"/>
              <w:pageBreakBefore w:val="0"/>
              <w:kinsoku/>
              <w:overflowPunct/>
              <w:topLinePunct w:val="0"/>
              <w:autoSpaceDN/>
              <w:bidi w:val="0"/>
              <w:spacing w:beforeAutospacing="0" w:afterAutospacing="0" w:line="600" w:lineRule="exact"/>
              <w:rPr>
                <w:rFonts w:hint="default" w:cs="宋体"/>
                <w:b/>
                <w:bCs/>
                <w:color w:val="000000"/>
                <w:sz w:val="20"/>
                <w:szCs w:val="20"/>
              </w:rPr>
            </w:pP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E9D3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36481">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05AB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DF33A4E">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24F28">
            <w:pPr>
              <w:keepNext w:val="0"/>
              <w:keepLines w:val="0"/>
              <w:pageBreakBefore w:val="0"/>
              <w:kinsoku/>
              <w:overflowPunct/>
              <w:topLinePunct w:val="0"/>
              <w:autoSpaceDN/>
              <w:bidi w:val="0"/>
              <w:spacing w:beforeAutospacing="0" w:afterAutospacing="0" w:line="600" w:lineRule="exact"/>
              <w:rPr>
                <w:rFonts w:hint="default" w:cs="宋体"/>
                <w:b/>
                <w:bCs/>
                <w:color w:val="000000"/>
                <w:sz w:val="20"/>
                <w:szCs w:val="20"/>
              </w:rPr>
            </w:pP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9614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E57C5">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A390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B0FA2D0">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17C1A">
            <w:pPr>
              <w:keepNext w:val="0"/>
              <w:keepLines w:val="0"/>
              <w:pageBreakBefore w:val="0"/>
              <w:kinsoku/>
              <w:overflowPunct/>
              <w:topLinePunct w:val="0"/>
              <w:autoSpaceDN/>
              <w:bidi w:val="0"/>
              <w:spacing w:beforeAutospacing="0" w:afterAutospacing="0" w:line="600" w:lineRule="exact"/>
              <w:rPr>
                <w:rFonts w:hint="default" w:cs="宋体"/>
                <w:b/>
                <w:bCs/>
                <w:color w:val="000000"/>
                <w:sz w:val="20"/>
                <w:szCs w:val="20"/>
              </w:rPr>
            </w:pP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8833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2205B">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十六、金融支出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DAC3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5F77B6B">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C9018">
            <w:pPr>
              <w:keepNext w:val="0"/>
              <w:keepLines w:val="0"/>
              <w:pageBreakBefore w:val="0"/>
              <w:kinsoku/>
              <w:overflowPunct/>
              <w:topLinePunct w:val="0"/>
              <w:autoSpaceDN/>
              <w:bidi w:val="0"/>
              <w:spacing w:beforeAutospacing="0" w:afterAutospacing="0" w:line="600" w:lineRule="exact"/>
              <w:rPr>
                <w:rFonts w:hint="default" w:cs="宋体"/>
                <w:b/>
                <w:bCs/>
                <w:color w:val="000000"/>
                <w:sz w:val="20"/>
                <w:szCs w:val="20"/>
              </w:rPr>
            </w:pP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D4F1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F7FA2">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2C37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3D9877A">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9C288">
            <w:pPr>
              <w:keepNext w:val="0"/>
              <w:keepLines w:val="0"/>
              <w:pageBreakBefore w:val="0"/>
              <w:kinsoku/>
              <w:overflowPunct/>
              <w:topLinePunct w:val="0"/>
              <w:autoSpaceDN/>
              <w:bidi w:val="0"/>
              <w:spacing w:beforeAutospacing="0" w:afterAutospacing="0" w:line="600" w:lineRule="exact"/>
              <w:rPr>
                <w:rFonts w:hint="default" w:cs="宋体"/>
                <w:b/>
                <w:bCs/>
                <w:color w:val="000000"/>
                <w:sz w:val="20"/>
                <w:szCs w:val="20"/>
              </w:rPr>
            </w:pP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33E9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CD176">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358A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8A9ABF7">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2F11B">
            <w:pPr>
              <w:keepNext w:val="0"/>
              <w:keepLines w:val="0"/>
              <w:pageBreakBefore w:val="0"/>
              <w:kinsoku/>
              <w:overflowPunct/>
              <w:topLinePunct w:val="0"/>
              <w:autoSpaceDN/>
              <w:bidi w:val="0"/>
              <w:spacing w:beforeAutospacing="0" w:afterAutospacing="0" w:line="600" w:lineRule="exact"/>
              <w:rPr>
                <w:rFonts w:hint="default" w:cs="宋体"/>
                <w:b/>
                <w:bCs/>
                <w:color w:val="000000"/>
                <w:sz w:val="20"/>
                <w:szCs w:val="20"/>
              </w:rPr>
            </w:pP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F8A7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EF2F5">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十九、住房保障支出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0B6F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512.25</w:t>
            </w:r>
            <w:r>
              <w:rPr>
                <w:rFonts w:ascii="Times New Roman" w:hAnsi="Times New Roman"/>
                <w:color w:val="000000"/>
                <w:sz w:val="20"/>
                <w:u w:color="auto"/>
              </w:rPr>
              <w:t xml:space="preserve"> </w:t>
            </w:r>
          </w:p>
        </w:tc>
      </w:tr>
      <w:tr w14:paraId="2006E7A8">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3E0B0">
            <w:pPr>
              <w:keepNext w:val="0"/>
              <w:keepLines w:val="0"/>
              <w:pageBreakBefore w:val="0"/>
              <w:kinsoku/>
              <w:overflowPunct/>
              <w:topLinePunct w:val="0"/>
              <w:autoSpaceDN/>
              <w:bidi w:val="0"/>
              <w:spacing w:beforeAutospacing="0" w:afterAutospacing="0" w:line="600" w:lineRule="exact"/>
              <w:rPr>
                <w:rFonts w:hint="default" w:cs="宋体"/>
                <w:b/>
                <w:bCs/>
                <w:color w:val="000000"/>
                <w:sz w:val="20"/>
                <w:szCs w:val="20"/>
              </w:rPr>
            </w:pP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395F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5AF81">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DA21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75B8C56">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D990A">
            <w:pPr>
              <w:keepNext w:val="0"/>
              <w:keepLines w:val="0"/>
              <w:pageBreakBefore w:val="0"/>
              <w:kinsoku/>
              <w:overflowPunct/>
              <w:topLinePunct w:val="0"/>
              <w:autoSpaceDN/>
              <w:bidi w:val="0"/>
              <w:spacing w:beforeAutospacing="0" w:afterAutospacing="0" w:line="600" w:lineRule="exact"/>
              <w:rPr>
                <w:rFonts w:hint="default" w:cs="宋体"/>
                <w:b/>
                <w:bCs/>
                <w:color w:val="000000"/>
                <w:sz w:val="20"/>
                <w:szCs w:val="20"/>
              </w:rPr>
            </w:pP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6629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932EE">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9A65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C12FCEE">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61F08">
            <w:pPr>
              <w:keepNext w:val="0"/>
              <w:keepLines w:val="0"/>
              <w:pageBreakBefore w:val="0"/>
              <w:kinsoku/>
              <w:overflowPunct/>
              <w:topLinePunct w:val="0"/>
              <w:autoSpaceDN/>
              <w:bidi w:val="0"/>
              <w:spacing w:beforeAutospacing="0" w:afterAutospacing="0" w:line="600" w:lineRule="exact"/>
              <w:rPr>
                <w:rFonts w:hint="default" w:cs="宋体"/>
                <w:b/>
                <w:bCs/>
                <w:color w:val="000000"/>
                <w:sz w:val="20"/>
                <w:szCs w:val="20"/>
              </w:rPr>
            </w:pP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FC62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7ABBD">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2073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1FBD03">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8B746">
            <w:pPr>
              <w:keepNext w:val="0"/>
              <w:keepLines w:val="0"/>
              <w:pageBreakBefore w:val="0"/>
              <w:kinsoku/>
              <w:overflowPunct/>
              <w:topLinePunct w:val="0"/>
              <w:autoSpaceDN/>
              <w:bidi w:val="0"/>
              <w:spacing w:beforeAutospacing="0" w:afterAutospacing="0" w:line="600" w:lineRule="exact"/>
              <w:rPr>
                <w:rFonts w:hint="default" w:cs="宋体"/>
                <w:b/>
                <w:bCs/>
                <w:color w:val="000000"/>
                <w:sz w:val="20"/>
                <w:szCs w:val="20"/>
              </w:rPr>
            </w:pP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33D6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76FBF">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二十三、其他支出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F814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8A12726">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B8AF5">
            <w:pPr>
              <w:keepNext w:val="0"/>
              <w:keepLines w:val="0"/>
              <w:pageBreakBefore w:val="0"/>
              <w:kinsoku/>
              <w:overflowPunct/>
              <w:topLinePunct w:val="0"/>
              <w:autoSpaceDN/>
              <w:bidi w:val="0"/>
              <w:spacing w:beforeAutospacing="0" w:afterAutospacing="0" w:line="600" w:lineRule="exact"/>
              <w:jc w:val="center"/>
              <w:rPr>
                <w:rFonts w:hint="default" w:cs="宋体"/>
                <w:b/>
                <w:bCs/>
                <w:color w:val="000000"/>
                <w:sz w:val="20"/>
                <w:szCs w:val="20"/>
              </w:rPr>
            </w:pP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A7EE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3B67B">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二十四、债务还本支出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6C37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6E68741">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7C69B">
            <w:pPr>
              <w:keepNext w:val="0"/>
              <w:keepLines w:val="0"/>
              <w:pageBreakBefore w:val="0"/>
              <w:kinsoku/>
              <w:overflowPunct/>
              <w:topLinePunct w:val="0"/>
              <w:autoSpaceDN/>
              <w:bidi w:val="0"/>
              <w:spacing w:beforeAutospacing="0" w:afterAutospacing="0" w:line="600" w:lineRule="exact"/>
              <w:rPr>
                <w:rFonts w:hint="default" w:cs="宋体"/>
                <w:b/>
                <w:bCs/>
                <w:color w:val="000000"/>
                <w:sz w:val="20"/>
                <w:szCs w:val="20"/>
              </w:rPr>
            </w:pP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6D39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F10A8">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二十五、债务付息支出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88504">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F92FF6B">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30369">
            <w:pPr>
              <w:keepNext w:val="0"/>
              <w:keepLines w:val="0"/>
              <w:pageBreakBefore w:val="0"/>
              <w:kinsoku/>
              <w:overflowPunct/>
              <w:topLinePunct w:val="0"/>
              <w:autoSpaceDN/>
              <w:bidi w:val="0"/>
              <w:spacing w:beforeAutospacing="0" w:afterAutospacing="0" w:line="600" w:lineRule="exact"/>
              <w:rPr>
                <w:rFonts w:hint="default" w:cs="宋体"/>
                <w:b/>
                <w:bCs/>
                <w:color w:val="000000"/>
                <w:sz w:val="20"/>
                <w:szCs w:val="20"/>
              </w:rPr>
            </w:pP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66D6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7CBF4">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6FC3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B428392">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BD1D7">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4453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10,493.94</w:t>
            </w:r>
            <w:r>
              <w:rPr>
                <w:rFonts w:ascii="Times New Roman" w:hAnsi="Times New Roman"/>
                <w:color w:val="000000"/>
                <w:sz w:val="20"/>
                <w:u w:color="auto"/>
              </w:rPr>
              <w:t xml:space="preserve"> </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C7ECF">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EAD2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10,493.94</w:t>
            </w:r>
            <w:r>
              <w:rPr>
                <w:rFonts w:ascii="Times New Roman" w:hAnsi="Times New Roman"/>
                <w:color w:val="000000"/>
                <w:sz w:val="20"/>
                <w:u w:color="auto"/>
              </w:rPr>
              <w:t xml:space="preserve"> </w:t>
            </w:r>
          </w:p>
        </w:tc>
      </w:tr>
      <w:tr w14:paraId="01AD57D3">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6F427">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0D3F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BBD4A">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结余分配</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33FD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9B9B9D4">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C2228">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年初结转和结余</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D12B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CAC1A">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20"/>
                <w:szCs w:val="20"/>
              </w:rPr>
            </w:pPr>
            <w:r>
              <w:rPr>
                <w:rFonts w:cs="宋体"/>
                <w:b/>
                <w:bCs/>
                <w:color w:val="000000"/>
                <w:sz w:val="20"/>
                <w:szCs w:val="20"/>
              </w:rPr>
              <w:t>年末结转和结余</w:t>
            </w:r>
          </w:p>
        </w:tc>
        <w:tc>
          <w:tcPr>
            <w:tcW w:w="1049"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04B221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3AFB53">
        <w:tblPrEx>
          <w:tblCellMar>
            <w:top w:w="0" w:type="dxa"/>
            <w:left w:w="0" w:type="dxa"/>
            <w:bottom w:w="0" w:type="dxa"/>
            <w:right w:w="0" w:type="dxa"/>
          </w:tblCellMar>
        </w:tblPrEx>
        <w:trPr>
          <w:trHeight w:val="482" w:hRule="exact"/>
          <w:jc w:val="center"/>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A0000">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总计</w:t>
            </w:r>
          </w:p>
        </w:tc>
        <w:tc>
          <w:tcPr>
            <w:tcW w:w="1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C7BF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10,493.94</w:t>
            </w:r>
            <w:r>
              <w:rPr>
                <w:rFonts w:ascii="Times New Roman" w:hAnsi="Times New Roman"/>
                <w:color w:val="000000"/>
                <w:sz w:val="20"/>
                <w:u w:color="auto"/>
              </w:rPr>
              <w:t xml:space="preserve"> </w:t>
            </w:r>
          </w:p>
        </w:tc>
        <w:tc>
          <w:tcPr>
            <w:tcW w:w="134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8C32FC5">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总计</w:t>
            </w:r>
          </w:p>
        </w:tc>
        <w:tc>
          <w:tcPr>
            <w:tcW w:w="104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8A4C9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10,493.94</w:t>
            </w:r>
            <w:r>
              <w:rPr>
                <w:rFonts w:ascii="Times New Roman" w:hAnsi="Times New Roman"/>
                <w:color w:val="000000"/>
                <w:sz w:val="20"/>
                <w:u w:color="auto"/>
              </w:rPr>
              <w:t xml:space="preserve"> </w:t>
            </w:r>
          </w:p>
        </w:tc>
      </w:tr>
    </w:tbl>
    <w:p w14:paraId="10C0DDFD">
      <w:pPr>
        <w:keepNext w:val="0"/>
        <w:keepLines w:val="0"/>
        <w:pageBreakBefore w:val="0"/>
        <w:kinsoku/>
        <w:overflowPunct/>
        <w:topLinePunct w:val="0"/>
        <w:autoSpaceDN/>
        <w:bidi w:val="0"/>
        <w:spacing w:beforeAutospacing="0" w:afterAutospacing="0" w:line="60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5614B80">
      <w:pPr>
        <w:keepNext w:val="0"/>
        <w:keepLines w:val="0"/>
        <w:pageBreakBefore w:val="0"/>
        <w:kinsoku/>
        <w:overflowPunct/>
        <w:topLinePunct w:val="0"/>
        <w:autoSpaceDN/>
        <w:bidi w:val="0"/>
        <w:spacing w:beforeAutospacing="0" w:afterAutospacing="0" w:line="600" w:lineRule="exact"/>
        <w:rPr>
          <w:rFonts w:hint="default" w:cs="宋体"/>
          <w:sz w:val="21"/>
          <w:szCs w:val="21"/>
        </w:rPr>
      </w:pPr>
    </w:p>
    <w:tbl>
      <w:tblPr>
        <w:tblStyle w:val="9"/>
        <w:tblW w:w="5059" w:type="pct"/>
        <w:jc w:val="center"/>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322"/>
      </w:tblGrid>
      <w:tr w14:paraId="4F8EA9F3">
        <w:tblPrEx>
          <w:tblCellMar>
            <w:top w:w="0" w:type="dxa"/>
            <w:left w:w="0" w:type="dxa"/>
            <w:bottom w:w="0" w:type="dxa"/>
            <w:right w:w="0" w:type="dxa"/>
          </w:tblCellMar>
        </w:tblPrEx>
        <w:trPr>
          <w:trHeight w:val="641" w:hRule="atLeast"/>
          <w:jc w:val="center"/>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BF29BEE">
            <w:pPr>
              <w:keepNext w:val="0"/>
              <w:keepLines w:val="0"/>
              <w:pageBreakBefore w:val="0"/>
              <w:kinsoku/>
              <w:overflowPunct/>
              <w:topLinePunct w:val="0"/>
              <w:autoSpaceDN/>
              <w:bidi w:val="0"/>
              <w:spacing w:beforeAutospacing="0" w:afterAutospacing="0" w:line="600" w:lineRule="exact"/>
              <w:jc w:val="center"/>
              <w:textAlignment w:val="bottom"/>
              <w:rPr>
                <w:rFonts w:hint="default" w:cs="宋体"/>
                <w:b/>
                <w:color w:val="000000"/>
                <w:sz w:val="32"/>
                <w:szCs w:val="32"/>
              </w:rPr>
            </w:pPr>
            <w:r>
              <w:rPr>
                <w:rFonts w:cs="宋体"/>
                <w:b/>
                <w:color w:val="000000"/>
                <w:sz w:val="32"/>
                <w:szCs w:val="32"/>
              </w:rPr>
              <w:t>收入决算表</w:t>
            </w:r>
          </w:p>
        </w:tc>
      </w:tr>
      <w:tr w14:paraId="7AEDCA8C">
        <w:tblPrEx>
          <w:tblCellMar>
            <w:top w:w="0" w:type="dxa"/>
            <w:left w:w="0" w:type="dxa"/>
            <w:bottom w:w="0" w:type="dxa"/>
            <w:right w:w="0" w:type="dxa"/>
          </w:tblCellMar>
        </w:tblPrEx>
        <w:trPr>
          <w:trHeight w:val="328" w:hRule="atLeast"/>
          <w:jc w:val="center"/>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305F7090">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auto"/>
              <w:rPr>
                <w:rFonts w:hint="default" w:cs="宋体"/>
                <w:color w:val="000000"/>
                <w:sz w:val="20"/>
                <w:szCs w:val="20"/>
              </w:rPr>
            </w:pPr>
            <w:r>
              <w:rPr>
                <w:rFonts w:cs="宋体"/>
                <w:sz w:val="20"/>
                <w:szCs w:val="20"/>
              </w:rPr>
              <w:t>单位：</w:t>
            </w:r>
            <w:r>
              <w:rPr>
                <w:sz w:val="20"/>
                <w:u w:color="auto"/>
              </w:rPr>
              <w:t>重庆市九龙坡职业教育中心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6E58BD39">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F9231CD">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24C6DEA">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6674D4B">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3A2B0770">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C7DDC8A">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144730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38A7DB55">
        <w:tblPrEx>
          <w:tblCellMar>
            <w:top w:w="0" w:type="dxa"/>
            <w:left w:w="0" w:type="dxa"/>
            <w:bottom w:w="0" w:type="dxa"/>
            <w:right w:w="0" w:type="dxa"/>
          </w:tblCellMar>
        </w:tblPrEx>
        <w:trPr>
          <w:trHeight w:val="328" w:hRule="atLeast"/>
          <w:jc w:val="center"/>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0259AE77">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181E839E">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0235E34">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6460B1C">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54821EE">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26F6F886">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5276833">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9E4207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EAE47BB">
        <w:tblPrEx>
          <w:tblCellMar>
            <w:top w:w="0" w:type="dxa"/>
            <w:left w:w="0" w:type="dxa"/>
            <w:bottom w:w="0" w:type="dxa"/>
            <w:right w:w="0" w:type="dxa"/>
          </w:tblCellMar>
        </w:tblPrEx>
        <w:trPr>
          <w:trHeight w:val="431" w:hRule="atLeast"/>
          <w:jc w:val="center"/>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89AA84F">
            <w:pPr>
              <w:keepNext w:val="0"/>
              <w:keepLines w:val="0"/>
              <w:pageBreakBefore w:val="0"/>
              <w:kinsoku/>
              <w:overflowPunct/>
              <w:topLinePunct w:val="0"/>
              <w:autoSpaceDN/>
              <w:bidi w:val="0"/>
              <w:spacing w:beforeAutospacing="0" w:afterAutospacing="0" w:line="600" w:lineRule="exact"/>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BDFF6">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AEA10">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75F2E">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3CEFE7">
            <w:pPr>
              <w:keepNext w:val="0"/>
              <w:keepLines w:val="0"/>
              <w:pageBreakBefore w:val="0"/>
              <w:kinsoku/>
              <w:overflowPunct/>
              <w:topLinePunct w:val="0"/>
              <w:autoSpaceDN/>
              <w:bidi w:val="0"/>
              <w:spacing w:beforeAutospacing="0" w:afterAutospacing="0" w:line="600" w:lineRule="exact"/>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EF51E">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E3DE8">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CFE34">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其他收入</w:t>
            </w:r>
          </w:p>
        </w:tc>
      </w:tr>
      <w:tr w14:paraId="0B41EA6D">
        <w:tblPrEx>
          <w:tblCellMar>
            <w:top w:w="0" w:type="dxa"/>
            <w:left w:w="0" w:type="dxa"/>
            <w:bottom w:w="0" w:type="dxa"/>
            <w:right w:w="0" w:type="dxa"/>
          </w:tblCellMar>
        </w:tblPrEx>
        <w:trPr>
          <w:trHeight w:val="334" w:hRule="atLeast"/>
          <w:jc w:val="center"/>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862E3">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E032B4A">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0F397">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DA5E0">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CCFC2">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164B3">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D4989">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0F02F">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3C6BC">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212A6">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r>
      <w:tr w14:paraId="05E15B10">
        <w:tblPrEx>
          <w:tblCellMar>
            <w:top w:w="0" w:type="dxa"/>
            <w:left w:w="0" w:type="dxa"/>
            <w:bottom w:w="0" w:type="dxa"/>
            <w:right w:w="0" w:type="dxa"/>
          </w:tblCellMar>
        </w:tblPrEx>
        <w:trPr>
          <w:trHeight w:val="334" w:hRule="atLeast"/>
          <w:jc w:val="center"/>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DD9B5">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7DA06A8">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3C16D">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05A13">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4B7A9">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513EF">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F6BBF">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6AC61">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9CFCB">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ACE26">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r>
      <w:tr w14:paraId="310186A6">
        <w:tblPrEx>
          <w:tblCellMar>
            <w:top w:w="0" w:type="dxa"/>
            <w:left w:w="0" w:type="dxa"/>
            <w:bottom w:w="0" w:type="dxa"/>
            <w:right w:w="0" w:type="dxa"/>
          </w:tblCellMar>
        </w:tblPrEx>
        <w:trPr>
          <w:trHeight w:val="334" w:hRule="atLeast"/>
          <w:jc w:val="center"/>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4A29F">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F060B45">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57E2C">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8F1C1">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C9A63">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B4C79">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AB464">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40149">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BB047">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73285">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r>
      <w:tr w14:paraId="5CAC883C">
        <w:tblPrEx>
          <w:tblCellMar>
            <w:top w:w="0" w:type="dxa"/>
            <w:left w:w="0" w:type="dxa"/>
            <w:bottom w:w="0" w:type="dxa"/>
            <w:right w:w="0" w:type="dxa"/>
          </w:tblCellMar>
        </w:tblPrEx>
        <w:trPr>
          <w:trHeight w:val="334" w:hRule="atLeast"/>
          <w:jc w:val="center"/>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BC6E6">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46B25E3">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21757">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9A029">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77E7A">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D72C6">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08A1A">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5B9DC">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BB928">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0D5E2">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r>
      <w:tr w14:paraId="4F6B81BE">
        <w:tblPrEx>
          <w:tblCellMar>
            <w:top w:w="0" w:type="dxa"/>
            <w:left w:w="0" w:type="dxa"/>
            <w:bottom w:w="0" w:type="dxa"/>
            <w:right w:w="0" w:type="dxa"/>
          </w:tblCellMar>
        </w:tblPrEx>
        <w:trPr>
          <w:trHeight w:val="454" w:hRule="exact"/>
          <w:jc w:val="center"/>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D1BF5">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A78A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10,493.94</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CEF2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10,214.56</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5821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B9A7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279.38</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FCA3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279.38</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4692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DAD7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3663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49EEE97">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23DEC">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3A400">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D2DF4">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8,831.66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8ECC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8,552.28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28A7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1719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279.38</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7027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279.38</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AC00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AA26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A217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B2A39C">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41860">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742A9">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4BD4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03DE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6A3D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5F5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02B8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6CB8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ED74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8EF1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681F03">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17BAB">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2050204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B2707">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高中教育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BCC7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D36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CFF4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F795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C05B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3625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5AB2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6055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D563CA">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7A820">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20503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87DD2">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职业教育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F351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7,926.56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404C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7,647.18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3ED2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28BC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279.38</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B2A5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279.38</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E42B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2552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3AE0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7CA919">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9F8DF">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2050302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CC9E1">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中等职业教育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5760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7,926.56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BC10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7,647.18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86FE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692F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279.38</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C30E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279.38</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5CD0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18CC4">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3289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8407F5">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D305A">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20509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4231B">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A951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903.64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6976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903.64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8964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A3BA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AC4D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DD62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BB3F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835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BB1B2E">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28807">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2050905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852AE">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中等职业学校教学设施</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F307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903.64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0EC0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903.64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E8B0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7381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ADFB4">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3013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FF21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B7A0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0E0431">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EE15D">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05C05">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488B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817.07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00B6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817.07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1407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3584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A56F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1BA3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F2034">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FF8C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3ECD98">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02093">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D02DF">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5ADE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808.32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6946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808.32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8E62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B9F2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2259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CFBE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168E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DFEA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EDF078">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2062B">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2080502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60301">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事业单位离退休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8752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8A96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45C4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49CC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0659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05B1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E45A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7FBA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4C32D8">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B6881">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CE60A">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BB16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529.08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E2ED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529.08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F054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52EB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9C1E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67294">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4003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5FBA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CEB4A9">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0F102">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3AE4E">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DF3D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264.68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FDE3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264.68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5FB4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E9E9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E916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CC1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CA0F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FC54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FF517F">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E16A2">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3B730">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75EF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343D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A086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5B55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78DC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B187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9EFB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A725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F90B70">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FCE99">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2080801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59F4C">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死亡抚恤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A98B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767C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AAE5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5DA2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9748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7E41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5EE8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C988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1FAB80">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B8E8D">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0F20B">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8B39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283.34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D9FF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283.34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A635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B6B6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1B5F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D90B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87CF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F44C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4D8E5E">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D3020">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9D922">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F485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283.34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22EC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283.34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42F94">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50EE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1847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ED99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BEF3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FFE7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EBD99F">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322EF">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FB18E">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50F6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226.21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6448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226.21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C919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B877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58B3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6EE9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5F3D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F857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F990BE">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C3FF3">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55E80">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DAF3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57.13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B6EB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57.13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0C68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D969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2637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702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1045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6506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AE1A78">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BF5F9">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49A6C">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5C32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2CAD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B913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E59F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BDC7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589C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D65B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502E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B6779A">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71D85">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21208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72B12">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2EE2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409F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BA2F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B206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DDA2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DCE3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2BD9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8330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239F37">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E8B04">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2120803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8A44E">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城市建设支出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F9D1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E70D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742B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8D18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D630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1B61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62AC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30B5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C66662">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E22DC">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151A9">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985D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512.25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F5FB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512.25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3FE9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6ECE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17C5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FEB4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3DB2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B09C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C973FC">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D46AA">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74EA0">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74E7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512.25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7105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512.25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D45F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BA4A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95E5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CA0C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F5C4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C534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E458C6">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193D4">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99F1C">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D0A5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442.88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82D4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442.88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8605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CD19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0DC4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20FB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5EA5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35A5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9003E7">
        <w:tblPrEx>
          <w:tblCellMar>
            <w:top w:w="0" w:type="dxa"/>
            <w:left w:w="0" w:type="dxa"/>
            <w:bottom w:w="0" w:type="dxa"/>
            <w:right w:w="0" w:type="dxa"/>
          </w:tblCellMar>
        </w:tblPrEx>
        <w:trPr>
          <w:trHeight w:val="454" w:hRule="exac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F5BA5">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2210203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48174">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7149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A4C6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BC28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804F4">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2CB7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A533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6C4B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EA8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332BB89">
      <w:pPr>
        <w:keepNext w:val="0"/>
        <w:keepLines w:val="0"/>
        <w:pageBreakBefore w:val="0"/>
        <w:kinsoku/>
        <w:overflowPunct/>
        <w:topLinePunct w:val="0"/>
        <w:autoSpaceDN/>
        <w:bidi w:val="0"/>
        <w:spacing w:beforeAutospacing="0" w:afterAutospacing="0" w:line="600" w:lineRule="exact"/>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D6BD846">
      <w:pPr>
        <w:keepNext w:val="0"/>
        <w:keepLines w:val="0"/>
        <w:pageBreakBefore w:val="0"/>
        <w:kinsoku/>
        <w:overflowPunct/>
        <w:topLinePunct w:val="0"/>
        <w:autoSpaceDN/>
        <w:bidi w:val="0"/>
        <w:spacing w:beforeAutospacing="0" w:afterAutospacing="0" w:line="600" w:lineRule="exact"/>
        <w:rPr>
          <w:rFonts w:hint="default" w:cs="宋体"/>
          <w:sz w:val="20"/>
          <w:szCs w:val="20"/>
        </w:rPr>
      </w:pPr>
      <w:r>
        <w:rPr>
          <w:rFonts w:cs="宋体"/>
          <w:sz w:val="20"/>
          <w:szCs w:val="20"/>
        </w:rPr>
        <w:br w:type="page"/>
      </w:r>
    </w:p>
    <w:tbl>
      <w:tblPr>
        <w:tblStyle w:val="9"/>
        <w:tblW w:w="5000" w:type="pct"/>
        <w:jc w:val="center"/>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14:paraId="6D2535B2">
        <w:tblPrEx>
          <w:tblCellMar>
            <w:top w:w="0" w:type="dxa"/>
            <w:left w:w="0" w:type="dxa"/>
            <w:bottom w:w="0" w:type="dxa"/>
            <w:right w:w="0" w:type="dxa"/>
          </w:tblCellMar>
        </w:tblPrEx>
        <w:trPr>
          <w:trHeight w:val="654" w:hRule="atLeast"/>
          <w:jc w:val="center"/>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5B79EEE">
            <w:pPr>
              <w:keepNext w:val="0"/>
              <w:keepLines w:val="0"/>
              <w:pageBreakBefore w:val="0"/>
              <w:kinsoku/>
              <w:overflowPunct/>
              <w:topLinePunct w:val="0"/>
              <w:autoSpaceDN/>
              <w:bidi w:val="0"/>
              <w:spacing w:beforeAutospacing="0" w:afterAutospacing="0" w:line="600" w:lineRule="exact"/>
              <w:jc w:val="center"/>
              <w:textAlignment w:val="bottom"/>
              <w:rPr>
                <w:rFonts w:hint="default" w:cs="宋体"/>
                <w:b/>
                <w:color w:val="000000"/>
                <w:sz w:val="32"/>
                <w:szCs w:val="32"/>
              </w:rPr>
            </w:pPr>
            <w:r>
              <w:rPr>
                <w:rFonts w:cs="宋体"/>
                <w:b/>
                <w:color w:val="000000"/>
                <w:sz w:val="32"/>
                <w:szCs w:val="32"/>
              </w:rPr>
              <w:t>支出决算表</w:t>
            </w:r>
          </w:p>
        </w:tc>
      </w:tr>
      <w:tr w14:paraId="3D0EA487">
        <w:tblPrEx>
          <w:tblCellMar>
            <w:top w:w="0" w:type="dxa"/>
            <w:left w:w="0" w:type="dxa"/>
            <w:bottom w:w="0" w:type="dxa"/>
            <w:right w:w="0" w:type="dxa"/>
          </w:tblCellMar>
        </w:tblPrEx>
        <w:trPr>
          <w:trHeight w:val="502" w:hRule="atLeast"/>
          <w:jc w:val="center"/>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02284539">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重庆市九龙坡职业教育中心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68A6257A">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27A235E">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A50F2FC">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E97F7CA">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D33FEA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586B6B8C">
        <w:tblPrEx>
          <w:tblCellMar>
            <w:top w:w="0" w:type="dxa"/>
            <w:left w:w="0" w:type="dxa"/>
            <w:bottom w:w="0" w:type="dxa"/>
            <w:right w:w="0" w:type="dxa"/>
          </w:tblCellMar>
        </w:tblPrEx>
        <w:trPr>
          <w:trHeight w:val="440" w:hRule="atLeast"/>
          <w:jc w:val="center"/>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46A94E5C">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9C685CA">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BB41B76">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986F387">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EA929D4">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710A31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9D7BBBD">
        <w:tblPrEx>
          <w:tblCellMar>
            <w:top w:w="0" w:type="dxa"/>
            <w:left w:w="0" w:type="dxa"/>
            <w:bottom w:w="0" w:type="dxa"/>
            <w:right w:w="0" w:type="dxa"/>
          </w:tblCellMar>
        </w:tblPrEx>
        <w:trPr>
          <w:trHeight w:val="362" w:hRule="atLeast"/>
          <w:jc w:val="center"/>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7E54AD">
            <w:pPr>
              <w:keepNext w:val="0"/>
              <w:keepLines w:val="0"/>
              <w:pageBreakBefore w:val="0"/>
              <w:kinsoku/>
              <w:overflowPunct/>
              <w:topLinePunct w:val="0"/>
              <w:autoSpaceDN/>
              <w:bidi w:val="0"/>
              <w:spacing w:beforeAutospacing="0" w:afterAutospacing="0" w:line="600" w:lineRule="exact"/>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BDA62">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F3319">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3B9BF">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6BD02">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4F1FD">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03CCA">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对附属单位补助支出</w:t>
            </w:r>
          </w:p>
        </w:tc>
      </w:tr>
      <w:tr w14:paraId="7D9C47D0">
        <w:tblPrEx>
          <w:tblCellMar>
            <w:top w:w="0" w:type="dxa"/>
            <w:left w:w="0" w:type="dxa"/>
            <w:bottom w:w="0" w:type="dxa"/>
            <w:right w:w="0" w:type="dxa"/>
          </w:tblCellMar>
        </w:tblPrEx>
        <w:trPr>
          <w:trHeight w:val="338" w:hRule="atLeast"/>
          <w:jc w:val="center"/>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248E4">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9568749">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83F9A">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3C188">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4B236">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4891F">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2E965">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E5B08">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r>
      <w:tr w14:paraId="06B6AF8B">
        <w:tblPrEx>
          <w:tblCellMar>
            <w:top w:w="0" w:type="dxa"/>
            <w:left w:w="0" w:type="dxa"/>
            <w:bottom w:w="0" w:type="dxa"/>
            <w:right w:w="0" w:type="dxa"/>
          </w:tblCellMar>
        </w:tblPrEx>
        <w:trPr>
          <w:trHeight w:val="338" w:hRule="atLeast"/>
          <w:jc w:val="center"/>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9B76A">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045AB27">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C18CB">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1E884">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EDB09">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67103">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12B91">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B6BE8">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r>
      <w:tr w14:paraId="317F9387">
        <w:tblPrEx>
          <w:tblCellMar>
            <w:top w:w="0" w:type="dxa"/>
            <w:left w:w="0" w:type="dxa"/>
            <w:bottom w:w="0" w:type="dxa"/>
            <w:right w:w="0" w:type="dxa"/>
          </w:tblCellMar>
        </w:tblPrEx>
        <w:trPr>
          <w:trHeight w:val="338" w:hRule="atLeast"/>
          <w:jc w:val="center"/>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C696A">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83AD1C6">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FECD6">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7B713">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EFD2F">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64E68">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0624D">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CDC25">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r>
      <w:tr w14:paraId="38207217">
        <w:tblPrEx>
          <w:tblCellMar>
            <w:top w:w="0" w:type="dxa"/>
            <w:left w:w="0" w:type="dxa"/>
            <w:bottom w:w="0" w:type="dxa"/>
            <w:right w:w="0" w:type="dxa"/>
          </w:tblCellMar>
        </w:tblPrEx>
        <w:trPr>
          <w:trHeight w:val="312" w:hRule="atLeast"/>
          <w:jc w:val="center"/>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E9D92">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DF482EC">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6CA55">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51FC4">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AA82D">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D01B3">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86F6D">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8FC10">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r>
      <w:tr w14:paraId="5E664502">
        <w:tblPrEx>
          <w:tblCellMar>
            <w:top w:w="0" w:type="dxa"/>
            <w:left w:w="0" w:type="dxa"/>
            <w:bottom w:w="0" w:type="dxa"/>
            <w:right w:w="0" w:type="dxa"/>
          </w:tblCellMar>
        </w:tblPrEx>
        <w:trPr>
          <w:trHeight w:val="454" w:hRule="exact"/>
          <w:jc w:val="center"/>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90CB2">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48DC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10,493.94</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17D1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6,797.50</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C3A5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3,696.44</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01B6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E1D3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B635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8247E79">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1D257">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2E16F">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EB93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8,831.66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9170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5,184.83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CD5C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3,646.82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3BEA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D6E0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2707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22D329">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858F6">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D7112">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ECF4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C1A5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A45D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AF23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2DD8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15CA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D67BF7">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05B06">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2050204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80CC6">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高中教育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338A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7B19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97A3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2B184">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0962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566B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C37E37">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A2429">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20503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57D11">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职业教育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378A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7,926.56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899C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5,184.83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0DAB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2,741.73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B386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CCB9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1741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DFF6DF">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5A9C0">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2050302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882AD">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中等职业教育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4DC8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7,926.56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332D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5,184.83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396F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2,741.73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6948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FD96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9D684">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81F02C">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708B8">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20509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14F35">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EC1E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903.64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5A73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F075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903.64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964F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BDB0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B296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9968CE">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93D99">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2050905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BF025">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中等职业学校教学设施</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31BA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903.64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F0BF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656C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903.64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DDE8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D82E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903C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6C9CD5">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AF159">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7F935">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C807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817.07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CC8A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817.07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E16D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8C49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C427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263D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4553CF">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7B4C3">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FBE0B">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F0C7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808.32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DAB5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808.32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BBA1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A4FD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148D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788B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717A22">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63BD1">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2080502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37137">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事业单位离退休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A0C1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E9AB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7ABC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E1EE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AC11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A31C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F09D36">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B1239">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CAC0D">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18CF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529.08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574D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529.08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564A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7879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4CEE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C507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8CD972">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B595E">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AC89D">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5C9E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264.68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8598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264.68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C128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D605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B4A6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0868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9F33DC">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41750">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79F3C">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B16E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0DA44">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E012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FC12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5572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A505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C156BF">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7B3B9">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C337A">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D174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23BD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CDB1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4983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FCAD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5C63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A37980">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76AF0">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0D5A7">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1B5F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283.34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5EC6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283.34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3B27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CCFA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C49B4">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B4F3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24CCF2">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33A88">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BD8B7">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91DB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283.34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32DF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283.34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521E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EDFF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30EA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DCCC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3C1742">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AE067">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50F5F">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1B68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226.21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407A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226.21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AAE3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4859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6DB6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2FA2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DC4BE3">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08E2C">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138B2">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ABFF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57.13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E4AA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57.13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65C2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9753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AFF4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67FA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0216C6">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5ADD8">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89803">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9D4F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E4DE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A171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4A3A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B36E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55C0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691244">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6A1CB">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21208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445BE">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6A22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1950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006A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8C27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AD0B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EC95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1450EA">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2AA42">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2120803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205DF">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城市建设支出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9C8D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F2FD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D83D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59B5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FE9B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3910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7064FB">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8F072">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8F04A">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C5B6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512.25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6FE3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512.25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2214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2C3A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2BD0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9081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9BAE1A">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ACF03">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CB3FC">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D09F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512.25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6593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512.25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885C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D262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3EF3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10A2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8F5157">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D862F">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2846A">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E275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442.88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DD50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442.88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7B14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175C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350E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5DEA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002CCA">
        <w:tblPrEx>
          <w:tblCellMar>
            <w:top w:w="0" w:type="dxa"/>
            <w:left w:w="0" w:type="dxa"/>
            <w:bottom w:w="0" w:type="dxa"/>
            <w:right w:w="0" w:type="dxa"/>
          </w:tblCellMar>
        </w:tblPrEx>
        <w:trPr>
          <w:trHeight w:val="454" w:hRule="exac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25D6D">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968DF">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79DF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1B9B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4EF74">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5E6A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A8DC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583E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57B7E86">
      <w:pPr>
        <w:keepNext w:val="0"/>
        <w:keepLines w:val="0"/>
        <w:pageBreakBefore w:val="0"/>
        <w:kinsoku/>
        <w:overflowPunct/>
        <w:topLinePunct w:val="0"/>
        <w:autoSpaceDN/>
        <w:bidi w:val="0"/>
        <w:spacing w:beforeAutospacing="0" w:afterAutospacing="0" w:line="600" w:lineRule="exact"/>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D3AC3D2">
      <w:pPr>
        <w:keepNext w:val="0"/>
        <w:keepLines w:val="0"/>
        <w:pageBreakBefore w:val="0"/>
        <w:kinsoku/>
        <w:overflowPunct/>
        <w:topLinePunct w:val="0"/>
        <w:autoSpaceDN/>
        <w:bidi w:val="0"/>
        <w:spacing w:beforeAutospacing="0" w:afterAutospacing="0" w:line="600" w:lineRule="exact"/>
        <w:rPr>
          <w:rFonts w:hint="default" w:cs="宋体"/>
          <w:sz w:val="21"/>
          <w:szCs w:val="21"/>
        </w:rPr>
      </w:pPr>
      <w:r>
        <w:rPr>
          <w:rFonts w:cs="宋体"/>
          <w:sz w:val="21"/>
          <w:szCs w:val="21"/>
        </w:rPr>
        <w:br w:type="page"/>
      </w:r>
    </w:p>
    <w:p w14:paraId="3D3DA094">
      <w:pPr>
        <w:keepNext w:val="0"/>
        <w:keepLines w:val="0"/>
        <w:pageBreakBefore w:val="0"/>
        <w:kinsoku/>
        <w:overflowPunct/>
        <w:topLinePunct w:val="0"/>
        <w:autoSpaceDN/>
        <w:bidi w:val="0"/>
        <w:spacing w:beforeAutospacing="0" w:afterAutospacing="0" w:line="600" w:lineRule="exact"/>
        <w:rPr>
          <w:rFonts w:hint="default" w:cs="宋体"/>
          <w:sz w:val="21"/>
          <w:szCs w:val="21"/>
        </w:rPr>
      </w:pPr>
    </w:p>
    <w:tbl>
      <w:tblPr>
        <w:tblStyle w:val="9"/>
        <w:tblW w:w="4789" w:type="pct"/>
        <w:jc w:val="center"/>
        <w:tblLayout w:type="autofit"/>
        <w:tblCellMar>
          <w:top w:w="0" w:type="dxa"/>
          <w:left w:w="0" w:type="dxa"/>
          <w:bottom w:w="0" w:type="dxa"/>
          <w:right w:w="0" w:type="dxa"/>
        </w:tblCellMar>
      </w:tblPr>
      <w:tblGrid>
        <w:gridCol w:w="2967"/>
        <w:gridCol w:w="1520"/>
        <w:gridCol w:w="3179"/>
        <w:gridCol w:w="1693"/>
        <w:gridCol w:w="1693"/>
        <w:gridCol w:w="1694"/>
        <w:gridCol w:w="1929"/>
      </w:tblGrid>
      <w:tr w14:paraId="678B94C6">
        <w:tblPrEx>
          <w:tblCellMar>
            <w:top w:w="0" w:type="dxa"/>
            <w:left w:w="0" w:type="dxa"/>
            <w:bottom w:w="0" w:type="dxa"/>
            <w:right w:w="0" w:type="dxa"/>
          </w:tblCellMar>
        </w:tblPrEx>
        <w:trPr>
          <w:trHeight w:val="90" w:hRule="atLeast"/>
          <w:jc w:val="center"/>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1DEA9CC">
            <w:pPr>
              <w:keepNext w:val="0"/>
              <w:keepLines w:val="0"/>
              <w:pageBreakBefore w:val="0"/>
              <w:kinsoku/>
              <w:overflowPunct/>
              <w:topLinePunct w:val="0"/>
              <w:autoSpaceDN/>
              <w:bidi w:val="0"/>
              <w:spacing w:beforeAutospacing="0" w:afterAutospacing="0" w:line="6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740AE77A">
        <w:tblPrEx>
          <w:tblCellMar>
            <w:top w:w="0" w:type="dxa"/>
            <w:left w:w="0" w:type="dxa"/>
            <w:bottom w:w="0" w:type="dxa"/>
            <w:right w:w="0" w:type="dxa"/>
          </w:tblCellMar>
        </w:tblPrEx>
        <w:trPr>
          <w:trHeight w:val="402" w:hRule="atLeast"/>
          <w:jc w:val="center"/>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4FC013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重庆市九龙坡职业教育中心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410DBB43">
            <w:pPr>
              <w:keepNext w:val="0"/>
              <w:keepLines w:val="0"/>
              <w:pageBreakBefore w:val="0"/>
              <w:kinsoku/>
              <w:overflowPunct/>
              <w:topLinePunct w:val="0"/>
              <w:autoSpaceDN/>
              <w:bidi w:val="0"/>
              <w:spacing w:beforeAutospacing="0" w:afterAutospacing="0" w:line="6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4644FB2">
            <w:pPr>
              <w:keepNext w:val="0"/>
              <w:keepLines w:val="0"/>
              <w:pageBreakBefore w:val="0"/>
              <w:kinsoku/>
              <w:overflowPunct/>
              <w:topLinePunct w:val="0"/>
              <w:autoSpaceDN/>
              <w:bidi w:val="0"/>
              <w:spacing w:beforeAutospacing="0" w:afterAutospacing="0" w:line="6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837C636">
            <w:pPr>
              <w:keepNext w:val="0"/>
              <w:keepLines w:val="0"/>
              <w:pageBreakBefore w:val="0"/>
              <w:kinsoku/>
              <w:overflowPunct/>
              <w:topLinePunct w:val="0"/>
              <w:autoSpaceDN/>
              <w:bidi w:val="0"/>
              <w:spacing w:beforeAutospacing="0" w:afterAutospacing="0" w:line="6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CA9D02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484A9FD9">
        <w:tblPrEx>
          <w:tblCellMar>
            <w:top w:w="0" w:type="dxa"/>
            <w:left w:w="0" w:type="dxa"/>
            <w:bottom w:w="0" w:type="dxa"/>
            <w:right w:w="0" w:type="dxa"/>
          </w:tblCellMar>
        </w:tblPrEx>
        <w:trPr>
          <w:trHeight w:val="90" w:hRule="atLeast"/>
          <w:jc w:val="center"/>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DF2DAD7">
            <w:pPr>
              <w:keepNext w:val="0"/>
              <w:keepLines w:val="0"/>
              <w:pageBreakBefore w:val="0"/>
              <w:kinsoku/>
              <w:overflowPunct/>
              <w:topLinePunct w:val="0"/>
              <w:autoSpaceDN/>
              <w:bidi w:val="0"/>
              <w:spacing w:beforeAutospacing="0" w:afterAutospacing="0" w:line="6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6BD6DBF">
            <w:pPr>
              <w:keepNext w:val="0"/>
              <w:keepLines w:val="0"/>
              <w:pageBreakBefore w:val="0"/>
              <w:kinsoku/>
              <w:overflowPunct/>
              <w:topLinePunct w:val="0"/>
              <w:autoSpaceDN/>
              <w:bidi w:val="0"/>
              <w:spacing w:beforeAutospacing="0" w:afterAutospacing="0" w:line="6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EC63BB9">
            <w:pPr>
              <w:keepNext w:val="0"/>
              <w:keepLines w:val="0"/>
              <w:pageBreakBefore w:val="0"/>
              <w:kinsoku/>
              <w:overflowPunct/>
              <w:topLinePunct w:val="0"/>
              <w:autoSpaceDN/>
              <w:bidi w:val="0"/>
              <w:spacing w:beforeAutospacing="0" w:afterAutospacing="0" w:line="6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064BD5F">
            <w:pPr>
              <w:keepNext w:val="0"/>
              <w:keepLines w:val="0"/>
              <w:pageBreakBefore w:val="0"/>
              <w:kinsoku/>
              <w:overflowPunct/>
              <w:topLinePunct w:val="0"/>
              <w:autoSpaceDN/>
              <w:bidi w:val="0"/>
              <w:spacing w:beforeAutospacing="0" w:afterAutospacing="0" w:line="6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BC0CE1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BC4EC9A">
        <w:tblPrEx>
          <w:tblCellMar>
            <w:top w:w="0" w:type="dxa"/>
            <w:left w:w="0" w:type="dxa"/>
            <w:bottom w:w="0" w:type="dxa"/>
            <w:right w:w="0" w:type="dxa"/>
          </w:tblCellMar>
        </w:tblPrEx>
        <w:trPr>
          <w:trHeight w:val="90" w:hRule="atLeast"/>
          <w:jc w:val="center"/>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2D4F5">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05779">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支     出</w:t>
            </w:r>
          </w:p>
        </w:tc>
      </w:tr>
      <w:tr w14:paraId="746AB46F">
        <w:tblPrEx>
          <w:tblCellMar>
            <w:top w:w="0" w:type="dxa"/>
            <w:left w:w="0" w:type="dxa"/>
            <w:bottom w:w="0" w:type="dxa"/>
            <w:right w:w="0" w:type="dxa"/>
          </w:tblCellMar>
        </w:tblPrEx>
        <w:trPr>
          <w:trHeight w:val="90" w:hRule="atLeast"/>
          <w:jc w:val="center"/>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E0AE1">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ED535">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5E8AE4">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C4A0B">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决算数</w:t>
            </w:r>
          </w:p>
        </w:tc>
      </w:tr>
      <w:tr w14:paraId="77776378">
        <w:tblPrEx>
          <w:tblCellMar>
            <w:top w:w="0" w:type="dxa"/>
            <w:left w:w="0" w:type="dxa"/>
            <w:bottom w:w="0" w:type="dxa"/>
            <w:right w:w="0" w:type="dxa"/>
          </w:tblCellMar>
        </w:tblPrEx>
        <w:trPr>
          <w:trHeight w:val="9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D2C75">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A9C0E">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6E4917">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6686C">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4D806">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CC68E">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7838A">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651A3394">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14629">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DA6D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10,164.94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02DB2">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9EA6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37FC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A5034">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697E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A554B4">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CCF0C">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FB6A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20A42">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0F04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D464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370F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A108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520D55">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0EBF7">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2711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1EC82">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FB2A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C15D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41E9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35B8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93BFCB">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7AC49">
            <w:pPr>
              <w:keepNext w:val="0"/>
              <w:keepLines w:val="0"/>
              <w:pageBreakBefore w:val="0"/>
              <w:kinsoku/>
              <w:overflowPunct/>
              <w:topLinePunct w:val="0"/>
              <w:autoSpaceDN/>
              <w:bidi w:val="0"/>
              <w:spacing w:beforeAutospacing="0" w:afterAutospacing="0"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C2DC59">
            <w:pPr>
              <w:keepNext w:val="0"/>
              <w:keepLines w:val="0"/>
              <w:pageBreakBefore w:val="0"/>
              <w:kinsoku/>
              <w:overflowPunct/>
              <w:topLinePunct w:val="0"/>
              <w:autoSpaceDN/>
              <w:bidi w:val="0"/>
              <w:spacing w:beforeAutospacing="0" w:afterAutospacing="0" w:line="6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E9F69">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B4CE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B555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2A9C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AD26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851053">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0F647">
            <w:pPr>
              <w:keepNext w:val="0"/>
              <w:keepLines w:val="0"/>
              <w:pageBreakBefore w:val="0"/>
              <w:kinsoku/>
              <w:overflowPunct/>
              <w:topLinePunct w:val="0"/>
              <w:autoSpaceDN/>
              <w:bidi w:val="0"/>
              <w:spacing w:beforeAutospacing="0" w:afterAutospacing="0"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8BFE10">
            <w:pPr>
              <w:keepNext w:val="0"/>
              <w:keepLines w:val="0"/>
              <w:pageBreakBefore w:val="0"/>
              <w:kinsoku/>
              <w:overflowPunct/>
              <w:topLinePunct w:val="0"/>
              <w:autoSpaceDN/>
              <w:bidi w:val="0"/>
              <w:spacing w:beforeAutospacing="0" w:afterAutospacing="0" w:line="6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76384">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14F9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8,552.28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057B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8,552.28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4359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DFD1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B6438D">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BA1D1">
            <w:pPr>
              <w:keepNext w:val="0"/>
              <w:keepLines w:val="0"/>
              <w:pageBreakBefore w:val="0"/>
              <w:kinsoku/>
              <w:overflowPunct/>
              <w:topLinePunct w:val="0"/>
              <w:autoSpaceDN/>
              <w:bidi w:val="0"/>
              <w:spacing w:beforeAutospacing="0" w:afterAutospacing="0"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9E0991">
            <w:pPr>
              <w:keepNext w:val="0"/>
              <w:keepLines w:val="0"/>
              <w:pageBreakBefore w:val="0"/>
              <w:kinsoku/>
              <w:overflowPunct/>
              <w:topLinePunct w:val="0"/>
              <w:autoSpaceDN/>
              <w:bidi w:val="0"/>
              <w:spacing w:beforeAutospacing="0" w:afterAutospacing="0" w:line="6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5D4F0">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37C0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D98E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A923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9560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0DAF00">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89F93">
            <w:pPr>
              <w:keepNext w:val="0"/>
              <w:keepLines w:val="0"/>
              <w:pageBreakBefore w:val="0"/>
              <w:kinsoku/>
              <w:overflowPunct/>
              <w:topLinePunct w:val="0"/>
              <w:autoSpaceDN/>
              <w:bidi w:val="0"/>
              <w:spacing w:beforeAutospacing="0" w:afterAutospacing="0"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015824">
            <w:pPr>
              <w:keepNext w:val="0"/>
              <w:keepLines w:val="0"/>
              <w:pageBreakBefore w:val="0"/>
              <w:kinsoku/>
              <w:overflowPunct/>
              <w:topLinePunct w:val="0"/>
              <w:autoSpaceDN/>
              <w:bidi w:val="0"/>
              <w:spacing w:beforeAutospacing="0" w:afterAutospacing="0" w:line="6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A9476">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63C7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5A63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9BBF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6C52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514F01">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A507B">
            <w:pPr>
              <w:keepNext w:val="0"/>
              <w:keepLines w:val="0"/>
              <w:pageBreakBefore w:val="0"/>
              <w:kinsoku/>
              <w:overflowPunct/>
              <w:topLinePunct w:val="0"/>
              <w:autoSpaceDN/>
              <w:bidi w:val="0"/>
              <w:spacing w:beforeAutospacing="0" w:afterAutospacing="0"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63CAA9">
            <w:pPr>
              <w:keepNext w:val="0"/>
              <w:keepLines w:val="0"/>
              <w:pageBreakBefore w:val="0"/>
              <w:kinsoku/>
              <w:overflowPunct/>
              <w:topLinePunct w:val="0"/>
              <w:autoSpaceDN/>
              <w:bidi w:val="0"/>
              <w:spacing w:beforeAutospacing="0" w:afterAutospacing="0" w:line="6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EDA96">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4160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817.07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35EF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817.07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A864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EE16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A5D41D">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98708">
            <w:pPr>
              <w:keepNext w:val="0"/>
              <w:keepLines w:val="0"/>
              <w:pageBreakBefore w:val="0"/>
              <w:kinsoku/>
              <w:overflowPunct/>
              <w:topLinePunct w:val="0"/>
              <w:autoSpaceDN/>
              <w:bidi w:val="0"/>
              <w:spacing w:beforeAutospacing="0" w:afterAutospacing="0"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207513">
            <w:pPr>
              <w:keepNext w:val="0"/>
              <w:keepLines w:val="0"/>
              <w:pageBreakBefore w:val="0"/>
              <w:kinsoku/>
              <w:overflowPunct/>
              <w:topLinePunct w:val="0"/>
              <w:autoSpaceDN/>
              <w:bidi w:val="0"/>
              <w:spacing w:beforeAutospacing="0" w:afterAutospacing="0" w:line="6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ACF7B">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1957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262A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9845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039B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5F0872">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33990">
            <w:pPr>
              <w:keepNext w:val="0"/>
              <w:keepLines w:val="0"/>
              <w:pageBreakBefore w:val="0"/>
              <w:kinsoku/>
              <w:overflowPunct/>
              <w:topLinePunct w:val="0"/>
              <w:autoSpaceDN/>
              <w:bidi w:val="0"/>
              <w:spacing w:beforeAutospacing="0" w:afterAutospacing="0"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60D27">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5EC9A">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A495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92A3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CBBE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46AD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8EB281">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B3C7A">
            <w:pPr>
              <w:keepNext w:val="0"/>
              <w:keepLines w:val="0"/>
              <w:pageBreakBefore w:val="0"/>
              <w:kinsoku/>
              <w:overflowPunct/>
              <w:topLinePunct w:val="0"/>
              <w:autoSpaceDN/>
              <w:bidi w:val="0"/>
              <w:spacing w:beforeAutospacing="0" w:afterAutospacing="0"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0DD24">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27D34">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6285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B095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0A40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49.62</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98B1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E59810">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FEE3F">
            <w:pPr>
              <w:keepNext w:val="0"/>
              <w:keepLines w:val="0"/>
              <w:pageBreakBefore w:val="0"/>
              <w:kinsoku/>
              <w:overflowPunct/>
              <w:topLinePunct w:val="0"/>
              <w:autoSpaceDN/>
              <w:bidi w:val="0"/>
              <w:spacing w:beforeAutospacing="0" w:afterAutospacing="0"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00307">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A4760">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26F6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725A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2D464">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250F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BF14E4">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1074C">
            <w:pPr>
              <w:keepNext w:val="0"/>
              <w:keepLines w:val="0"/>
              <w:pageBreakBefore w:val="0"/>
              <w:kinsoku/>
              <w:overflowPunct/>
              <w:topLinePunct w:val="0"/>
              <w:autoSpaceDN/>
              <w:bidi w:val="0"/>
              <w:spacing w:beforeAutospacing="0" w:afterAutospacing="0"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BD22B">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A0A72">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2414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DEAB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35CC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BB6C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0420C1">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39F3C">
            <w:pPr>
              <w:keepNext w:val="0"/>
              <w:keepLines w:val="0"/>
              <w:pageBreakBefore w:val="0"/>
              <w:kinsoku/>
              <w:overflowPunct/>
              <w:topLinePunct w:val="0"/>
              <w:autoSpaceDN/>
              <w:bidi w:val="0"/>
              <w:spacing w:beforeAutospacing="0" w:afterAutospacing="0"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CE640">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261B8">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D992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6779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2BEA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E8E7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25067C">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09C99">
            <w:pPr>
              <w:keepNext w:val="0"/>
              <w:keepLines w:val="0"/>
              <w:pageBreakBefore w:val="0"/>
              <w:kinsoku/>
              <w:overflowPunct/>
              <w:topLinePunct w:val="0"/>
              <w:autoSpaceDN/>
              <w:bidi w:val="0"/>
              <w:spacing w:beforeAutospacing="0" w:afterAutospacing="0"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ED144">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EA918">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359F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07D5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8C19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BB74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BF5FC0">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7FD52">
            <w:pPr>
              <w:keepNext w:val="0"/>
              <w:keepLines w:val="0"/>
              <w:pageBreakBefore w:val="0"/>
              <w:kinsoku/>
              <w:overflowPunct/>
              <w:topLinePunct w:val="0"/>
              <w:autoSpaceDN/>
              <w:bidi w:val="0"/>
              <w:spacing w:beforeAutospacing="0" w:afterAutospacing="0"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CEB20">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A1C40">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D85B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1E1B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C4CE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DFAA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58F3DF">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930E5">
            <w:pPr>
              <w:keepNext w:val="0"/>
              <w:keepLines w:val="0"/>
              <w:pageBreakBefore w:val="0"/>
              <w:kinsoku/>
              <w:overflowPunct/>
              <w:topLinePunct w:val="0"/>
              <w:autoSpaceDN/>
              <w:bidi w:val="0"/>
              <w:spacing w:beforeAutospacing="0" w:afterAutospacing="0"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9A62C">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6F685">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4EAD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4BAF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ADAF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6FD2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C8D5F6">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0881F">
            <w:pPr>
              <w:keepNext w:val="0"/>
              <w:keepLines w:val="0"/>
              <w:pageBreakBefore w:val="0"/>
              <w:kinsoku/>
              <w:overflowPunct/>
              <w:topLinePunct w:val="0"/>
              <w:autoSpaceDN/>
              <w:bidi w:val="0"/>
              <w:spacing w:beforeAutospacing="0" w:afterAutospacing="0"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C49BD">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57AF0">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4326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8DB34">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3C46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97F7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F09392">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B5359">
            <w:pPr>
              <w:keepNext w:val="0"/>
              <w:keepLines w:val="0"/>
              <w:pageBreakBefore w:val="0"/>
              <w:kinsoku/>
              <w:overflowPunct/>
              <w:topLinePunct w:val="0"/>
              <w:autoSpaceDN/>
              <w:bidi w:val="0"/>
              <w:spacing w:beforeAutospacing="0" w:afterAutospacing="0"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21325">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2AE0F">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9ABF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512.25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CA41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512.25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F473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BA7D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3FBC0A">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17410">
            <w:pPr>
              <w:keepNext w:val="0"/>
              <w:keepLines w:val="0"/>
              <w:pageBreakBefore w:val="0"/>
              <w:kinsoku/>
              <w:overflowPunct/>
              <w:topLinePunct w:val="0"/>
              <w:autoSpaceDN/>
              <w:bidi w:val="0"/>
              <w:spacing w:beforeAutospacing="0" w:afterAutospacing="0"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3D4B7">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F0A9B">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69BB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1E68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02C6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F6EA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A1C5C0">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223E5">
            <w:pPr>
              <w:keepNext w:val="0"/>
              <w:keepLines w:val="0"/>
              <w:pageBreakBefore w:val="0"/>
              <w:kinsoku/>
              <w:overflowPunct/>
              <w:topLinePunct w:val="0"/>
              <w:autoSpaceDN/>
              <w:bidi w:val="0"/>
              <w:spacing w:beforeAutospacing="0" w:afterAutospacing="0"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D223F">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F5281">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8ECD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17E3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C4A2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5ACA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79D343">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CAB08">
            <w:pPr>
              <w:keepNext w:val="0"/>
              <w:keepLines w:val="0"/>
              <w:pageBreakBefore w:val="0"/>
              <w:kinsoku/>
              <w:overflowPunct/>
              <w:topLinePunct w:val="0"/>
              <w:autoSpaceDN/>
              <w:bidi w:val="0"/>
              <w:spacing w:beforeAutospacing="0" w:afterAutospacing="0"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94B8D">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18CBB">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07B14">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D3CB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F0FC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F7A0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C1D20F">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C7A5F">
            <w:pPr>
              <w:keepNext w:val="0"/>
              <w:keepLines w:val="0"/>
              <w:pageBreakBefore w:val="0"/>
              <w:kinsoku/>
              <w:overflowPunct/>
              <w:topLinePunct w:val="0"/>
              <w:autoSpaceDN/>
              <w:bidi w:val="0"/>
              <w:spacing w:beforeAutospacing="0" w:afterAutospacing="0"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B6777">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B0DC7">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2E5F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D4CF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377B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C916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D5AE03">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DBAEA8">
            <w:pPr>
              <w:keepNext w:val="0"/>
              <w:keepLines w:val="0"/>
              <w:pageBreakBefore w:val="0"/>
              <w:kinsoku/>
              <w:overflowPunct/>
              <w:topLinePunct w:val="0"/>
              <w:autoSpaceDN/>
              <w:bidi w:val="0"/>
              <w:spacing w:beforeAutospacing="0" w:afterAutospacing="0"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122B2">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F282B">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3B8C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BB5D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F418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143E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0AC8DB">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945AE7">
            <w:pPr>
              <w:keepNext w:val="0"/>
              <w:keepLines w:val="0"/>
              <w:pageBreakBefore w:val="0"/>
              <w:kinsoku/>
              <w:overflowPunct/>
              <w:topLinePunct w:val="0"/>
              <w:autoSpaceDN/>
              <w:bidi w:val="0"/>
              <w:spacing w:beforeAutospacing="0" w:afterAutospacing="0"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0CE1E">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0CCC5">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9CEE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0CB0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4E89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B0A6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17CAF0">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F8A544">
            <w:pPr>
              <w:keepNext w:val="0"/>
              <w:keepLines w:val="0"/>
              <w:pageBreakBefore w:val="0"/>
              <w:kinsoku/>
              <w:overflowPunct/>
              <w:topLinePunct w:val="0"/>
              <w:autoSpaceDN/>
              <w:bidi w:val="0"/>
              <w:spacing w:beforeAutospacing="0" w:afterAutospacing="0"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2A6B9">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5520D">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8649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2524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24A1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C71D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8FBC8A">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96063">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2D4B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10,214.56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5835F">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B8A1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10,214.56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AA6F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10,164.94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42534">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49.62</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C3D0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D303DA">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0DEAD">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A7FA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30EC7">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1650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0E78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B5BD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B7A3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62129F">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BCA65">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18AD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6D8D5E">
            <w:pPr>
              <w:keepNext w:val="0"/>
              <w:keepLines w:val="0"/>
              <w:pageBreakBefore w:val="0"/>
              <w:kinsoku/>
              <w:overflowPunct/>
              <w:topLinePunct w:val="0"/>
              <w:autoSpaceDN/>
              <w:bidi w:val="0"/>
              <w:spacing w:beforeAutospacing="0" w:afterAutospacing="0" w:line="6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5A315E">
            <w:pPr>
              <w:keepNext w:val="0"/>
              <w:keepLines w:val="0"/>
              <w:pageBreakBefore w:val="0"/>
              <w:kinsoku/>
              <w:overflowPunct/>
              <w:topLinePunct w:val="0"/>
              <w:autoSpaceDN/>
              <w:bidi w:val="0"/>
              <w:spacing w:beforeAutospacing="0" w:afterAutospacing="0" w:line="6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AAC75F">
            <w:pPr>
              <w:keepNext w:val="0"/>
              <w:keepLines w:val="0"/>
              <w:pageBreakBefore w:val="0"/>
              <w:kinsoku/>
              <w:overflowPunct/>
              <w:topLinePunct w:val="0"/>
              <w:autoSpaceDN/>
              <w:bidi w:val="0"/>
              <w:spacing w:beforeAutospacing="0" w:afterAutospacing="0" w:line="6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7F912D">
            <w:pPr>
              <w:keepNext w:val="0"/>
              <w:keepLines w:val="0"/>
              <w:pageBreakBefore w:val="0"/>
              <w:kinsoku/>
              <w:overflowPunct/>
              <w:topLinePunct w:val="0"/>
              <w:autoSpaceDN/>
              <w:bidi w:val="0"/>
              <w:spacing w:beforeAutospacing="0" w:afterAutospacing="0" w:line="6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568D90">
            <w:pPr>
              <w:keepNext w:val="0"/>
              <w:keepLines w:val="0"/>
              <w:pageBreakBefore w:val="0"/>
              <w:kinsoku/>
              <w:overflowPunct/>
              <w:topLinePunct w:val="0"/>
              <w:autoSpaceDN/>
              <w:bidi w:val="0"/>
              <w:spacing w:beforeAutospacing="0" w:afterAutospacing="0" w:line="600" w:lineRule="exact"/>
              <w:rPr>
                <w:rFonts w:hint="default" w:ascii="Times New Roman" w:hAnsi="Times New Roman"/>
                <w:color w:val="000000"/>
                <w:sz w:val="18"/>
                <w:szCs w:val="18"/>
              </w:rPr>
            </w:pPr>
          </w:p>
        </w:tc>
      </w:tr>
      <w:tr w14:paraId="1EB7D925">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29AA0">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A71C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F1915">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C7B5A">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C003D">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08210">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53887">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r>
      <w:tr w14:paraId="39EFBC9A">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E2636">
            <w:pPr>
              <w:keepNext w:val="0"/>
              <w:keepLines w:val="0"/>
              <w:pageBreakBefore w:val="0"/>
              <w:kinsoku/>
              <w:overflowPunct/>
              <w:topLinePunct w:val="0"/>
              <w:autoSpaceDN/>
              <w:bidi w:val="0"/>
              <w:spacing w:beforeAutospacing="0" w:afterAutospacing="0" w:line="6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AD33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50DF8">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16C1D">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BF636">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3C0F5">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1D82C">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color w:val="000000"/>
                <w:sz w:val="18"/>
                <w:szCs w:val="18"/>
              </w:rPr>
            </w:pPr>
          </w:p>
        </w:tc>
      </w:tr>
      <w:tr w14:paraId="1E6A686A">
        <w:tblPrEx>
          <w:tblCellMar>
            <w:top w:w="0" w:type="dxa"/>
            <w:left w:w="0" w:type="dxa"/>
            <w:bottom w:w="0" w:type="dxa"/>
            <w:right w:w="0" w:type="dxa"/>
          </w:tblCellMar>
        </w:tblPrEx>
        <w:trPr>
          <w:trHeight w:val="454" w:hRule="exac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C8D1B">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D412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10,214.56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C397E">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DD57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10,214.56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BEFD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10,164.94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50F6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49.62</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90AE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74276FDA">
      <w:pPr>
        <w:keepNext w:val="0"/>
        <w:keepLines w:val="0"/>
        <w:pageBreakBefore w:val="0"/>
        <w:kinsoku/>
        <w:overflowPunct/>
        <w:topLinePunct w:val="0"/>
        <w:autoSpaceDN/>
        <w:bidi w:val="0"/>
        <w:spacing w:beforeAutospacing="0" w:afterAutospacing="0" w:line="600" w:lineRule="exact"/>
        <w:ind w:left="600" w:hanging="600" w:hangingChars="300"/>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2.本套报表金额单位转换时可能存在尾数误差。</w:t>
      </w:r>
    </w:p>
    <w:tbl>
      <w:tblPr>
        <w:tblStyle w:val="9"/>
        <w:tblW w:w="5000" w:type="pct"/>
        <w:jc w:val="center"/>
        <w:tblLayout w:type="fixed"/>
        <w:tblCellMar>
          <w:top w:w="0" w:type="dxa"/>
          <w:left w:w="0" w:type="dxa"/>
          <w:bottom w:w="0" w:type="dxa"/>
          <w:right w:w="0" w:type="dxa"/>
        </w:tblCellMar>
      </w:tblPr>
      <w:tblGrid>
        <w:gridCol w:w="1305"/>
        <w:gridCol w:w="4073"/>
        <w:gridCol w:w="3307"/>
        <w:gridCol w:w="3296"/>
        <w:gridCol w:w="3341"/>
      </w:tblGrid>
      <w:tr w14:paraId="7E17CB93">
        <w:tblPrEx>
          <w:tblCellMar>
            <w:top w:w="0" w:type="dxa"/>
            <w:left w:w="0" w:type="dxa"/>
            <w:bottom w:w="0" w:type="dxa"/>
            <w:right w:w="0" w:type="dxa"/>
          </w:tblCellMar>
        </w:tblPrEx>
        <w:trPr>
          <w:trHeight w:val="510" w:hRule="atLeast"/>
          <w:jc w:val="center"/>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7F3B878">
            <w:pPr>
              <w:keepNext w:val="0"/>
              <w:keepLines w:val="0"/>
              <w:pageBreakBefore w:val="0"/>
              <w:kinsoku/>
              <w:overflowPunct/>
              <w:topLinePunct w:val="0"/>
              <w:autoSpaceDN/>
              <w:bidi w:val="0"/>
              <w:spacing w:beforeAutospacing="0" w:afterAutospacing="0" w:line="600" w:lineRule="exact"/>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835FD4D">
        <w:tblPrEx>
          <w:tblCellMar>
            <w:top w:w="0" w:type="dxa"/>
            <w:left w:w="0" w:type="dxa"/>
            <w:bottom w:w="0" w:type="dxa"/>
            <w:right w:w="0" w:type="dxa"/>
          </w:tblCellMar>
        </w:tblPrEx>
        <w:trPr>
          <w:trHeight w:val="255" w:hRule="atLeast"/>
          <w:jc w:val="center"/>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34DD707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重庆市九龙坡职业教育中心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54A74474">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548FF8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59DDE419">
        <w:tblPrEx>
          <w:tblCellMar>
            <w:top w:w="0" w:type="dxa"/>
            <w:left w:w="0" w:type="dxa"/>
            <w:bottom w:w="0" w:type="dxa"/>
            <w:right w:w="0" w:type="dxa"/>
          </w:tblCellMar>
        </w:tblPrEx>
        <w:trPr>
          <w:trHeight w:val="285" w:hRule="atLeast"/>
          <w:jc w:val="center"/>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4799F3DE">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431F53AC">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30AC1E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3A0A833">
        <w:tblPrEx>
          <w:tblCellMar>
            <w:top w:w="0" w:type="dxa"/>
            <w:left w:w="0" w:type="dxa"/>
            <w:bottom w:w="0" w:type="dxa"/>
            <w:right w:w="0" w:type="dxa"/>
          </w:tblCellMar>
        </w:tblPrEx>
        <w:trPr>
          <w:trHeight w:val="308" w:hRule="atLeast"/>
          <w:jc w:val="center"/>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98D43">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237139">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本年支出</w:t>
            </w:r>
          </w:p>
        </w:tc>
      </w:tr>
      <w:tr w14:paraId="2DC62CD5">
        <w:tblPrEx>
          <w:tblCellMar>
            <w:top w:w="0" w:type="dxa"/>
            <w:left w:w="0" w:type="dxa"/>
            <w:bottom w:w="0" w:type="dxa"/>
            <w:right w:w="0" w:type="dxa"/>
          </w:tblCellMar>
        </w:tblPrEx>
        <w:trPr>
          <w:trHeight w:val="326" w:hRule="atLeast"/>
          <w:jc w:val="center"/>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FDBA5">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379998">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62126">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5A6590">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C1F820">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项目支出</w:t>
            </w:r>
          </w:p>
        </w:tc>
      </w:tr>
      <w:tr w14:paraId="46ACB105">
        <w:tblPrEx>
          <w:tblCellMar>
            <w:top w:w="0" w:type="dxa"/>
            <w:left w:w="0" w:type="dxa"/>
            <w:bottom w:w="0" w:type="dxa"/>
            <w:right w:w="0" w:type="dxa"/>
          </w:tblCellMar>
        </w:tblPrEx>
        <w:trPr>
          <w:trHeight w:val="326" w:hRule="atLeast"/>
          <w:jc w:val="center"/>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30621">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653B1D">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A3CCD5">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FAE847">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A21441">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r>
      <w:tr w14:paraId="33ED3C57">
        <w:tblPrEx>
          <w:tblCellMar>
            <w:top w:w="0" w:type="dxa"/>
            <w:left w:w="0" w:type="dxa"/>
            <w:bottom w:w="0" w:type="dxa"/>
            <w:right w:w="0" w:type="dxa"/>
          </w:tblCellMar>
        </w:tblPrEx>
        <w:trPr>
          <w:trHeight w:val="615" w:hRule="atLeast"/>
          <w:jc w:val="center"/>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393E5">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663A63">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74BB44">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9E98F7">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828F85">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r>
      <w:tr w14:paraId="276B2485">
        <w:tblPrEx>
          <w:tblCellMar>
            <w:top w:w="0" w:type="dxa"/>
            <w:left w:w="0" w:type="dxa"/>
            <w:bottom w:w="0" w:type="dxa"/>
            <w:right w:w="0" w:type="dxa"/>
          </w:tblCellMar>
        </w:tblPrEx>
        <w:trPr>
          <w:trHeight w:val="308" w:hRule="atLeast"/>
          <w:jc w:val="center"/>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0594E">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AFBF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10,164.94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6EEF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6,797.50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B6D1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3,367.44</w:t>
            </w:r>
            <w:r>
              <w:rPr>
                <w:rFonts w:ascii="Times New Roman" w:hAnsi="Times New Roman"/>
                <w:b/>
                <w:color w:val="000000"/>
                <w:sz w:val="20"/>
                <w:u w:color="auto"/>
              </w:rPr>
              <w:t xml:space="preserve"> </w:t>
            </w:r>
          </w:p>
        </w:tc>
      </w:tr>
      <w:tr w14:paraId="4B93C294">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3F8DB">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155B7">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13DB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8,552.28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E2CD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5,184.83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68FE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3,367.44</w:t>
            </w:r>
            <w:r>
              <w:rPr>
                <w:rFonts w:ascii="Times New Roman" w:hAnsi="Times New Roman"/>
                <w:b/>
                <w:color w:val="000000"/>
                <w:sz w:val="20"/>
                <w:u w:color="auto"/>
              </w:rPr>
              <w:t xml:space="preserve"> </w:t>
            </w:r>
          </w:p>
        </w:tc>
      </w:tr>
      <w:tr w14:paraId="0F2042AB">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B8427">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E95E9">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472C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A45A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7730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w:t>
            </w:r>
            <w:r>
              <w:rPr>
                <w:rFonts w:ascii="Times New Roman" w:hAnsi="Times New Roman"/>
                <w:b/>
                <w:color w:val="000000"/>
                <w:sz w:val="20"/>
                <w:u w:color="auto"/>
              </w:rPr>
              <w:t xml:space="preserve"> </w:t>
            </w:r>
          </w:p>
        </w:tc>
      </w:tr>
      <w:tr w14:paraId="5B943CDB">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2BE88">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2050204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09AD3">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高中教育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E5D2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DF68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AA16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w:t>
            </w:r>
            <w:r>
              <w:rPr>
                <w:rFonts w:ascii="Times New Roman" w:hAnsi="Times New Roman"/>
                <w:color w:val="000000"/>
                <w:sz w:val="20"/>
                <w:u w:color="auto"/>
              </w:rPr>
              <w:t xml:space="preserve"> </w:t>
            </w:r>
          </w:p>
        </w:tc>
      </w:tr>
      <w:tr w14:paraId="6864DAE9">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D8E46">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20503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6E315">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职业教育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221F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7,647.18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C4FF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5,184.83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A2E8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2,462.35</w:t>
            </w:r>
            <w:r>
              <w:rPr>
                <w:rFonts w:ascii="Times New Roman" w:hAnsi="Times New Roman"/>
                <w:b/>
                <w:color w:val="000000"/>
                <w:sz w:val="20"/>
                <w:u w:color="auto"/>
              </w:rPr>
              <w:t xml:space="preserve"> </w:t>
            </w:r>
          </w:p>
        </w:tc>
      </w:tr>
      <w:tr w14:paraId="4D4D530F">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74A42">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2050302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73D9E">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中等职业教育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E044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7,647.18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A0B8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5,184.83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8ECF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2,462.35</w:t>
            </w:r>
            <w:r>
              <w:rPr>
                <w:rFonts w:ascii="Times New Roman" w:hAnsi="Times New Roman"/>
                <w:color w:val="000000"/>
                <w:sz w:val="20"/>
                <w:u w:color="auto"/>
              </w:rPr>
              <w:t xml:space="preserve"> </w:t>
            </w:r>
          </w:p>
        </w:tc>
      </w:tr>
      <w:tr w14:paraId="57F6265F">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FD6A5">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20509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800D0">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教育费附加安排的支出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ACB0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903.64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0D64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5038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903.64</w:t>
            </w:r>
            <w:r>
              <w:rPr>
                <w:rFonts w:ascii="Times New Roman" w:hAnsi="Times New Roman"/>
                <w:b/>
                <w:color w:val="000000"/>
                <w:sz w:val="20"/>
                <w:u w:color="auto"/>
              </w:rPr>
              <w:t xml:space="preserve"> </w:t>
            </w:r>
          </w:p>
        </w:tc>
      </w:tr>
      <w:tr w14:paraId="49A3090C">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2E81E">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2050905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63548">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中等职业学校教学设施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BEA6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903.64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6E44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CDBA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903.64</w:t>
            </w:r>
            <w:r>
              <w:rPr>
                <w:rFonts w:ascii="Times New Roman" w:hAnsi="Times New Roman"/>
                <w:color w:val="000000"/>
                <w:sz w:val="20"/>
                <w:u w:color="auto"/>
              </w:rPr>
              <w:t xml:space="preserve"> </w:t>
            </w:r>
          </w:p>
        </w:tc>
      </w:tr>
      <w:tr w14:paraId="674B8788">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C2F2F">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DC676">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008E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817.07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D77F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817.07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236D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E56681">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D6537">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28B10">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49B5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808.32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6EDB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808.32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0EF9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5F43F6">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57A7E">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5A46D">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852B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9622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C206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99AB6A">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BA645">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994AD">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6F54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529.08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69FD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529.08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65A4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07D84E">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23DFA">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C06D6">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1A2C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264.68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B004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264.68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C6C9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F959E1">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99A67">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25488">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EA57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56A9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AF47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27E517">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37AD9">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8236C">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F72D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EEAD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F0D7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D1B045">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82B56">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730BF">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7B8B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283.34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D217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283.34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C89C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1AD7AB">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4F606">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8FECA">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F5C7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283.34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DCF5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283.34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F07D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15AC60">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E40A5">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78E7D">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547C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226.21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A495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226.21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CBF9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00D371">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CBD01">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ACEEA">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DCD7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57.13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CA72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57.13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8D80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7750EC">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02003">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DC231">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3688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512.25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D889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512.25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3E77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47E1FD">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E8838">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3ED17">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9EBE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512.25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D2D2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512.25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72A1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E4C4A16">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62551">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69F80">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C5BB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442.88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129C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442.88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0A07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22EF78">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13513">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7D042">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4E35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69.37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89E9E">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69.37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73D2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BB7220A">
      <w:pPr>
        <w:keepNext w:val="0"/>
        <w:keepLines w:val="0"/>
        <w:pageBreakBefore w:val="0"/>
        <w:kinsoku/>
        <w:overflowPunct/>
        <w:topLinePunct w:val="0"/>
        <w:autoSpaceDN/>
        <w:bidi w:val="0"/>
        <w:spacing w:beforeAutospacing="0" w:afterAutospacing="0" w:line="600" w:lineRule="exact"/>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DB21903">
      <w:pPr>
        <w:keepNext w:val="0"/>
        <w:keepLines w:val="0"/>
        <w:pageBreakBefore w:val="0"/>
        <w:kinsoku/>
        <w:overflowPunct/>
        <w:topLinePunct w:val="0"/>
        <w:autoSpaceDN/>
        <w:bidi w:val="0"/>
        <w:spacing w:beforeAutospacing="0" w:afterAutospacing="0" w:line="600" w:lineRule="exact"/>
        <w:ind w:firstLine="630" w:firstLineChars="300"/>
        <w:rPr>
          <w:rFonts w:hint="default" w:cs="宋体"/>
          <w:sz w:val="21"/>
          <w:szCs w:val="21"/>
        </w:rPr>
      </w:pPr>
      <w:r>
        <w:rPr>
          <w:rFonts w:cs="宋体"/>
          <w:sz w:val="21"/>
          <w:szCs w:val="21"/>
        </w:rPr>
        <w:br w:type="page"/>
      </w:r>
    </w:p>
    <w:tbl>
      <w:tblPr>
        <w:tblStyle w:val="9"/>
        <w:tblW w:w="4993" w:type="pct"/>
        <w:jc w:val="center"/>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14:paraId="46040043">
        <w:tblPrEx>
          <w:tblCellMar>
            <w:top w:w="0" w:type="dxa"/>
            <w:left w:w="0" w:type="dxa"/>
            <w:bottom w:w="0" w:type="dxa"/>
            <w:right w:w="0" w:type="dxa"/>
          </w:tblCellMar>
        </w:tblPrEx>
        <w:trPr>
          <w:trHeight w:val="90" w:hRule="atLeast"/>
          <w:jc w:val="center"/>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53A0FC7">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8AB98B6">
        <w:tblPrEx>
          <w:tblCellMar>
            <w:top w:w="0" w:type="dxa"/>
            <w:left w:w="0" w:type="dxa"/>
            <w:bottom w:w="0" w:type="dxa"/>
            <w:right w:w="0" w:type="dxa"/>
          </w:tblCellMar>
        </w:tblPrEx>
        <w:trPr>
          <w:trHeight w:val="334" w:hRule="atLeast"/>
          <w:jc w:val="center"/>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71A67748">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重庆市九龙坡职业教育中心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6812A276">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D64576C">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0107A30">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1DAF87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1F85ED96">
        <w:tblPrEx>
          <w:tblCellMar>
            <w:top w:w="0" w:type="dxa"/>
            <w:left w:w="0" w:type="dxa"/>
            <w:bottom w:w="0" w:type="dxa"/>
            <w:right w:w="0" w:type="dxa"/>
          </w:tblCellMar>
        </w:tblPrEx>
        <w:trPr>
          <w:trHeight w:val="520" w:hRule="atLeast"/>
          <w:jc w:val="center"/>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9A70A2E">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5A7CACD">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66D9E84">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8A81D3E">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90A723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38BFDC0">
        <w:tblPrEx>
          <w:tblCellMar>
            <w:top w:w="0" w:type="dxa"/>
            <w:left w:w="0" w:type="dxa"/>
            <w:bottom w:w="0" w:type="dxa"/>
            <w:right w:w="0" w:type="dxa"/>
          </w:tblCellMar>
        </w:tblPrEx>
        <w:trPr>
          <w:trHeight w:val="90" w:hRule="atLeast"/>
          <w:jc w:val="center"/>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1F4F">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F0F69FB">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公用经费</w:t>
            </w:r>
          </w:p>
        </w:tc>
      </w:tr>
      <w:tr w14:paraId="3C5B42B9">
        <w:tblPrEx>
          <w:tblCellMar>
            <w:top w:w="0" w:type="dxa"/>
            <w:left w:w="0" w:type="dxa"/>
            <w:bottom w:w="0" w:type="dxa"/>
            <w:right w:w="0" w:type="dxa"/>
          </w:tblCellMar>
        </w:tblPrEx>
        <w:trPr>
          <w:trHeight w:val="312" w:hRule="atLeast"/>
          <w:jc w:val="center"/>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017E8">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DB9369">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A73BD6">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B0E8A">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1ADBAE">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7EDB3C">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EC538">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183E4A">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2A5147">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金额</w:t>
            </w:r>
          </w:p>
        </w:tc>
      </w:tr>
      <w:tr w14:paraId="7A4315BA">
        <w:tblPrEx>
          <w:tblCellMar>
            <w:top w:w="0" w:type="dxa"/>
            <w:left w:w="0" w:type="dxa"/>
            <w:bottom w:w="0" w:type="dxa"/>
            <w:right w:w="0" w:type="dxa"/>
          </w:tblCellMar>
        </w:tblPrEx>
        <w:trPr>
          <w:trHeight w:val="312" w:hRule="atLeast"/>
          <w:jc w:val="center"/>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ED2CA">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796779">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0A9E6C">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8E104">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7D15F5">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6FDDDF">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6E9AB">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283EBC">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95CBFB">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cs="宋体"/>
                <w:b/>
                <w:color w:val="000000"/>
                <w:sz w:val="18"/>
                <w:szCs w:val="18"/>
              </w:rPr>
            </w:pPr>
          </w:p>
        </w:tc>
      </w:tr>
      <w:tr w14:paraId="5654B153">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07878">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FE99F">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8BDA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5,269.62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CAD4E">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B5A6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EC24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1,101.93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BAAB6">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1837F">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D52F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20.40</w:t>
            </w:r>
            <w:r>
              <w:rPr>
                <w:rFonts w:ascii="Times New Roman" w:hAnsi="Times New Roman"/>
                <w:color w:val="000000"/>
                <w:sz w:val="18"/>
                <w:u w:color="auto"/>
              </w:rPr>
              <w:t xml:space="preserve"> </w:t>
            </w:r>
          </w:p>
        </w:tc>
      </w:tr>
      <w:tr w14:paraId="1C5BA286">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9DF8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8E64D">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740F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1,349.16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C5AD9">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98089">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5916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7DAA0">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AE648">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9E07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A85654">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8BD7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28839">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8982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F8DE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CFAA8">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2C11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7694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33DF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3B91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20.40</w:t>
            </w:r>
            <w:r>
              <w:rPr>
                <w:rFonts w:ascii="Times New Roman" w:hAnsi="Times New Roman"/>
                <w:color w:val="000000"/>
                <w:sz w:val="18"/>
                <w:u w:color="auto"/>
              </w:rPr>
              <w:t xml:space="preserve"> </w:t>
            </w:r>
          </w:p>
        </w:tc>
      </w:tr>
      <w:tr w14:paraId="6108F882">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8C522">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E6AA7">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6298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4FF69">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AFA5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A23A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CF527">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7238E">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02C4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83FDA8">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6CE1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EF96F">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58BA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5CDB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9223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C3D1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1002D">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DB84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5BA3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B64EFC">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D0B97">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EB247">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E034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2,152.69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689BD">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4EDC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0FC1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7F18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F6FED">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3A90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AEF829">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C83ED">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D8BD6">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5AF9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529.08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96A8D">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29038">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6E50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1FA60">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CE21C">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BD1D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8F15B7">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98B90">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A605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BD04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A88C2">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4760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AB48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7ADBF">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7B7B0">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C8F1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4630B7">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EFFDD">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05E4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AC00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5D73C">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AF7A1">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0F5C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98F69">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04D76">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551B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23FD4F">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EF439">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B80B1">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D599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CF2D0">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1E0C0">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D427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53302">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58A57">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F961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F5712E">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249F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F981E">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522D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907A8">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C789D">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B7E0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EC669">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FC10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6C9F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A7DC16">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EDC08">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B5B2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D1D2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C11C1">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7E61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9795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15DE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C64AD">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A02A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BF1EB6">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639A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BDE50">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AB72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12EE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7066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98A0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CB78E">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C96A8">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3D2F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469E0C">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E112D">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4DEC0">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A709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E98D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A5D8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3626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581A8">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85F6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7CC2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AEFCC5">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440E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29F7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3675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405.55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5A5C6">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58E71">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28E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665F2">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D0488">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07DA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7E4E81">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0817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3740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52D5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6E53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F059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31FC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7C0A8">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BF48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540D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B1E98E">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1C90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E7AD1">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2A38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DEADF">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D3FC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29AB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DA83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68232">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D4D0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EB7DF4">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4C59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BAA80">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A423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44636">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EE769">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3C1B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405D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6DBA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6BD2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BD676A">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BDC5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4D16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2C4F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FB7F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9CAE2">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A340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C590C">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0DFA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7B93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83AFF8">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C267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97D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04E6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4D53F">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DED3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7B25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3740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490E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30F3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8C7FD3">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3DF2E">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6934D">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197B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3BE2C">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0454E">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C22D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572EC">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DE146">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B076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9AD0C2">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1760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2738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A29B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D1D4C">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9221F">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3C07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1F0DF">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49EE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2559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6BDA23">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46679">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79CE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8857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F5862">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82B52">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C425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56B6F">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C7935">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8C20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2566DD">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5A8AF">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04A27">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0352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7AB5D">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8DC7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4F7A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3D59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2D4E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1FD3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9925D8">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FFB9E">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54FA0">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5379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2C1EF">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F0561">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D470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DFC4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9E9CE">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D1BF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988622">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50298">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307C9">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E6F3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CA951">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0590E">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4ECC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4EEA2">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0211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F7D5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0C9D8C">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5B892">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88046">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AAD3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2FE2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57199">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A859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83428">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F7C58">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AC5F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B1CF5A">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793A6">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FA2AF">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55BD4E">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3D4E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DC4E7">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2537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BEED7">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4CA2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D1BD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DE91A2">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306F1">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CB7CA">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7E9DA2">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7C018">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F6779">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FF93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82FB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DE579">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AF17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91B0EC">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26C81">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9E56D">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3795EB">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79C8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883D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817A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A3D61">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A5F5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404A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A40C9C">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B69B6">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3E582">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BFAD7A">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6E2A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7478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0A3A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BECB0">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54C0E">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90F4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olor w:val="000000"/>
                <w:sz w:val="18"/>
                <w:szCs w:val="18"/>
              </w:rPr>
            </w:pPr>
          </w:p>
        </w:tc>
      </w:tr>
      <w:tr w14:paraId="1EBF7EBE">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26C1A">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A0ECA">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4B681F">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648E2">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2BC4E">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B074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4592A">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06220">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199E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olor w:val="000000"/>
                <w:sz w:val="18"/>
                <w:szCs w:val="18"/>
              </w:rPr>
            </w:pPr>
          </w:p>
        </w:tc>
      </w:tr>
      <w:tr w14:paraId="7D1CF161">
        <w:tblPrEx>
          <w:tblCellMar>
            <w:top w:w="0" w:type="dxa"/>
            <w:left w:w="0" w:type="dxa"/>
            <w:bottom w:w="0" w:type="dxa"/>
            <w:right w:w="0" w:type="dxa"/>
          </w:tblCellMar>
        </w:tblPrEx>
        <w:trPr>
          <w:trHeight w:val="15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2B65B">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3AD91">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3692D8">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A425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43727">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3936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7BD90">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9766C">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8BE9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olor w:val="000000"/>
                <w:sz w:val="18"/>
                <w:szCs w:val="18"/>
              </w:rPr>
            </w:pPr>
          </w:p>
        </w:tc>
      </w:tr>
      <w:tr w14:paraId="6D6AABCC">
        <w:tblPrEx>
          <w:tblCellMar>
            <w:top w:w="0" w:type="dxa"/>
            <w:left w:w="0" w:type="dxa"/>
            <w:bottom w:w="0" w:type="dxa"/>
            <w:right w:w="0" w:type="dxa"/>
          </w:tblCellMar>
        </w:tblPrEx>
        <w:trPr>
          <w:trHeight w:val="310" w:hRule="atLeast"/>
          <w:jc w:val="center"/>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60FA6">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F399A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5,675.17</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BDF99">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3422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1,122.33</w:t>
            </w:r>
            <w:r>
              <w:rPr>
                <w:rFonts w:ascii="Times New Roman" w:hAnsi="Times New Roman"/>
                <w:color w:val="000000"/>
                <w:sz w:val="18"/>
                <w:u w:color="auto"/>
              </w:rPr>
              <w:t xml:space="preserve"> </w:t>
            </w:r>
          </w:p>
        </w:tc>
      </w:tr>
    </w:tbl>
    <w:p w14:paraId="6B6025EA">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jc w:val="center"/>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2B638C97">
        <w:tblPrEx>
          <w:tblCellMar>
            <w:top w:w="0" w:type="dxa"/>
            <w:left w:w="0" w:type="dxa"/>
            <w:bottom w:w="0" w:type="dxa"/>
            <w:right w:w="0" w:type="dxa"/>
          </w:tblCellMar>
        </w:tblPrEx>
        <w:trPr>
          <w:trHeight w:val="644" w:hRule="atLeast"/>
          <w:jc w:val="center"/>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0A6BB28">
            <w:pPr>
              <w:keepNext w:val="0"/>
              <w:keepLines w:val="0"/>
              <w:pageBreakBefore w:val="0"/>
              <w:kinsoku/>
              <w:overflowPunct/>
              <w:topLinePunct w:val="0"/>
              <w:autoSpaceDN/>
              <w:bidi w:val="0"/>
              <w:spacing w:beforeAutospacing="0" w:afterAutospacing="0" w:line="600" w:lineRule="exact"/>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6EF28EF">
        <w:tblPrEx>
          <w:tblCellMar>
            <w:top w:w="0" w:type="dxa"/>
            <w:left w:w="0" w:type="dxa"/>
            <w:bottom w:w="0" w:type="dxa"/>
            <w:right w:w="0" w:type="dxa"/>
          </w:tblCellMar>
        </w:tblPrEx>
        <w:trPr>
          <w:trHeight w:val="329" w:hRule="atLeast"/>
          <w:jc w:val="center"/>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C1895FF">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重庆市九龙坡职业教育中心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4C256761">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3127257">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3FB3836">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4C047C6">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81AFB3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594A6E6E">
        <w:tblPrEx>
          <w:tblCellMar>
            <w:top w:w="0" w:type="dxa"/>
            <w:left w:w="0" w:type="dxa"/>
            <w:bottom w:w="0" w:type="dxa"/>
            <w:right w:w="0" w:type="dxa"/>
          </w:tblCellMar>
        </w:tblPrEx>
        <w:trPr>
          <w:trHeight w:val="329" w:hRule="atLeast"/>
          <w:jc w:val="center"/>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04FBA9C3">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EC7543C">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1CC1842">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B521134">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55FD79F">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864592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7A1A824">
        <w:tblPrEx>
          <w:tblCellMar>
            <w:top w:w="0" w:type="dxa"/>
            <w:left w:w="0" w:type="dxa"/>
            <w:bottom w:w="0" w:type="dxa"/>
            <w:right w:w="0" w:type="dxa"/>
          </w:tblCellMar>
        </w:tblPrEx>
        <w:trPr>
          <w:trHeight w:val="339" w:hRule="atLeast"/>
          <w:jc w:val="center"/>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B09C4">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7E873C">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FD11A">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7CE4DD">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1BA25">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年末结转和结余</w:t>
            </w:r>
          </w:p>
        </w:tc>
      </w:tr>
      <w:tr w14:paraId="490973DD">
        <w:tblPrEx>
          <w:tblCellMar>
            <w:top w:w="0" w:type="dxa"/>
            <w:left w:w="0" w:type="dxa"/>
            <w:bottom w:w="0" w:type="dxa"/>
            <w:right w:w="0" w:type="dxa"/>
          </w:tblCellMar>
        </w:tblPrEx>
        <w:trPr>
          <w:trHeight w:val="335" w:hRule="atLeast"/>
          <w:jc w:val="center"/>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665AD">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8EB65">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F94A181">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08452">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56DDDF">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871692">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C9BB53">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8964C">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r>
      <w:tr w14:paraId="32669990">
        <w:tblPrEx>
          <w:tblCellMar>
            <w:top w:w="0" w:type="dxa"/>
            <w:left w:w="0" w:type="dxa"/>
            <w:bottom w:w="0" w:type="dxa"/>
            <w:right w:w="0" w:type="dxa"/>
          </w:tblCellMar>
        </w:tblPrEx>
        <w:trPr>
          <w:trHeight w:val="335"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E89AE">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EDFE3">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B67CF7">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20E12">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2E371">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4E37E5">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96F07D">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C868E">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r>
      <w:tr w14:paraId="79FA8D3C">
        <w:tblPrEx>
          <w:tblCellMar>
            <w:top w:w="0" w:type="dxa"/>
            <w:left w:w="0" w:type="dxa"/>
            <w:bottom w:w="0" w:type="dxa"/>
            <w:right w:w="0" w:type="dxa"/>
          </w:tblCellMar>
        </w:tblPrEx>
        <w:trPr>
          <w:trHeight w:val="645"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335B5">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9421D">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8B5C69">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EEA27">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CC8DE6">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2009E1">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77CD6C">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3AFE1">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r>
      <w:tr w14:paraId="40F83090">
        <w:tblPrEx>
          <w:tblCellMar>
            <w:top w:w="0" w:type="dxa"/>
            <w:left w:w="0" w:type="dxa"/>
            <w:bottom w:w="0" w:type="dxa"/>
            <w:right w:w="0" w:type="dxa"/>
          </w:tblCellMar>
        </w:tblPrEx>
        <w:trPr>
          <w:trHeight w:val="339" w:hRule="atLeast"/>
          <w:jc w:val="center"/>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F0626">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E5A6B">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61E2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49.62</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5E67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49.62</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EEED5">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7767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49.62</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51BBD">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71D4EC1">
        <w:tblPrEx>
          <w:tblCellMar>
            <w:top w:w="0" w:type="dxa"/>
            <w:left w:w="0" w:type="dxa"/>
            <w:bottom w:w="0" w:type="dxa"/>
            <w:right w:w="0" w:type="dxa"/>
          </w:tblCellMar>
        </w:tblPrEx>
        <w:trPr>
          <w:trHeight w:val="349" w:hRule="atLeast"/>
          <w:jc w:val="center"/>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FCD5C">
            <w:pPr>
              <w:keepNext w:val="0"/>
              <w:keepLines w:val="0"/>
              <w:pageBreakBefore w:val="0"/>
              <w:kinsoku/>
              <w:overflowPunct/>
              <w:topLinePunct w:val="0"/>
              <w:autoSpaceDN/>
              <w:bidi w:val="0"/>
              <w:spacing w:beforeAutospacing="0" w:afterAutospacing="0" w:line="600" w:lineRule="exact"/>
              <w:jc w:val="both"/>
              <w:textAlignment w:val="center"/>
              <w:rPr>
                <w:rFonts w:hint="default" w:cs="宋体"/>
                <w:color w:val="000000"/>
                <w:sz w:val="20"/>
                <w:szCs w:val="20"/>
              </w:rPr>
            </w:pPr>
            <w:r>
              <w:rPr>
                <w:rFonts w:cs="宋体"/>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6F95F">
            <w:pPr>
              <w:keepNext w:val="0"/>
              <w:keepLines w:val="0"/>
              <w:pageBreakBefore w:val="0"/>
              <w:kinsoku/>
              <w:overflowPunct/>
              <w:topLinePunct w:val="0"/>
              <w:autoSpaceDN/>
              <w:bidi w:val="0"/>
              <w:spacing w:beforeAutospacing="0" w:afterAutospacing="0" w:line="600" w:lineRule="exact"/>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BF45F">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A247A">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49.62</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4F56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49.62</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6C77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ABDA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49.62</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2F2F4">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81A5C4">
        <w:tblPrEx>
          <w:tblCellMar>
            <w:top w:w="0" w:type="dxa"/>
            <w:left w:w="0" w:type="dxa"/>
            <w:bottom w:w="0" w:type="dxa"/>
            <w:right w:w="0" w:type="dxa"/>
          </w:tblCellMar>
        </w:tblPrEx>
        <w:trPr>
          <w:trHeight w:val="349" w:hRule="atLeast"/>
          <w:jc w:val="center"/>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4E870">
            <w:pPr>
              <w:keepNext w:val="0"/>
              <w:keepLines w:val="0"/>
              <w:pageBreakBefore w:val="0"/>
              <w:kinsoku/>
              <w:overflowPunct/>
              <w:topLinePunct w:val="0"/>
              <w:autoSpaceDN/>
              <w:bidi w:val="0"/>
              <w:spacing w:beforeAutospacing="0" w:afterAutospacing="0" w:line="600" w:lineRule="exact"/>
              <w:jc w:val="both"/>
              <w:textAlignment w:val="center"/>
              <w:rPr>
                <w:rFonts w:hint="default" w:cs="宋体"/>
                <w:color w:val="000000"/>
                <w:sz w:val="20"/>
                <w:szCs w:val="20"/>
              </w:rPr>
            </w:pPr>
            <w:r>
              <w:rPr>
                <w:rFonts w:cs="宋体"/>
                <w:b/>
                <w:color w:val="000000"/>
                <w:sz w:val="20"/>
                <w:szCs w:val="20"/>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5DC89">
            <w:pPr>
              <w:keepNext w:val="0"/>
              <w:keepLines w:val="0"/>
              <w:pageBreakBefore w:val="0"/>
              <w:kinsoku/>
              <w:overflowPunct/>
              <w:topLinePunct w:val="0"/>
              <w:autoSpaceDN/>
              <w:bidi w:val="0"/>
              <w:spacing w:beforeAutospacing="0" w:afterAutospacing="0" w:line="600" w:lineRule="exact"/>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AA97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D7407">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49.62</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17FE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49.62</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0550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41FA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49.62</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F4722">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1A18B1">
        <w:tblPrEx>
          <w:tblCellMar>
            <w:top w:w="0" w:type="dxa"/>
            <w:left w:w="0" w:type="dxa"/>
            <w:bottom w:w="0" w:type="dxa"/>
            <w:right w:w="0" w:type="dxa"/>
          </w:tblCellMar>
        </w:tblPrEx>
        <w:trPr>
          <w:trHeight w:val="349" w:hRule="atLeast"/>
          <w:jc w:val="center"/>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D9B14">
            <w:pPr>
              <w:keepNext w:val="0"/>
              <w:keepLines w:val="0"/>
              <w:pageBreakBefore w:val="0"/>
              <w:kinsoku/>
              <w:overflowPunct/>
              <w:topLinePunct w:val="0"/>
              <w:autoSpaceDN/>
              <w:bidi w:val="0"/>
              <w:spacing w:beforeAutospacing="0" w:afterAutospacing="0" w:line="600" w:lineRule="exact"/>
              <w:jc w:val="both"/>
              <w:textAlignment w:val="center"/>
              <w:rPr>
                <w:rFonts w:hint="default" w:cs="宋体"/>
                <w:color w:val="000000"/>
                <w:sz w:val="20"/>
                <w:szCs w:val="20"/>
              </w:rPr>
            </w:pPr>
            <w:r>
              <w:rPr>
                <w:rFonts w:cs="宋体"/>
                <w:color w:val="000000"/>
                <w:sz w:val="20"/>
                <w:szCs w:val="20"/>
              </w:rPr>
              <w:t>2120803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1E36B">
            <w:pPr>
              <w:keepNext w:val="0"/>
              <w:keepLines w:val="0"/>
              <w:pageBreakBefore w:val="0"/>
              <w:kinsoku/>
              <w:overflowPunct/>
              <w:topLinePunct w:val="0"/>
              <w:autoSpaceDN/>
              <w:bidi w:val="0"/>
              <w:spacing w:beforeAutospacing="0" w:afterAutospacing="0" w:line="600" w:lineRule="exact"/>
              <w:jc w:val="both"/>
              <w:textAlignment w:val="center"/>
              <w:rPr>
                <w:rFonts w:hint="default" w:cs="宋体"/>
                <w:color w:val="000000"/>
                <w:sz w:val="20"/>
                <w:szCs w:val="20"/>
              </w:rPr>
            </w:pPr>
            <w:r>
              <w:rPr>
                <w:rFonts w:cs="宋体"/>
                <w:color w:val="000000"/>
                <w:sz w:val="20"/>
                <w:szCs w:val="20"/>
              </w:rPr>
              <w:t>城市建设支出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106D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9A6A6">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49.62</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BB64C">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49.62</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C802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BEB99">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49.62</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67EE8">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38504B0">
      <w:pPr>
        <w:keepNext w:val="0"/>
        <w:keepLines w:val="0"/>
        <w:pageBreakBefore w:val="0"/>
        <w:kinsoku/>
        <w:overflowPunct/>
        <w:topLinePunct w:val="0"/>
        <w:autoSpaceDN/>
        <w:bidi w:val="0"/>
        <w:spacing w:beforeAutospacing="0" w:afterAutospacing="0" w:line="600" w:lineRule="exact"/>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FF0B3E8">
      <w:pPr>
        <w:keepNext w:val="0"/>
        <w:keepLines w:val="0"/>
        <w:pageBreakBefore w:val="0"/>
        <w:kinsoku/>
        <w:overflowPunct/>
        <w:topLinePunct w:val="0"/>
        <w:autoSpaceDN/>
        <w:bidi w:val="0"/>
        <w:spacing w:beforeAutospacing="0" w:afterAutospacing="0" w:line="600" w:lineRule="exact"/>
        <w:rPr>
          <w:rFonts w:hint="default" w:cs="宋体"/>
          <w:sz w:val="21"/>
          <w:szCs w:val="21"/>
        </w:rPr>
      </w:pPr>
      <w:r>
        <w:rPr>
          <w:rFonts w:cs="宋体"/>
          <w:sz w:val="21"/>
          <w:szCs w:val="21"/>
        </w:rPr>
        <w:br w:type="page"/>
      </w:r>
    </w:p>
    <w:tbl>
      <w:tblPr>
        <w:tblStyle w:val="9"/>
        <w:tblW w:w="5000" w:type="pct"/>
        <w:jc w:val="center"/>
        <w:tblLayout w:type="fixed"/>
        <w:tblCellMar>
          <w:top w:w="0" w:type="dxa"/>
          <w:left w:w="0" w:type="dxa"/>
          <w:bottom w:w="0" w:type="dxa"/>
          <w:right w:w="0" w:type="dxa"/>
        </w:tblCellMar>
      </w:tblPr>
      <w:tblGrid>
        <w:gridCol w:w="1295"/>
        <w:gridCol w:w="3617"/>
        <w:gridCol w:w="3274"/>
        <w:gridCol w:w="189"/>
        <w:gridCol w:w="3462"/>
        <w:gridCol w:w="85"/>
        <w:gridCol w:w="3400"/>
      </w:tblGrid>
      <w:tr w14:paraId="4AE18F62">
        <w:tblPrEx>
          <w:tblCellMar>
            <w:top w:w="0" w:type="dxa"/>
            <w:left w:w="0" w:type="dxa"/>
            <w:bottom w:w="0" w:type="dxa"/>
            <w:right w:w="0" w:type="dxa"/>
          </w:tblCellMar>
        </w:tblPrEx>
        <w:trPr>
          <w:trHeight w:val="650" w:hRule="atLeast"/>
          <w:jc w:val="center"/>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B892872">
            <w:pPr>
              <w:keepNext w:val="0"/>
              <w:keepLines w:val="0"/>
              <w:pageBreakBefore w:val="0"/>
              <w:kinsoku/>
              <w:overflowPunct/>
              <w:topLinePunct w:val="0"/>
              <w:autoSpaceDN/>
              <w:bidi w:val="0"/>
              <w:spacing w:beforeAutospacing="0" w:afterAutospacing="0" w:line="600" w:lineRule="exact"/>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7D9BD3F">
        <w:tblPrEx>
          <w:tblCellMar>
            <w:top w:w="0" w:type="dxa"/>
            <w:left w:w="0" w:type="dxa"/>
            <w:bottom w:w="0" w:type="dxa"/>
            <w:right w:w="0" w:type="dxa"/>
          </w:tblCellMar>
        </w:tblPrEx>
        <w:trPr>
          <w:trHeight w:val="332" w:hRule="atLeast"/>
          <w:jc w:val="center"/>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288B3ECC">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重庆市九龙坡职业教育中心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7A63814">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696621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0EF1D5CF">
        <w:tblPrEx>
          <w:tblCellMar>
            <w:top w:w="0" w:type="dxa"/>
            <w:left w:w="0" w:type="dxa"/>
            <w:bottom w:w="0" w:type="dxa"/>
            <w:right w:w="0" w:type="dxa"/>
          </w:tblCellMar>
        </w:tblPrEx>
        <w:trPr>
          <w:trHeight w:val="332" w:hRule="atLeast"/>
          <w:jc w:val="center"/>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C9592C7">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CE231F0">
            <w:pPr>
              <w:keepNext w:val="0"/>
              <w:keepLines w:val="0"/>
              <w:pageBreakBefore w:val="0"/>
              <w:kinsoku/>
              <w:overflowPunct/>
              <w:topLinePunct w:val="0"/>
              <w:autoSpaceDN/>
              <w:bidi w:val="0"/>
              <w:spacing w:beforeAutospacing="0" w:afterAutospacing="0" w:line="600" w:lineRule="exact"/>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7A0BD8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C90FEFF">
        <w:tblPrEx>
          <w:tblCellMar>
            <w:top w:w="0" w:type="dxa"/>
            <w:left w:w="0" w:type="dxa"/>
            <w:bottom w:w="0" w:type="dxa"/>
            <w:right w:w="0" w:type="dxa"/>
          </w:tblCellMar>
        </w:tblPrEx>
        <w:trPr>
          <w:trHeight w:val="422" w:hRule="atLeast"/>
          <w:jc w:val="center"/>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DA889D">
            <w:pPr>
              <w:keepNext w:val="0"/>
              <w:keepLines w:val="0"/>
              <w:pageBreakBefore w:val="0"/>
              <w:kinsoku/>
              <w:overflowPunct/>
              <w:topLinePunct w:val="0"/>
              <w:autoSpaceDN/>
              <w:bidi w:val="0"/>
              <w:spacing w:beforeAutospacing="0" w:afterAutospacing="0" w:line="600" w:lineRule="exact"/>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844DC7">
            <w:pPr>
              <w:keepNext w:val="0"/>
              <w:keepLines w:val="0"/>
              <w:pageBreakBefore w:val="0"/>
              <w:kinsoku/>
              <w:overflowPunct/>
              <w:topLinePunct w:val="0"/>
              <w:autoSpaceDN/>
              <w:bidi w:val="0"/>
              <w:spacing w:beforeAutospacing="0" w:afterAutospacing="0" w:line="600" w:lineRule="exact"/>
              <w:jc w:val="center"/>
              <w:textAlignment w:val="bottom"/>
              <w:rPr>
                <w:rFonts w:hint="default" w:cs="宋体"/>
                <w:b/>
                <w:color w:val="000000"/>
                <w:sz w:val="20"/>
                <w:szCs w:val="20"/>
              </w:rPr>
            </w:pPr>
            <w:r>
              <w:rPr>
                <w:rFonts w:cs="宋体"/>
                <w:b/>
                <w:color w:val="000000"/>
                <w:sz w:val="20"/>
                <w:szCs w:val="20"/>
              </w:rPr>
              <w:t>本年支出</w:t>
            </w:r>
          </w:p>
        </w:tc>
      </w:tr>
      <w:tr w14:paraId="4710B3D5">
        <w:tblPrEx>
          <w:tblCellMar>
            <w:top w:w="0" w:type="dxa"/>
            <w:left w:w="0" w:type="dxa"/>
            <w:bottom w:w="0" w:type="dxa"/>
            <w:right w:w="0" w:type="dxa"/>
          </w:tblCellMar>
        </w:tblPrEx>
        <w:trPr>
          <w:trHeight w:val="339" w:hRule="atLeast"/>
          <w:jc w:val="center"/>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A301C">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04EF21">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3A515">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95761A">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687789">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项目支出</w:t>
            </w:r>
          </w:p>
        </w:tc>
      </w:tr>
      <w:tr w14:paraId="7B4F8921">
        <w:tblPrEx>
          <w:tblCellMar>
            <w:top w:w="0" w:type="dxa"/>
            <w:left w:w="0" w:type="dxa"/>
            <w:bottom w:w="0" w:type="dxa"/>
            <w:right w:w="0" w:type="dxa"/>
          </w:tblCellMar>
        </w:tblPrEx>
        <w:trPr>
          <w:trHeight w:val="339" w:hRule="atLeast"/>
          <w:jc w:val="center"/>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C5E37">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E329C7">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25501">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AAA344">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D78E9">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r>
      <w:tr w14:paraId="2280E29A">
        <w:tblPrEx>
          <w:tblCellMar>
            <w:top w:w="0" w:type="dxa"/>
            <w:left w:w="0" w:type="dxa"/>
            <w:bottom w:w="0" w:type="dxa"/>
            <w:right w:w="0" w:type="dxa"/>
          </w:tblCellMar>
        </w:tblPrEx>
        <w:trPr>
          <w:trHeight w:val="339" w:hRule="atLeast"/>
          <w:jc w:val="center"/>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0148A">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2E063A">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4D4DD">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34F765">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7993CF">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r>
      <w:tr w14:paraId="47B0594A">
        <w:tblPrEx>
          <w:tblCellMar>
            <w:top w:w="0" w:type="dxa"/>
            <w:left w:w="0" w:type="dxa"/>
            <w:bottom w:w="0" w:type="dxa"/>
            <w:right w:w="0" w:type="dxa"/>
          </w:tblCellMar>
        </w:tblPrEx>
        <w:trPr>
          <w:trHeight w:val="326" w:hRule="atLeast"/>
          <w:jc w:val="center"/>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69718">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2345C0">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34068">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D464B6">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978FC0">
            <w:pPr>
              <w:keepNext w:val="0"/>
              <w:keepLines w:val="0"/>
              <w:pageBreakBefore w:val="0"/>
              <w:kinsoku/>
              <w:overflowPunct/>
              <w:topLinePunct w:val="0"/>
              <w:autoSpaceDN/>
              <w:bidi w:val="0"/>
              <w:spacing w:beforeAutospacing="0" w:afterAutospacing="0" w:line="600" w:lineRule="exact"/>
              <w:jc w:val="center"/>
              <w:rPr>
                <w:rFonts w:hint="default" w:cs="宋体"/>
                <w:b/>
                <w:color w:val="000000"/>
                <w:sz w:val="20"/>
                <w:szCs w:val="20"/>
              </w:rPr>
            </w:pPr>
          </w:p>
        </w:tc>
      </w:tr>
      <w:tr w14:paraId="66291C90">
        <w:tblPrEx>
          <w:tblCellMar>
            <w:top w:w="0" w:type="dxa"/>
            <w:left w:w="0" w:type="dxa"/>
            <w:bottom w:w="0" w:type="dxa"/>
            <w:right w:w="0" w:type="dxa"/>
          </w:tblCellMar>
        </w:tblPrEx>
        <w:trPr>
          <w:trHeight w:val="611" w:hRule="atLeast"/>
          <w:jc w:val="center"/>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DD614">
            <w:pPr>
              <w:keepNext w:val="0"/>
              <w:keepLines w:val="0"/>
              <w:pageBreakBefore w:val="0"/>
              <w:kinsoku/>
              <w:overflowPunct/>
              <w:topLinePunct w:val="0"/>
              <w:autoSpaceDN/>
              <w:bidi w:val="0"/>
              <w:spacing w:beforeAutospacing="0" w:afterAutospacing="0" w:line="600" w:lineRule="exact"/>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D3E70">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A1635">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AF7A4">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7D2513E">
        <w:tblPrEx>
          <w:tblCellMar>
            <w:top w:w="0" w:type="dxa"/>
            <w:left w:w="0" w:type="dxa"/>
            <w:bottom w:w="0" w:type="dxa"/>
            <w:right w:w="0" w:type="dxa"/>
          </w:tblCellMar>
        </w:tblPrEx>
        <w:trPr>
          <w:trHeight w:val="488" w:hRule="atLeast"/>
          <w:jc w:val="center"/>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97BD5">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D053B">
            <w:pPr>
              <w:keepNext w:val="0"/>
              <w:keepLines w:val="0"/>
              <w:pageBreakBefore w:val="0"/>
              <w:kinsoku/>
              <w:overflowPunct/>
              <w:topLinePunct w:val="0"/>
              <w:autoSpaceDN/>
              <w:bidi w:val="0"/>
              <w:spacing w:beforeAutospacing="0" w:afterAutospacing="0" w:line="600" w:lineRule="exact"/>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997D1">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141C0">
            <w:pPr>
              <w:keepNext w:val="0"/>
              <w:keepLines w:val="0"/>
              <w:pageBreakBefore w:val="0"/>
              <w:kinsoku/>
              <w:overflowPunct/>
              <w:topLinePunct w:val="0"/>
              <w:autoSpaceDN/>
              <w:bidi w:val="0"/>
              <w:spacing w:beforeAutospacing="0" w:afterAutospacing="0" w:line="600" w:lineRule="exact"/>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805D3">
            <w:pPr>
              <w:keepNext w:val="0"/>
              <w:keepLines w:val="0"/>
              <w:pageBreakBefore w:val="0"/>
              <w:kinsoku/>
              <w:wordWrap w:val="0"/>
              <w:overflowPunct/>
              <w:topLinePunct w:val="0"/>
              <w:autoSpaceDN/>
              <w:bidi w:val="0"/>
              <w:spacing w:beforeAutospacing="0" w:afterAutospacing="0"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BD5DA02">
      <w:pPr>
        <w:keepNext w:val="0"/>
        <w:keepLines w:val="0"/>
        <w:pageBreakBefore w:val="0"/>
        <w:kinsoku/>
        <w:overflowPunct/>
        <w:topLinePunct w:val="0"/>
        <w:autoSpaceDN/>
        <w:bidi w:val="0"/>
        <w:spacing w:beforeAutospacing="0" w:afterAutospacing="0" w:line="600" w:lineRule="exact"/>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013832EB">
      <w:pPr>
        <w:keepNext w:val="0"/>
        <w:keepLines w:val="0"/>
        <w:pageBreakBefore w:val="0"/>
        <w:kinsoku/>
        <w:overflowPunct/>
        <w:topLinePunct w:val="0"/>
        <w:autoSpaceDN/>
        <w:bidi w:val="0"/>
        <w:spacing w:beforeAutospacing="0" w:afterAutospacing="0" w:line="600" w:lineRule="exact"/>
        <w:rPr>
          <w:rFonts w:hint="default" w:cs="宋体"/>
          <w:sz w:val="21"/>
          <w:szCs w:val="21"/>
        </w:rPr>
      </w:pPr>
      <w:r>
        <w:rPr>
          <w:rFonts w:hint="default" w:cs="宋体"/>
          <w:sz w:val="21"/>
          <w:szCs w:val="21"/>
        </w:rPr>
        <w:br w:type="page"/>
      </w:r>
    </w:p>
    <w:tbl>
      <w:tblPr>
        <w:tblStyle w:val="9"/>
        <w:tblW w:w="4611" w:type="pct"/>
        <w:jc w:val="center"/>
        <w:tblLayout w:type="fixed"/>
        <w:tblCellMar>
          <w:top w:w="0" w:type="dxa"/>
          <w:left w:w="170" w:type="dxa"/>
          <w:bottom w:w="0" w:type="dxa"/>
          <w:right w:w="170" w:type="dxa"/>
        </w:tblCellMar>
      </w:tblPr>
      <w:tblGrid>
        <w:gridCol w:w="3179"/>
        <w:gridCol w:w="2415"/>
        <w:gridCol w:w="2376"/>
        <w:gridCol w:w="3674"/>
        <w:gridCol w:w="2486"/>
      </w:tblGrid>
      <w:tr w14:paraId="66247D6E">
        <w:tblPrEx>
          <w:tblCellMar>
            <w:top w:w="0" w:type="dxa"/>
            <w:left w:w="170" w:type="dxa"/>
            <w:bottom w:w="0" w:type="dxa"/>
            <w:right w:w="170" w:type="dxa"/>
          </w:tblCellMar>
        </w:tblPrEx>
        <w:trPr>
          <w:trHeight w:val="343" w:hRule="atLeast"/>
          <w:jc w:val="center"/>
        </w:trPr>
        <w:tc>
          <w:tcPr>
            <w:tcW w:w="5000" w:type="pct"/>
            <w:gridSpan w:val="5"/>
            <w:shd w:val="clear" w:color="auto" w:fill="auto"/>
            <w:noWrap/>
            <w:tcMar>
              <w:top w:w="15" w:type="dxa"/>
              <w:left w:w="15" w:type="dxa"/>
              <w:right w:w="15" w:type="dxa"/>
            </w:tcMar>
            <w:vAlign w:val="bottom"/>
          </w:tcPr>
          <w:p w14:paraId="2357B045">
            <w:pPr>
              <w:keepNext w:val="0"/>
              <w:keepLines w:val="0"/>
              <w:pageBreakBefore w:val="0"/>
              <w:kinsoku/>
              <w:overflowPunct/>
              <w:topLinePunct w:val="0"/>
              <w:autoSpaceDN/>
              <w:bidi w:val="0"/>
              <w:spacing w:beforeAutospacing="0" w:afterAutospacing="0" w:line="6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62A9A5F4">
        <w:tblPrEx>
          <w:tblCellMar>
            <w:top w:w="0" w:type="dxa"/>
            <w:left w:w="170" w:type="dxa"/>
            <w:bottom w:w="0" w:type="dxa"/>
            <w:right w:w="170" w:type="dxa"/>
          </w:tblCellMar>
        </w:tblPrEx>
        <w:trPr>
          <w:trHeight w:val="244" w:hRule="atLeast"/>
          <w:jc w:val="center"/>
        </w:trPr>
        <w:tc>
          <w:tcPr>
            <w:tcW w:w="1124" w:type="pct"/>
            <w:shd w:val="clear" w:color="auto" w:fill="auto"/>
            <w:noWrap/>
            <w:tcMar>
              <w:top w:w="15" w:type="dxa"/>
              <w:left w:w="15" w:type="dxa"/>
              <w:right w:w="15" w:type="dxa"/>
            </w:tcMar>
            <w:vAlign w:val="bottom"/>
          </w:tcPr>
          <w:p w14:paraId="4B2B770C">
            <w:pPr>
              <w:keepNext w:val="0"/>
              <w:keepLines w:val="0"/>
              <w:pageBreakBefore w:val="0"/>
              <w:kinsoku/>
              <w:overflowPunct/>
              <w:topLinePunct w:val="0"/>
              <w:autoSpaceDN/>
              <w:bidi w:val="0"/>
              <w:spacing w:beforeAutospacing="0" w:afterAutospacing="0" w:line="60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1075BA7D">
            <w:pPr>
              <w:keepNext w:val="0"/>
              <w:keepLines w:val="0"/>
              <w:pageBreakBefore w:val="0"/>
              <w:kinsoku/>
              <w:overflowPunct/>
              <w:topLinePunct w:val="0"/>
              <w:autoSpaceDN/>
              <w:bidi w:val="0"/>
              <w:spacing w:beforeAutospacing="0" w:afterAutospacing="0" w:line="60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7890111D">
            <w:pPr>
              <w:keepNext w:val="0"/>
              <w:keepLines w:val="0"/>
              <w:pageBreakBefore w:val="0"/>
              <w:kinsoku/>
              <w:overflowPunct/>
              <w:topLinePunct w:val="0"/>
              <w:autoSpaceDN/>
              <w:bidi w:val="0"/>
              <w:spacing w:beforeAutospacing="0" w:afterAutospacing="0" w:line="60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49EC3732">
            <w:pPr>
              <w:keepNext w:val="0"/>
              <w:keepLines w:val="0"/>
              <w:pageBreakBefore w:val="0"/>
              <w:kinsoku/>
              <w:overflowPunct/>
              <w:topLinePunct w:val="0"/>
              <w:autoSpaceDN/>
              <w:bidi w:val="0"/>
              <w:spacing w:beforeAutospacing="0" w:afterAutospacing="0" w:line="60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24E31754">
            <w:pPr>
              <w:keepNext w:val="0"/>
              <w:keepLines w:val="0"/>
              <w:pageBreakBefore w:val="0"/>
              <w:kinsoku/>
              <w:overflowPunct/>
              <w:topLinePunct w:val="0"/>
              <w:autoSpaceDN/>
              <w:bidi w:val="0"/>
              <w:spacing w:beforeAutospacing="0" w:afterAutospacing="0" w:line="60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41F104D7">
        <w:tblPrEx>
          <w:tblCellMar>
            <w:top w:w="0" w:type="dxa"/>
            <w:left w:w="170" w:type="dxa"/>
            <w:bottom w:w="0" w:type="dxa"/>
            <w:right w:w="170" w:type="dxa"/>
          </w:tblCellMar>
        </w:tblPrEx>
        <w:trPr>
          <w:trHeight w:val="244" w:hRule="atLeast"/>
          <w:jc w:val="center"/>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D4C8FEE">
            <w:pPr>
              <w:keepNext w:val="0"/>
              <w:keepLines w:val="0"/>
              <w:pageBreakBefore w:val="0"/>
              <w:kinsoku/>
              <w:overflowPunct/>
              <w:topLinePunct w:val="0"/>
              <w:autoSpaceDN/>
              <w:bidi w:val="0"/>
              <w:spacing w:beforeAutospacing="0" w:afterAutospacing="0" w:line="60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重庆市九龙坡职业教育中心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29ABD9B4">
            <w:pPr>
              <w:keepNext w:val="0"/>
              <w:keepLines w:val="0"/>
              <w:pageBreakBefore w:val="0"/>
              <w:kinsoku/>
              <w:overflowPunct/>
              <w:topLinePunct w:val="0"/>
              <w:autoSpaceDN/>
              <w:bidi w:val="0"/>
              <w:spacing w:beforeAutospacing="0" w:afterAutospacing="0" w:line="60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50EF6414">
            <w:pPr>
              <w:keepNext w:val="0"/>
              <w:keepLines w:val="0"/>
              <w:pageBreakBefore w:val="0"/>
              <w:kinsoku/>
              <w:overflowPunct/>
              <w:topLinePunct w:val="0"/>
              <w:autoSpaceDN/>
              <w:bidi w:val="0"/>
              <w:spacing w:beforeAutospacing="0" w:afterAutospacing="0" w:line="60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19FE3885">
            <w:pPr>
              <w:keepNext w:val="0"/>
              <w:keepLines w:val="0"/>
              <w:pageBreakBefore w:val="0"/>
              <w:kinsoku/>
              <w:overflowPunct/>
              <w:topLinePunct w:val="0"/>
              <w:autoSpaceDN/>
              <w:bidi w:val="0"/>
              <w:spacing w:beforeAutospacing="0" w:afterAutospacing="0" w:line="60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D283FA8">
        <w:tblPrEx>
          <w:tblCellMar>
            <w:top w:w="0" w:type="dxa"/>
            <w:left w:w="170" w:type="dxa"/>
            <w:bottom w:w="0" w:type="dxa"/>
            <w:right w:w="170" w:type="dxa"/>
          </w:tblCellMar>
        </w:tblPrEx>
        <w:trPr>
          <w:trHeight w:val="28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811014">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55B736">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264B1B">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C4E460">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BB6A59">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71D8799">
        <w:tblPrEx>
          <w:tblCellMar>
            <w:top w:w="0" w:type="dxa"/>
            <w:left w:w="170" w:type="dxa"/>
            <w:bottom w:w="0" w:type="dxa"/>
            <w:right w:w="170" w:type="dxa"/>
          </w:tblCellMar>
        </w:tblPrEx>
        <w:trPr>
          <w:trHeight w:val="28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8BB59E">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2B522C">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8A74B3">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4CC2F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3DD645">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286EB8">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1E59BE">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C0E0AB">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0ED8E4">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C5BAC6">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516819">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93C9CC">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EE3F3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7CFDF3">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B437DD">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17234E">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597CDE">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58910E">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D2F83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81086B">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44EBE0">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D102EF">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4AF2F5">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156B3F8">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3CE2EC">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9D20A9">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D0357B">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79CF2D">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96B07A">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8771A0">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49D3A0">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A54D71">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F4D5D7">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2AE5C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6B3650">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3210AA">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566AF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BC897E">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64E771">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449E4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E2B1FD">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75E3EC">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7B7177">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1726EB">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70E521">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22612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85E21A">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E66668">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49263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AB8FFA">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91C208">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87A3B6">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A49FB2">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05AEDC">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C88EBC">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9FAF23">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C03FDA">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BEA34F">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79BB80">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723D08">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E9F1F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26468B">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293201">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824199">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4CAD31">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F08052">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A73E19">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DEF9ED">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F08150">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7D7B79">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A1E4BA">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E03BAF">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28D60C">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92BF10">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952B99">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9BA4E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403983">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AAF1A1">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12DFAE">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356B5A">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243721">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6A4BE7">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907372">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67C467">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D44C2F">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C7F14D">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C0F0D4">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C43AE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FF34F7">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1EF5533">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87F417">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D7B722">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FF02C1">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01471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4F8D4B">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273.97</w:t>
            </w:r>
            <w:r>
              <w:rPr>
                <w:rFonts w:ascii="Times New Roman" w:hAnsi="Times New Roman"/>
                <w:color w:val="000000"/>
                <w:sz w:val="18"/>
                <w:u w:color="auto"/>
              </w:rPr>
              <w:t xml:space="preserve"> </w:t>
            </w:r>
          </w:p>
        </w:tc>
      </w:tr>
      <w:tr w14:paraId="5A4311CA">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91F70D">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9770B7">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F110CE">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1496C6">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853F8C">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273.97</w:t>
            </w:r>
            <w:r>
              <w:rPr>
                <w:rFonts w:ascii="Times New Roman" w:hAnsi="Times New Roman"/>
                <w:color w:val="000000"/>
                <w:sz w:val="18"/>
                <w:u w:color="auto"/>
              </w:rPr>
              <w:t xml:space="preserve"> </w:t>
            </w:r>
          </w:p>
        </w:tc>
      </w:tr>
      <w:tr w14:paraId="67D0A334">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31C028">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F3C989">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2F5D0D">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986E56">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1957C4">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864AFA">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AC1089">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713E13">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D9D756">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73D02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89089C">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09FFEC">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612ED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07DC4A">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08F620">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B329D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7A5956">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273.97</w:t>
            </w:r>
            <w:r>
              <w:rPr>
                <w:rFonts w:ascii="Times New Roman" w:hAnsi="Times New Roman"/>
                <w:color w:val="000000"/>
                <w:sz w:val="18"/>
                <w:u w:color="auto"/>
              </w:rPr>
              <w:t xml:space="preserve"> </w:t>
            </w:r>
          </w:p>
        </w:tc>
      </w:tr>
      <w:tr w14:paraId="28ED4D57">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69660F">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3C5D73">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40A970">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BD09C1">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8FE863">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273.97</w:t>
            </w:r>
            <w:r>
              <w:rPr>
                <w:rFonts w:ascii="Times New Roman" w:hAnsi="Times New Roman"/>
                <w:color w:val="000000"/>
                <w:sz w:val="18"/>
                <w:u w:color="auto"/>
              </w:rPr>
              <w:t xml:space="preserve"> </w:t>
            </w:r>
          </w:p>
        </w:tc>
      </w:tr>
      <w:tr w14:paraId="1DB2F583">
        <w:tblPrEx>
          <w:tblCellMar>
            <w:top w:w="0" w:type="dxa"/>
            <w:left w:w="170" w:type="dxa"/>
            <w:bottom w:w="0" w:type="dxa"/>
            <w:right w:w="170" w:type="dxa"/>
          </w:tblCellMar>
        </w:tblPrEx>
        <w:trPr>
          <w:trHeight w:val="286"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C2A75E">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054D62">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8399FA">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A80CCB">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30DBB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cs="宋体"/>
                <w:color w:val="000000"/>
                <w:kern w:val="2"/>
                <w:sz w:val="16"/>
                <w:szCs w:val="16"/>
              </w:rPr>
            </w:pPr>
          </w:p>
        </w:tc>
      </w:tr>
      <w:tr w14:paraId="67F27DF1">
        <w:tblPrEx>
          <w:tblCellMar>
            <w:top w:w="0" w:type="dxa"/>
            <w:left w:w="170" w:type="dxa"/>
            <w:bottom w:w="0" w:type="dxa"/>
            <w:right w:w="170" w:type="dxa"/>
          </w:tblCellMar>
        </w:tblPrEx>
        <w:trPr>
          <w:trHeight w:val="389"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5ACBE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ECCC1B">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609EF4">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77.94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A3DC13">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F9881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cs="宋体"/>
                <w:color w:val="000000"/>
                <w:kern w:val="2"/>
                <w:sz w:val="16"/>
                <w:szCs w:val="16"/>
              </w:rPr>
            </w:pPr>
          </w:p>
        </w:tc>
      </w:tr>
      <w:tr w14:paraId="6BE10589">
        <w:tblPrEx>
          <w:tblCellMar>
            <w:top w:w="0" w:type="dxa"/>
            <w:left w:w="170" w:type="dxa"/>
            <w:bottom w:w="0" w:type="dxa"/>
            <w:right w:w="170" w:type="dxa"/>
          </w:tblCellMar>
        </w:tblPrEx>
        <w:trPr>
          <w:trHeight w:val="389"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5ACACE">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DC74A5">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237F09">
            <w:pPr>
              <w:keepNext w:val="0"/>
              <w:keepLines w:val="0"/>
              <w:pageBreakBefore w:val="0"/>
              <w:widowControl/>
              <w:kinsoku/>
              <w:wordWrap/>
              <w:overflowPunct/>
              <w:topLinePunct w:val="0"/>
              <w:autoSpaceDE/>
              <w:autoSpaceDN/>
              <w:bidi w:val="0"/>
              <w:adjustRightInd/>
              <w:snapToGrid/>
              <w:spacing w:beforeAutospacing="0" w:afterAutospacing="0" w:line="60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44.99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18B07F">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8867D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cs="宋体"/>
                <w:color w:val="000000"/>
                <w:sz w:val="16"/>
                <w:szCs w:val="16"/>
              </w:rPr>
            </w:pPr>
          </w:p>
        </w:tc>
      </w:tr>
    </w:tbl>
    <w:p w14:paraId="4CE94283">
      <w:pPr>
        <w:keepNext w:val="0"/>
        <w:keepLines w:val="0"/>
        <w:pageBreakBefore w:val="0"/>
        <w:kinsoku/>
        <w:overflowPunct/>
        <w:topLinePunct w:val="0"/>
        <w:autoSpaceDN/>
        <w:bidi w:val="0"/>
        <w:spacing w:beforeAutospacing="0" w:afterAutospacing="0" w:line="600" w:lineRule="exact"/>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hint="eastAsia" w:cs="宋体"/>
          <w:sz w:val="18"/>
          <w:szCs w:val="18"/>
          <w:lang w:val="en-US" w:eastAsia="zh-CN"/>
        </w:rPr>
        <w:t xml:space="preserve">      </w:t>
      </w:r>
      <w:r>
        <w:rPr>
          <w:rFonts w:cs="宋体"/>
          <w:sz w:val="18"/>
          <w:szCs w:val="18"/>
        </w:rPr>
        <w:t>2.套报表金额单位转换时可能存在尾数误差。</w:t>
      </w:r>
      <w:r>
        <w:rPr>
          <w:rFonts w:cs="宋体"/>
          <w:sz w:val="18"/>
          <w:szCs w:val="18"/>
        </w:rPr>
        <w:br w:type="textWrapping"/>
      </w:r>
      <w:r>
        <w:rPr>
          <w:rFonts w:cs="宋体"/>
          <w:sz w:val="18"/>
          <w:szCs w:val="18"/>
        </w:rPr>
        <w:br w:type="textWrapping"/>
      </w:r>
    </w:p>
    <w:p w14:paraId="70F7849B">
      <w:pPr>
        <w:pStyle w:val="12"/>
        <w:keepNext w:val="0"/>
        <w:keepLines w:val="0"/>
        <w:pageBreakBefore w:val="0"/>
        <w:widowControl/>
        <w:kinsoku/>
        <w:wordWrap/>
        <w:overflowPunct/>
        <w:topLinePunct w:val="0"/>
        <w:autoSpaceDE w:val="0"/>
        <w:autoSpaceDN/>
        <w:bidi w:val="0"/>
        <w:adjustRightInd/>
        <w:snapToGrid/>
        <w:spacing w:beforeAutospacing="0" w:afterAutospacing="0" w:line="600" w:lineRule="exact"/>
        <w:ind w:left="0" w:leftChars="0" w:firstLine="0" w:firstLineChars="0"/>
        <w:jc w:val="both"/>
        <w:textAlignment w:val="auto"/>
        <w:rPr>
          <w:rFonts w:hint="default" w:ascii="方正仿宋_GBK" w:hAnsi="方正仿宋_GBK" w:eastAsia="方正仿宋_GBK" w:cs="方正仿宋_GBK"/>
          <w:kern w:val="0"/>
          <w:sz w:val="32"/>
          <w:szCs w:val="32"/>
          <w:shd w:val="clear" w:fill="FFFFFF"/>
          <w:lang w:val="en-US" w:eastAsia="zh-CN" w:bidi="ar-SA"/>
        </w:rPr>
      </w:pPr>
    </w:p>
    <w:sectPr>
      <w:headerReference r:id="rId4" w:type="default"/>
      <w:footerReference r:id="rId5" w:type="default"/>
      <w:pgSz w:w="16783" w:h="11850"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4208325-7239-4034-B12E-18B7400D4D51}"/>
  </w:font>
  <w:font w:name="黑体">
    <w:panose1 w:val="02010609060101010101"/>
    <w:charset w:val="86"/>
    <w:family w:val="auto"/>
    <w:pitch w:val="default"/>
    <w:sig w:usb0="800002BF" w:usb1="38CF7CFA" w:usb2="00000016" w:usb3="00000000" w:csb0="00040001" w:csb1="00000000"/>
    <w:embedRegular r:id="rId2" w:fontKey="{BA139E3F-CBFB-401D-B02D-7196F1FF01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3" w:fontKey="{1F2660E2-65CE-4E6A-ADE2-C7D13B8502E3}"/>
  </w:font>
  <w:font w:name="方正小标宋简体">
    <w:panose1 w:val="02010601030101010101"/>
    <w:charset w:val="86"/>
    <w:family w:val="auto"/>
    <w:pitch w:val="default"/>
    <w:sig w:usb0="00000001" w:usb1="080E0000" w:usb2="00000000" w:usb3="00000000" w:csb0="00040000" w:csb1="00000000"/>
  </w:font>
  <w:font w:name="方正黑体_GBK">
    <w:panose1 w:val="02010600010101010101"/>
    <w:charset w:val="86"/>
    <w:family w:val="script"/>
    <w:pitch w:val="default"/>
    <w:sig w:usb0="00000001" w:usb1="080E0000" w:usb2="00000000" w:usb3="00000000" w:csb0="00040000" w:csb1="00000000"/>
    <w:embedRegular r:id="rId4" w:fontKey="{F697FD79-A4E0-4FCA-AB53-A0B6D763B044}"/>
  </w:font>
  <w:font w:name="方正楷体_GBK">
    <w:panose1 w:val="02000000000000000000"/>
    <w:charset w:val="86"/>
    <w:family w:val="auto"/>
    <w:pitch w:val="default"/>
    <w:sig w:usb0="800002BF" w:usb1="38CF7CFA" w:usb2="00000016" w:usb3="00000000" w:csb0="00040000" w:csb1="00000000"/>
    <w:embedRegular r:id="rId5" w:fontKey="{5F7A8016-ED78-4D28-999B-4AFF9863EFD9}"/>
  </w:font>
  <w:font w:name="方正仿宋_GBK">
    <w:panose1 w:val="03000509000000000000"/>
    <w:charset w:val="86"/>
    <w:family w:val="script"/>
    <w:pitch w:val="default"/>
    <w:sig w:usb0="00000001" w:usb1="080E0000" w:usb2="00000000" w:usb3="00000000" w:csb0="00040000" w:csb1="00000000"/>
    <w:embedRegular r:id="rId6" w:fontKey="{17A91F2E-5A09-4D4B-917D-FE1F9841E566}"/>
  </w:font>
  <w:font w:name="微软雅黑">
    <w:panose1 w:val="020B0503020204020204"/>
    <w:charset w:val="86"/>
    <w:family w:val="auto"/>
    <w:pitch w:val="default"/>
    <w:sig w:usb0="80000287" w:usb1="2ACF3C50" w:usb2="00000016" w:usb3="00000000" w:csb0="0004001F" w:csb1="00000000"/>
    <w:embedRegular r:id="rId7" w:fontKey="{81B4A690-E159-47DC-A102-BF2975BE27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45ABE">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480392">
                          <w:pPr>
                            <w:pStyle w:val="4"/>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B480392">
                    <w:pPr>
                      <w:pStyle w:val="4"/>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BB868">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1703F3">
                          <w:pPr>
                            <w:pStyle w:val="4"/>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13</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31703F3">
                    <w:pPr>
                      <w:pStyle w:val="4"/>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13</w:t>
                    </w:r>
                    <w:r>
                      <w:rPr>
                        <w:rFonts w:hint="default"/>
                        <w:sz w:val="28"/>
                        <w:szCs w:val="28"/>
                      </w:rPr>
                      <w:fldChar w:fldCharType="end"/>
                    </w:r>
                    <w:r>
                      <w:rPr>
                        <w:rFonts w:hint="default"/>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1CA24EA">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1CA24EA">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0D875">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2776"/>
    <w:multiLevelType w:val="singleLevel"/>
    <w:tmpl w:val="0000277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MWI0NDg2ZjBlNWNhOWFmODA1YWQyMmExN2MxZjIifQ=="/>
  </w:docVars>
  <w:rsids>
    <w:rsidRoot w:val="00B03CCD"/>
    <w:rsid w:val="000D7BCC"/>
    <w:rsid w:val="00550ABE"/>
    <w:rsid w:val="007B419D"/>
    <w:rsid w:val="009B67B8"/>
    <w:rsid w:val="00B03CCD"/>
    <w:rsid w:val="01474EBF"/>
    <w:rsid w:val="017E6156"/>
    <w:rsid w:val="019020B1"/>
    <w:rsid w:val="01F3521E"/>
    <w:rsid w:val="02056D00"/>
    <w:rsid w:val="0374238F"/>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8964D2"/>
    <w:rsid w:val="0E9478E1"/>
    <w:rsid w:val="0F836721"/>
    <w:rsid w:val="103645A3"/>
    <w:rsid w:val="107B59E5"/>
    <w:rsid w:val="10AA219D"/>
    <w:rsid w:val="11003CB0"/>
    <w:rsid w:val="11124D1F"/>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8F01A00"/>
    <w:rsid w:val="39B82A39"/>
    <w:rsid w:val="39C80752"/>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2F56341"/>
    <w:rsid w:val="43136432"/>
    <w:rsid w:val="443A3B12"/>
    <w:rsid w:val="44487B36"/>
    <w:rsid w:val="44EF6BE8"/>
    <w:rsid w:val="4556072D"/>
    <w:rsid w:val="45A30364"/>
    <w:rsid w:val="465B470D"/>
    <w:rsid w:val="465D5402"/>
    <w:rsid w:val="469D6AD4"/>
    <w:rsid w:val="47674801"/>
    <w:rsid w:val="47AE78AB"/>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4F927B75"/>
    <w:rsid w:val="4FF44AB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C776C9"/>
    <w:rsid w:val="55EF4EA6"/>
    <w:rsid w:val="56530F5D"/>
    <w:rsid w:val="56EE372E"/>
    <w:rsid w:val="570D735E"/>
    <w:rsid w:val="5842572D"/>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8B57442"/>
    <w:rsid w:val="692172FD"/>
    <w:rsid w:val="6A3829EE"/>
    <w:rsid w:val="6A924CB7"/>
    <w:rsid w:val="6AE0292E"/>
    <w:rsid w:val="6AF9611F"/>
    <w:rsid w:val="6B474EF5"/>
    <w:rsid w:val="6BC27679"/>
    <w:rsid w:val="6BC54EFE"/>
    <w:rsid w:val="6BDF5315"/>
    <w:rsid w:val="6C0737CC"/>
    <w:rsid w:val="6C560CAE"/>
    <w:rsid w:val="6CD15296"/>
    <w:rsid w:val="6D903FF5"/>
    <w:rsid w:val="6DA955B8"/>
    <w:rsid w:val="6DE346AB"/>
    <w:rsid w:val="6EFF6545"/>
    <w:rsid w:val="6FFB2E76"/>
    <w:rsid w:val="7035211A"/>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A7589"/>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5362</Words>
  <Characters>6076</Characters>
  <Lines>161</Lines>
  <Paragraphs>45</Paragraphs>
  <TotalTime>38</TotalTime>
  <ScaleCrop>false</ScaleCrop>
  <LinksUpToDate>false</LinksUpToDate>
  <CharactersWithSpaces>6124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silence</cp:lastModifiedBy>
  <dcterms:modified xsi:type="dcterms:W3CDTF">2025-11-12T06:43:44Z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BB46EABDBB2749749395447164B066B3_12</vt:lpwstr>
  </property>
  <property fmtid="{D5CDD505-2E9C-101B-9397-08002B2CF9AE}" pid="4" name="KSOTemplateDocerSaveRecord">
    <vt:lpwstr>eyJoZGlkIjoiZjRmYWUxOWJhMWE5OGFmZGQyNzA0NjBkZTNhOGRjMDEiLCJ1c2VySWQiOiIyNDg4ODMzNzUifQ==</vt:lpwstr>
  </property>
</Properties>
</file>