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25882">
      <w:pPr>
        <w:pStyle w:val="8"/>
        <w:spacing w:before="0" w:beforeAutospacing="0" w:after="0" w:afterAutospacing="0"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重庆市七十九中学</w:t>
      </w:r>
    </w:p>
    <w:p w14:paraId="3D3C108D">
      <w:pPr>
        <w:pStyle w:val="8"/>
        <w:adjustRightInd w:val="0"/>
        <w:snapToGrid w:val="0"/>
        <w:spacing w:before="0" w:beforeAutospacing="0" w:after="0" w:afterAutospacing="0" w:line="600" w:lineRule="exact"/>
        <w:jc w:val="center"/>
        <w:rPr>
          <w:rFonts w:hint="default" w:ascii="Times New Roman" w:hAnsi="Times New Roman" w:eastAsia="方正小标宋_GBK" w:cs="Times New Roman"/>
          <w:sz w:val="36"/>
          <w:szCs w:val="36"/>
          <w:shd w:val="clear" w:color="auto" w:fill="FFFFFF"/>
        </w:rPr>
      </w:pPr>
      <w:r>
        <w:rPr>
          <w:rFonts w:hint="default" w:ascii="Times New Roman" w:hAnsi="Times New Roman" w:eastAsia="方正小标宋_GBK" w:cs="Times New Roman"/>
          <w:sz w:val="44"/>
          <w:szCs w:val="44"/>
          <w:shd w:val="clear" w:color="auto" w:fill="FFFFFF"/>
        </w:rPr>
        <w:t>2024年度单位决算情况说明</w:t>
      </w:r>
    </w:p>
    <w:p w14:paraId="42692718">
      <w:pPr>
        <w:pStyle w:val="8"/>
        <w:shd w:val="clear" w:color="auto" w:fill="FFFFFF"/>
        <w:snapToGrid w:val="0"/>
        <w:spacing w:before="0" w:beforeAutospacing="0" w:after="0" w:afterAutospacing="0" w:line="600" w:lineRule="exact"/>
        <w:ind w:firstLine="640" w:firstLineChars="200"/>
        <w:jc w:val="both"/>
        <w:rPr>
          <w:rStyle w:val="11"/>
          <w:rFonts w:hint="default" w:ascii="Times New Roman" w:hAnsi="Times New Roman" w:eastAsia="方正黑体_GBK" w:cs="Times New Roman"/>
          <w:b w:val="0"/>
          <w:bCs/>
          <w:sz w:val="32"/>
          <w:szCs w:val="32"/>
          <w:shd w:val="clear" w:color="auto" w:fill="FFFFFF"/>
        </w:rPr>
      </w:pPr>
    </w:p>
    <w:p w14:paraId="65AA6DFA">
      <w:pPr>
        <w:pStyle w:val="8"/>
        <w:shd w:val="clear" w:color="auto" w:fill="FFFFFF"/>
        <w:snapToGrid w:val="0"/>
        <w:spacing w:before="0" w:beforeAutospacing="0" w:after="0" w:afterAutospacing="0" w:line="600" w:lineRule="exact"/>
        <w:ind w:firstLine="640" w:firstLineChars="200"/>
        <w:jc w:val="both"/>
        <w:rPr>
          <w:rFonts w:hint="default" w:ascii="Times New Roman" w:hAnsi="Times New Roman" w:eastAsia="方正黑体_GBK" w:cs="Times New Roman"/>
          <w:bCs/>
          <w:sz w:val="32"/>
          <w:szCs w:val="32"/>
        </w:rPr>
      </w:pPr>
      <w:r>
        <w:rPr>
          <w:rStyle w:val="11"/>
          <w:rFonts w:hint="default" w:ascii="Times New Roman" w:hAnsi="Times New Roman" w:eastAsia="方正黑体_GBK" w:cs="Times New Roman"/>
          <w:b w:val="0"/>
          <w:bCs/>
          <w:sz w:val="32"/>
          <w:szCs w:val="32"/>
          <w:shd w:val="clear" w:color="auto" w:fill="FFFFFF"/>
        </w:rPr>
        <w:t>一、单位基本情况</w:t>
      </w:r>
    </w:p>
    <w:p w14:paraId="4269D409">
      <w:pPr>
        <w:pStyle w:val="8"/>
        <w:shd w:val="clear" w:color="auto" w:fill="FFFFFF"/>
        <w:snapToGrid w:val="0"/>
        <w:spacing w:before="0" w:beforeAutospacing="0" w:after="0" w:afterAutospacing="0" w:line="600" w:lineRule="exact"/>
        <w:ind w:firstLine="640" w:firstLineChars="200"/>
        <w:rPr>
          <w:rFonts w:hint="default" w:ascii="Times New Roman" w:hAnsi="Times New Roman" w:eastAsia="方正楷体_GBK" w:cs="Times New Roman"/>
          <w:bCs/>
          <w:sz w:val="32"/>
          <w:szCs w:val="32"/>
        </w:rPr>
      </w:pPr>
      <w:r>
        <w:rPr>
          <w:rStyle w:val="11"/>
          <w:rFonts w:hint="default" w:ascii="Times New Roman" w:hAnsi="Times New Roman" w:eastAsia="方正楷体_GBK" w:cs="Times New Roman"/>
          <w:b w:val="0"/>
          <w:bCs/>
          <w:sz w:val="32"/>
          <w:szCs w:val="32"/>
          <w:shd w:val="clear" w:color="auto" w:fill="FFFFFF"/>
        </w:rPr>
        <w:t>（一）职能职责</w:t>
      </w:r>
    </w:p>
    <w:p w14:paraId="7CE9ECBD">
      <w:pPr>
        <w:shd w:val="clear" w:color="auto" w:fill="FFFFFF"/>
        <w:autoSpaceDE w:val="0"/>
        <w:snapToGrid w:val="0"/>
        <w:spacing w:line="600" w:lineRule="exact"/>
        <w:ind w:firstLine="640" w:firstLineChars="200"/>
        <w:jc w:val="both"/>
        <w:rPr>
          <w:rFonts w:hint="default" w:ascii="Times New Roman" w:hAnsi="Times New Roman" w:eastAsia="方正仿宋_GBK" w:cs="Times New Roman"/>
          <w:color w:val="000000"/>
          <w:sz w:val="32"/>
          <w:szCs w:val="32"/>
          <w:shd w:val="clear" w:color="auto" w:fill="FFFFFF"/>
        </w:rPr>
      </w:pPr>
      <w:r>
        <w:rPr>
          <w:rFonts w:hint="default" w:ascii="Times New Roman" w:hAnsi="Times New Roman" w:eastAsia="方正仿宋_GBK" w:cs="Times New Roman"/>
          <w:color w:val="000000"/>
          <w:sz w:val="32"/>
          <w:szCs w:val="32"/>
          <w:shd w:val="clear" w:color="auto" w:fill="FFFFFF"/>
        </w:rPr>
        <w:t>（1）开展教育教学工作。主要包括开展普通初中的各类课程教学及管理、教育科研、学籍管理等工</w:t>
      </w:r>
      <w:bookmarkStart w:id="0" w:name="_GoBack"/>
      <w:bookmarkEnd w:id="0"/>
      <w:r>
        <w:rPr>
          <w:rFonts w:hint="default" w:ascii="Times New Roman" w:hAnsi="Times New Roman" w:eastAsia="方正仿宋_GBK" w:cs="Times New Roman"/>
          <w:color w:val="000000"/>
          <w:sz w:val="32"/>
          <w:szCs w:val="32"/>
          <w:shd w:val="clear" w:color="auto" w:fill="FFFFFF"/>
        </w:rPr>
        <w:t>作。</w:t>
      </w:r>
    </w:p>
    <w:p w14:paraId="5B6EDCE6">
      <w:pPr>
        <w:shd w:val="clear" w:color="auto" w:fill="FFFFFF"/>
        <w:autoSpaceDE w:val="0"/>
        <w:snapToGrid w:val="0"/>
        <w:spacing w:line="600" w:lineRule="exact"/>
        <w:ind w:firstLine="640" w:firstLineChars="200"/>
        <w:jc w:val="both"/>
        <w:rPr>
          <w:rFonts w:hint="default" w:ascii="Times New Roman" w:hAnsi="Times New Roman" w:eastAsia="方正仿宋_GBK" w:cs="Times New Roman"/>
          <w:color w:val="000000"/>
          <w:sz w:val="32"/>
          <w:szCs w:val="32"/>
          <w:shd w:val="clear" w:color="auto" w:fill="FFFFFF"/>
        </w:rPr>
      </w:pPr>
      <w:r>
        <w:rPr>
          <w:rFonts w:hint="default" w:ascii="Times New Roman" w:hAnsi="Times New Roman" w:eastAsia="方正仿宋_GBK" w:cs="Times New Roman"/>
          <w:color w:val="000000"/>
          <w:sz w:val="32"/>
          <w:szCs w:val="32"/>
          <w:shd w:val="clear" w:color="auto" w:fill="FFFFFF"/>
        </w:rPr>
        <w:t>（2）开展学校德育工作。主要包括对学生进行思想品德教育，开展课外教育活动、社会实践活动等工作。</w:t>
      </w:r>
    </w:p>
    <w:p w14:paraId="3121A425">
      <w:pPr>
        <w:shd w:val="clear" w:color="auto" w:fill="FFFFFF"/>
        <w:autoSpaceDE w:val="0"/>
        <w:snapToGrid w:val="0"/>
        <w:spacing w:line="600" w:lineRule="exact"/>
        <w:ind w:firstLine="640" w:firstLineChars="200"/>
        <w:jc w:val="both"/>
        <w:rPr>
          <w:rFonts w:hint="default" w:ascii="Times New Roman" w:hAnsi="Times New Roman" w:eastAsia="方正仿宋_GBK" w:cs="Times New Roman"/>
          <w:color w:val="000000"/>
          <w:sz w:val="32"/>
          <w:szCs w:val="32"/>
          <w:shd w:val="clear" w:color="auto" w:fill="FFFFFF"/>
        </w:rPr>
      </w:pPr>
      <w:r>
        <w:rPr>
          <w:rFonts w:hint="default" w:ascii="Times New Roman" w:hAnsi="Times New Roman" w:eastAsia="方正仿宋_GBK" w:cs="Times New Roman"/>
          <w:color w:val="000000"/>
          <w:sz w:val="32"/>
          <w:szCs w:val="32"/>
          <w:shd w:val="clear" w:color="auto" w:fill="FFFFFF"/>
        </w:rPr>
        <w:t>（3）开展学校体育、卫生、艺术工作。主要包括开展课外体育和艺术活动、课余体育训练与竞赛、艺术展演展评、对传染病及学生常见病的预防和治疗工作。</w:t>
      </w:r>
    </w:p>
    <w:p w14:paraId="5BEE2FA1">
      <w:pPr>
        <w:shd w:val="clear" w:color="auto" w:fill="FFFFFF"/>
        <w:autoSpaceDE w:val="0"/>
        <w:snapToGrid w:val="0"/>
        <w:spacing w:line="600" w:lineRule="exact"/>
        <w:ind w:firstLine="640" w:firstLineChars="200"/>
        <w:jc w:val="both"/>
        <w:rPr>
          <w:rFonts w:hint="default" w:ascii="Times New Roman" w:hAnsi="Times New Roman" w:eastAsia="方正仿宋_GBK" w:cs="Times New Roman"/>
          <w:color w:val="000000"/>
          <w:sz w:val="32"/>
          <w:szCs w:val="32"/>
          <w:shd w:val="clear" w:color="auto" w:fill="FFFFFF"/>
        </w:rPr>
      </w:pPr>
      <w:r>
        <w:rPr>
          <w:rFonts w:hint="default" w:ascii="Times New Roman" w:hAnsi="Times New Roman" w:eastAsia="方正仿宋_GBK" w:cs="Times New Roman"/>
          <w:color w:val="000000"/>
          <w:sz w:val="32"/>
          <w:szCs w:val="32"/>
          <w:shd w:val="clear" w:color="auto" w:fill="FFFFFF"/>
        </w:rPr>
        <w:t>（4）负责学校行政管理工作。主要包括人事、财务、档案及后勤管理工作。</w:t>
      </w:r>
    </w:p>
    <w:p w14:paraId="5A6CDECA">
      <w:pPr>
        <w:shd w:val="clear" w:color="auto" w:fill="FFFFFF"/>
        <w:autoSpaceDE w:val="0"/>
        <w:snapToGrid w:val="0"/>
        <w:spacing w:line="600" w:lineRule="exact"/>
        <w:ind w:firstLine="640" w:firstLineChars="200"/>
        <w:jc w:val="both"/>
        <w:rPr>
          <w:rFonts w:hint="default" w:ascii="Times New Roman" w:hAnsi="Times New Roman" w:eastAsia="方正仿宋_GBK" w:cs="Times New Roman"/>
          <w:color w:val="000000"/>
          <w:sz w:val="32"/>
          <w:szCs w:val="32"/>
          <w:shd w:val="clear" w:color="auto" w:fill="FFFFFF"/>
        </w:rPr>
      </w:pPr>
      <w:r>
        <w:rPr>
          <w:rFonts w:hint="default" w:ascii="Times New Roman" w:hAnsi="Times New Roman" w:eastAsia="方正仿宋_GBK" w:cs="Times New Roman"/>
          <w:color w:val="000000"/>
          <w:sz w:val="32"/>
          <w:szCs w:val="32"/>
          <w:shd w:val="clear" w:color="auto" w:fill="FFFFFF"/>
        </w:rPr>
        <w:t>（5）开展对外交流工作。主要包括对外文化教育交流、对口支教等工作。</w:t>
      </w:r>
    </w:p>
    <w:p w14:paraId="31E8B1EA">
      <w:pPr>
        <w:shd w:val="clear" w:color="auto" w:fill="FFFFFF"/>
        <w:autoSpaceDE w:val="0"/>
        <w:snapToGrid w:val="0"/>
        <w:spacing w:line="600" w:lineRule="exact"/>
        <w:ind w:firstLine="640" w:firstLineChars="200"/>
        <w:jc w:val="both"/>
        <w:rPr>
          <w:rFonts w:hint="default" w:ascii="Times New Roman" w:hAnsi="Times New Roman" w:eastAsia="方正仿宋_GBK" w:cs="Times New Roman"/>
          <w:color w:val="000000"/>
          <w:sz w:val="32"/>
          <w:szCs w:val="32"/>
          <w:shd w:val="clear" w:color="auto" w:fill="FFFFFF"/>
        </w:rPr>
      </w:pPr>
      <w:r>
        <w:rPr>
          <w:rFonts w:hint="default" w:ascii="Times New Roman" w:hAnsi="Times New Roman" w:eastAsia="方正仿宋_GBK" w:cs="Times New Roman"/>
          <w:color w:val="000000"/>
          <w:sz w:val="32"/>
          <w:szCs w:val="32"/>
          <w:shd w:val="clear" w:color="auto" w:fill="FFFFFF"/>
        </w:rPr>
        <w:t>（6）维护校园安全，提供后勤保障服务。主要包括维护校园安全稳定、提供食堂餐饮服务、学生宿舍服务及物业服务等工作。</w:t>
      </w:r>
    </w:p>
    <w:p w14:paraId="10EECFF0">
      <w:pPr>
        <w:pStyle w:val="8"/>
        <w:shd w:val="clear" w:color="auto" w:fill="FFFFFF"/>
        <w:snapToGrid w:val="0"/>
        <w:spacing w:before="0" w:beforeAutospacing="0" w:after="0" w:afterAutospacing="0" w:line="600" w:lineRule="exact"/>
        <w:ind w:firstLine="640" w:firstLineChars="200"/>
        <w:jc w:val="both"/>
        <w:rPr>
          <w:rFonts w:hint="default" w:ascii="Times New Roman" w:hAnsi="Times New Roman" w:eastAsia="方正楷体_GBK" w:cs="Times New Roman"/>
          <w:bCs/>
          <w:sz w:val="32"/>
          <w:szCs w:val="32"/>
        </w:rPr>
      </w:pPr>
      <w:r>
        <w:rPr>
          <w:rStyle w:val="11"/>
          <w:rFonts w:hint="default" w:ascii="Times New Roman" w:hAnsi="Times New Roman" w:eastAsia="方正楷体_GBK" w:cs="Times New Roman"/>
          <w:b w:val="0"/>
          <w:bCs/>
          <w:sz w:val="32"/>
          <w:szCs w:val="32"/>
          <w:shd w:val="clear" w:color="auto" w:fill="FFFFFF"/>
        </w:rPr>
        <w:t>（二）机构设置</w:t>
      </w:r>
    </w:p>
    <w:p w14:paraId="7AB2A4C0">
      <w:pPr>
        <w:pStyle w:val="8"/>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xml:space="preserve">重庆市七十九中学是财政全额拨款事业单位，内设机构有党政办公室、德育处、教导处、总务处、工会、初2025年级、初2026年级、初2027年级、小学部。截至2024年12月31日，我单位在编教职工96人（12月退休1人），聘用教师57人，退休人员113人。小学2个班，初中43个班，学生共计2198人。 </w:t>
      </w:r>
    </w:p>
    <w:p w14:paraId="5DA92E61">
      <w:pPr>
        <w:pStyle w:val="8"/>
        <w:shd w:val="clear" w:color="auto" w:fill="FFFFFF"/>
        <w:snapToGrid w:val="0"/>
        <w:spacing w:before="0" w:beforeAutospacing="0" w:after="0" w:afterAutospacing="0" w:line="600" w:lineRule="exact"/>
        <w:ind w:firstLine="640" w:firstLineChars="200"/>
        <w:jc w:val="both"/>
        <w:rPr>
          <w:rStyle w:val="11"/>
          <w:rFonts w:hint="default" w:ascii="Times New Roman" w:hAnsi="Times New Roman" w:eastAsia="方正黑体_GBK" w:cs="Times New Roman"/>
          <w:b w:val="0"/>
          <w:bCs/>
          <w:sz w:val="32"/>
          <w:szCs w:val="32"/>
          <w:shd w:val="clear" w:color="auto" w:fill="FFFFFF"/>
        </w:rPr>
      </w:pPr>
      <w:r>
        <w:rPr>
          <w:rStyle w:val="11"/>
          <w:rFonts w:hint="default" w:ascii="Times New Roman" w:hAnsi="Times New Roman" w:eastAsia="方正黑体_GBK" w:cs="Times New Roman"/>
          <w:b w:val="0"/>
          <w:bCs/>
          <w:sz w:val="32"/>
          <w:szCs w:val="32"/>
          <w:shd w:val="clear" w:color="auto" w:fill="FFFFFF"/>
        </w:rPr>
        <w:t>二、单位决算收支情况说明</w:t>
      </w:r>
    </w:p>
    <w:p w14:paraId="149FD18F">
      <w:pPr>
        <w:pStyle w:val="8"/>
        <w:shd w:val="clear" w:color="auto" w:fill="FFFFFF"/>
        <w:snapToGrid w:val="0"/>
        <w:spacing w:before="0" w:beforeAutospacing="0" w:after="0" w:afterAutospacing="0" w:line="600" w:lineRule="exact"/>
        <w:ind w:firstLine="640" w:firstLineChars="20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（一）收入支出决算总体情况说明</w:t>
      </w:r>
    </w:p>
    <w:p w14:paraId="4AE863DC">
      <w:pPr>
        <w:pStyle w:val="8"/>
        <w:shd w:val="clear" w:color="auto" w:fill="FFFFFF"/>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2024年度收入总计3680.19万元，支出总计</w:t>
      </w:r>
      <w:r>
        <w:rPr>
          <w:rFonts w:hint="default" w:ascii="Times New Roman" w:hAnsi="Times New Roman" w:eastAsia="方正仿宋_GBK" w:cs="Times New Roman"/>
          <w:sz w:val="32"/>
          <w:szCs w:val="32"/>
        </w:rPr>
        <w:t>3680.19</w:t>
      </w:r>
      <w:r>
        <w:rPr>
          <w:rFonts w:hint="default" w:ascii="Times New Roman" w:hAnsi="Times New Roman" w:eastAsia="方正仿宋_GBK" w:cs="Times New Roman"/>
          <w:sz w:val="32"/>
          <w:szCs w:val="32"/>
          <w:shd w:val="clear" w:color="auto" w:fill="FFFFFF"/>
        </w:rPr>
        <w:t>万元。收、支与2023年度相比，增加154.04万元，增长4.4%，主要原因是</w:t>
      </w:r>
      <w:r>
        <w:rPr>
          <w:rFonts w:hint="default" w:ascii="Times New Roman" w:hAnsi="Times New Roman" w:eastAsia="方正仿宋_GBK" w:cs="Times New Roman"/>
          <w:sz w:val="32"/>
          <w:szCs w:val="32"/>
          <w:shd w:val="clear" w:color="auto" w:fill="FFFFFF"/>
          <w:lang w:val="en-US" w:eastAsia="zh-CN"/>
        </w:rPr>
        <w:t>增人增资、政策性调资及</w:t>
      </w:r>
      <w:r>
        <w:rPr>
          <w:rFonts w:hint="default" w:ascii="Times New Roman" w:hAnsi="Times New Roman" w:eastAsia="方正仿宋_GBK" w:cs="Times New Roman"/>
          <w:sz w:val="32"/>
          <w:szCs w:val="32"/>
          <w:shd w:val="clear" w:color="auto" w:fill="FFFFFF"/>
        </w:rPr>
        <w:t>补缴</w:t>
      </w:r>
      <w:r>
        <w:rPr>
          <w:rFonts w:hint="default" w:ascii="Times New Roman" w:hAnsi="Times New Roman" w:eastAsia="方正仿宋_GBK" w:cs="Times New Roman"/>
          <w:sz w:val="32"/>
          <w:szCs w:val="32"/>
          <w:shd w:val="clear" w:color="auto" w:fill="FFFFFF"/>
          <w:lang w:val="en-US" w:eastAsia="zh-CN"/>
        </w:rPr>
        <w:t>以前年度</w:t>
      </w:r>
      <w:r>
        <w:rPr>
          <w:rFonts w:hint="default" w:ascii="Times New Roman" w:hAnsi="Times New Roman" w:eastAsia="方正仿宋_GBK" w:cs="Times New Roman"/>
          <w:sz w:val="32"/>
          <w:szCs w:val="32"/>
          <w:shd w:val="clear" w:color="auto" w:fill="FFFFFF"/>
        </w:rPr>
        <w:t>年养老保险</w:t>
      </w:r>
      <w:r>
        <w:rPr>
          <w:rFonts w:hint="default" w:ascii="Times New Roman" w:hAnsi="Times New Roman" w:eastAsia="方正仿宋_GBK" w:cs="Times New Roman"/>
          <w:sz w:val="32"/>
          <w:szCs w:val="32"/>
          <w:shd w:val="clear" w:color="auto" w:fill="FFFFFF"/>
          <w:lang w:val="en-US" w:eastAsia="zh-CN"/>
        </w:rPr>
        <w:t>和</w:t>
      </w:r>
      <w:r>
        <w:rPr>
          <w:rFonts w:hint="default" w:ascii="Times New Roman" w:hAnsi="Times New Roman" w:eastAsia="方正仿宋_GBK" w:cs="Times New Roman"/>
          <w:sz w:val="32"/>
          <w:szCs w:val="32"/>
          <w:shd w:val="clear" w:color="auto" w:fill="FFFFFF"/>
        </w:rPr>
        <w:t>职业年金。</w:t>
      </w:r>
    </w:p>
    <w:p w14:paraId="0909938A">
      <w:pPr>
        <w:pStyle w:val="8"/>
        <w:shd w:val="clear" w:color="auto" w:fill="FFFFFF"/>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2024年度收入合计3680.19万元，与2023年度相比，增加154.04万元，增长4.4%，主要原因是</w:t>
      </w:r>
      <w:r>
        <w:rPr>
          <w:rFonts w:hint="default" w:ascii="Times New Roman" w:hAnsi="Times New Roman" w:eastAsia="方正仿宋_GBK" w:cs="Times New Roman"/>
          <w:sz w:val="32"/>
          <w:szCs w:val="32"/>
          <w:shd w:val="clear" w:color="auto" w:fill="FFFFFF"/>
          <w:lang w:val="en-US" w:eastAsia="zh-CN"/>
        </w:rPr>
        <w:t>增人增资、政策性调资及</w:t>
      </w:r>
      <w:r>
        <w:rPr>
          <w:rFonts w:hint="default" w:ascii="Times New Roman" w:hAnsi="Times New Roman" w:eastAsia="方正仿宋_GBK" w:cs="Times New Roman"/>
          <w:sz w:val="32"/>
          <w:szCs w:val="32"/>
          <w:shd w:val="clear" w:color="auto" w:fill="FFFFFF"/>
        </w:rPr>
        <w:t>补缴</w:t>
      </w:r>
      <w:r>
        <w:rPr>
          <w:rFonts w:hint="default" w:ascii="Times New Roman" w:hAnsi="Times New Roman" w:eastAsia="方正仿宋_GBK" w:cs="Times New Roman"/>
          <w:sz w:val="32"/>
          <w:szCs w:val="32"/>
          <w:shd w:val="clear" w:color="auto" w:fill="FFFFFF"/>
          <w:lang w:val="en-US" w:eastAsia="zh-CN"/>
        </w:rPr>
        <w:t>以前年度</w:t>
      </w:r>
      <w:r>
        <w:rPr>
          <w:rFonts w:hint="default" w:ascii="Times New Roman" w:hAnsi="Times New Roman" w:eastAsia="方正仿宋_GBK" w:cs="Times New Roman"/>
          <w:sz w:val="32"/>
          <w:szCs w:val="32"/>
          <w:shd w:val="clear" w:color="auto" w:fill="FFFFFF"/>
        </w:rPr>
        <w:t>年养老保险</w:t>
      </w:r>
      <w:r>
        <w:rPr>
          <w:rFonts w:hint="default" w:ascii="Times New Roman" w:hAnsi="Times New Roman" w:eastAsia="方正仿宋_GBK" w:cs="Times New Roman"/>
          <w:sz w:val="32"/>
          <w:szCs w:val="32"/>
          <w:shd w:val="clear" w:color="auto" w:fill="FFFFFF"/>
          <w:lang w:val="en-US" w:eastAsia="zh-CN"/>
        </w:rPr>
        <w:t>和</w:t>
      </w:r>
      <w:r>
        <w:rPr>
          <w:rFonts w:hint="default" w:ascii="Times New Roman" w:hAnsi="Times New Roman" w:eastAsia="方正仿宋_GBK" w:cs="Times New Roman"/>
          <w:sz w:val="32"/>
          <w:szCs w:val="32"/>
          <w:shd w:val="clear" w:color="auto" w:fill="FFFFFF"/>
        </w:rPr>
        <w:t>职业年金。其中：财政拨款收入</w:t>
      </w:r>
      <w:r>
        <w:rPr>
          <w:rFonts w:hint="default" w:ascii="Times New Roman" w:hAnsi="Times New Roman" w:eastAsia="方正仿宋_GBK" w:cs="Times New Roman"/>
          <w:sz w:val="32"/>
          <w:szCs w:val="32"/>
        </w:rPr>
        <w:t>3668.89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99.69</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11.30</w:t>
      </w:r>
      <w:r>
        <w:rPr>
          <w:rFonts w:hint="default" w:ascii="Times New Roman" w:hAnsi="Times New Roman" w:eastAsia="方正仿宋_GBK" w:cs="Times New Roman"/>
          <w:sz w:val="32"/>
          <w:szCs w:val="32"/>
          <w:shd w:val="clear" w:color="auto" w:fill="FFFFFF"/>
        </w:rPr>
        <w:t>万元，占0.31%。</w:t>
      </w:r>
    </w:p>
    <w:p w14:paraId="7C05623F">
      <w:pPr>
        <w:pStyle w:val="8"/>
        <w:shd w:val="clear" w:color="auto" w:fill="FFFFFF"/>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3680.19</w:t>
      </w:r>
      <w:r>
        <w:rPr>
          <w:rFonts w:hint="default" w:ascii="Times New Roman" w:hAnsi="Times New Roman" w:eastAsia="方正仿宋_GBK" w:cs="Times New Roman"/>
          <w:sz w:val="32"/>
          <w:szCs w:val="32"/>
          <w:shd w:val="clear" w:color="auto" w:fill="FFFFFF"/>
        </w:rPr>
        <w:t>万元，与2023年度相比，增加154.04万元，增长4.4%，主要原因</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是</w:t>
      </w:r>
      <w:r>
        <w:rPr>
          <w:rFonts w:hint="default" w:ascii="Times New Roman" w:hAnsi="Times New Roman" w:eastAsia="方正仿宋_GBK" w:cs="Times New Roman"/>
          <w:sz w:val="32"/>
          <w:szCs w:val="32"/>
          <w:shd w:val="clear" w:color="auto" w:fill="FFFFFF"/>
          <w:lang w:val="en-US" w:eastAsia="zh-CN"/>
        </w:rPr>
        <w:t>增人增资、政策性调资及</w:t>
      </w:r>
      <w:r>
        <w:rPr>
          <w:rFonts w:hint="default" w:ascii="Times New Roman" w:hAnsi="Times New Roman" w:eastAsia="方正仿宋_GBK" w:cs="Times New Roman"/>
          <w:sz w:val="32"/>
          <w:szCs w:val="32"/>
          <w:shd w:val="clear" w:color="auto" w:fill="FFFFFF"/>
        </w:rPr>
        <w:t>补缴</w:t>
      </w:r>
      <w:r>
        <w:rPr>
          <w:rFonts w:hint="default" w:ascii="Times New Roman" w:hAnsi="Times New Roman" w:eastAsia="方正仿宋_GBK" w:cs="Times New Roman"/>
          <w:sz w:val="32"/>
          <w:szCs w:val="32"/>
          <w:shd w:val="clear" w:color="auto" w:fill="FFFFFF"/>
          <w:lang w:val="en-US" w:eastAsia="zh-CN"/>
        </w:rPr>
        <w:t>以前年度</w:t>
      </w:r>
      <w:r>
        <w:rPr>
          <w:rFonts w:hint="default" w:ascii="Times New Roman" w:hAnsi="Times New Roman" w:eastAsia="方正仿宋_GBK" w:cs="Times New Roman"/>
          <w:sz w:val="32"/>
          <w:szCs w:val="32"/>
          <w:shd w:val="clear" w:color="auto" w:fill="FFFFFF"/>
        </w:rPr>
        <w:t>年养老保险</w:t>
      </w:r>
      <w:r>
        <w:rPr>
          <w:rFonts w:hint="default" w:ascii="Times New Roman" w:hAnsi="Times New Roman" w:eastAsia="方正仿宋_GBK" w:cs="Times New Roman"/>
          <w:sz w:val="32"/>
          <w:szCs w:val="32"/>
          <w:shd w:val="clear" w:color="auto" w:fill="FFFFFF"/>
          <w:lang w:val="en-US" w:eastAsia="zh-CN"/>
        </w:rPr>
        <w:t>和</w:t>
      </w:r>
      <w:r>
        <w:rPr>
          <w:rFonts w:hint="default" w:ascii="Times New Roman" w:hAnsi="Times New Roman" w:eastAsia="方正仿宋_GBK" w:cs="Times New Roman"/>
          <w:sz w:val="32"/>
          <w:szCs w:val="32"/>
          <w:shd w:val="clear" w:color="auto" w:fill="FFFFFF"/>
        </w:rPr>
        <w:t>职业年金。其中：基本支出</w:t>
      </w:r>
      <w:r>
        <w:rPr>
          <w:rFonts w:hint="default" w:ascii="Times New Roman" w:hAnsi="Times New Roman" w:eastAsia="方正仿宋_GBK" w:cs="Times New Roman"/>
          <w:sz w:val="32"/>
          <w:szCs w:val="32"/>
        </w:rPr>
        <w:t>3086.57</w:t>
      </w:r>
      <w:r>
        <w:rPr>
          <w:rFonts w:hint="default" w:ascii="Times New Roman" w:hAnsi="Times New Roman" w:eastAsia="方正仿宋_GBK" w:cs="Times New Roman"/>
          <w:sz w:val="32"/>
          <w:szCs w:val="32"/>
          <w:shd w:val="clear" w:color="auto" w:fill="FFFFFF"/>
        </w:rPr>
        <w:t>万元，占83.87%；项目支出</w:t>
      </w:r>
      <w:r>
        <w:rPr>
          <w:rFonts w:hint="default" w:ascii="Times New Roman" w:hAnsi="Times New Roman" w:eastAsia="方正仿宋_GBK" w:cs="Times New Roman"/>
          <w:sz w:val="32"/>
          <w:szCs w:val="32"/>
        </w:rPr>
        <w:t>593.63</w:t>
      </w:r>
      <w:r>
        <w:rPr>
          <w:rFonts w:hint="default" w:ascii="Times New Roman" w:hAnsi="Times New Roman" w:eastAsia="方正仿宋_GBK" w:cs="Times New Roman"/>
          <w:sz w:val="32"/>
          <w:szCs w:val="32"/>
          <w:shd w:val="clear" w:color="auto" w:fill="FFFFFF"/>
        </w:rPr>
        <w:t>万元，占16.13%。</w:t>
      </w:r>
    </w:p>
    <w:p w14:paraId="0F8F2DEB">
      <w:pPr>
        <w:pStyle w:val="8"/>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无增减。</w:t>
      </w:r>
    </w:p>
    <w:p w14:paraId="712625D2">
      <w:pPr>
        <w:pStyle w:val="12"/>
        <w:autoSpaceDE w:val="0"/>
        <w:snapToGrid w:val="0"/>
        <w:spacing w:line="600" w:lineRule="exact"/>
        <w:ind w:firstLine="64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（二）财政拨款收入支出决算总体情况说明</w:t>
      </w:r>
    </w:p>
    <w:p w14:paraId="276D0B8F">
      <w:pPr>
        <w:pStyle w:val="8"/>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sz w:val="32"/>
          <w:szCs w:val="32"/>
          <w:shd w:val="clear" w:color="auto" w:fill="FFFFFF"/>
        </w:rPr>
        <w:t>2024年度财政拨款收、支总计3668.89万元。与2023年相比，财政拨款收、支总计各增加146.54万元，增长4.2%。主要原因</w:t>
      </w:r>
      <w:r>
        <w:rPr>
          <w:rFonts w:hint="default" w:ascii="Times New Roman" w:hAnsi="Times New Roman" w:eastAsia="方正仿宋_GBK" w:cs="Times New Roman"/>
          <w:sz w:val="32"/>
          <w:szCs w:val="32"/>
          <w:shd w:val="clear" w:color="auto" w:fill="FFFFFF"/>
          <w:lang w:val="en-US" w:eastAsia="zh-CN"/>
        </w:rPr>
        <w:t>增人增资、政策性调资及</w:t>
      </w:r>
      <w:r>
        <w:rPr>
          <w:rFonts w:hint="default" w:ascii="Times New Roman" w:hAnsi="Times New Roman" w:eastAsia="方正仿宋_GBK" w:cs="Times New Roman"/>
          <w:sz w:val="32"/>
          <w:szCs w:val="32"/>
          <w:shd w:val="clear" w:color="auto" w:fill="FFFFFF"/>
        </w:rPr>
        <w:t>补缴</w:t>
      </w:r>
      <w:r>
        <w:rPr>
          <w:rFonts w:hint="default" w:ascii="Times New Roman" w:hAnsi="Times New Roman" w:eastAsia="方正仿宋_GBK" w:cs="Times New Roman"/>
          <w:sz w:val="32"/>
          <w:szCs w:val="32"/>
          <w:shd w:val="clear" w:color="auto" w:fill="FFFFFF"/>
          <w:lang w:val="en-US" w:eastAsia="zh-CN"/>
        </w:rPr>
        <w:t>以前年度</w:t>
      </w:r>
      <w:r>
        <w:rPr>
          <w:rFonts w:hint="default" w:ascii="Times New Roman" w:hAnsi="Times New Roman" w:eastAsia="方正仿宋_GBK" w:cs="Times New Roman"/>
          <w:sz w:val="32"/>
          <w:szCs w:val="32"/>
          <w:shd w:val="clear" w:color="auto" w:fill="FFFFFF"/>
        </w:rPr>
        <w:t>年养老保险</w:t>
      </w:r>
      <w:r>
        <w:rPr>
          <w:rFonts w:hint="default" w:ascii="Times New Roman" w:hAnsi="Times New Roman" w:eastAsia="方正仿宋_GBK" w:cs="Times New Roman"/>
          <w:sz w:val="32"/>
          <w:szCs w:val="32"/>
          <w:shd w:val="clear" w:color="auto" w:fill="FFFFFF"/>
          <w:lang w:val="en-US" w:eastAsia="zh-CN"/>
        </w:rPr>
        <w:t>和</w:t>
      </w:r>
      <w:r>
        <w:rPr>
          <w:rFonts w:hint="default" w:ascii="Times New Roman" w:hAnsi="Times New Roman" w:eastAsia="方正仿宋_GBK" w:cs="Times New Roman"/>
          <w:sz w:val="32"/>
          <w:szCs w:val="32"/>
          <w:shd w:val="clear" w:color="auto" w:fill="FFFFFF"/>
        </w:rPr>
        <w:t>职业年金。</w:t>
      </w:r>
    </w:p>
    <w:p w14:paraId="3DC2EFB2">
      <w:pPr>
        <w:pStyle w:val="12"/>
        <w:autoSpaceDE w:val="0"/>
        <w:snapToGrid w:val="0"/>
        <w:spacing w:line="600" w:lineRule="exact"/>
        <w:ind w:firstLine="64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（三）一般公共预算财政拨款收入支出决算情况说明</w:t>
      </w:r>
    </w:p>
    <w:p w14:paraId="49B1272A">
      <w:pPr>
        <w:pStyle w:val="8"/>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3668.89</w:t>
      </w:r>
      <w:r>
        <w:rPr>
          <w:rFonts w:hint="default" w:ascii="Times New Roman" w:hAnsi="Times New Roman" w:eastAsia="方正仿宋_GBK" w:cs="Times New Roman"/>
          <w:sz w:val="32"/>
          <w:szCs w:val="32"/>
          <w:shd w:val="clear" w:color="auto" w:fill="FFFFFF"/>
        </w:rPr>
        <w:t>万元，与2023年度相比，增加148.54万元，增长4.2%。主要原因</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是</w:t>
      </w:r>
      <w:r>
        <w:rPr>
          <w:rFonts w:hint="default" w:ascii="Times New Roman" w:hAnsi="Times New Roman" w:eastAsia="方正仿宋_GBK" w:cs="Times New Roman"/>
          <w:sz w:val="32"/>
          <w:szCs w:val="32"/>
          <w:shd w:val="clear" w:color="auto" w:fill="FFFFFF"/>
          <w:lang w:val="en-US" w:eastAsia="zh-CN"/>
        </w:rPr>
        <w:t>增人增资、政策性调资及</w:t>
      </w:r>
      <w:r>
        <w:rPr>
          <w:rFonts w:hint="default" w:ascii="Times New Roman" w:hAnsi="Times New Roman" w:eastAsia="方正仿宋_GBK" w:cs="Times New Roman"/>
          <w:sz w:val="32"/>
          <w:szCs w:val="32"/>
          <w:shd w:val="clear" w:color="auto" w:fill="FFFFFF"/>
        </w:rPr>
        <w:t>补缴</w:t>
      </w:r>
      <w:r>
        <w:rPr>
          <w:rFonts w:hint="default" w:ascii="Times New Roman" w:hAnsi="Times New Roman" w:eastAsia="方正仿宋_GBK" w:cs="Times New Roman"/>
          <w:sz w:val="32"/>
          <w:szCs w:val="32"/>
          <w:shd w:val="clear" w:color="auto" w:fill="FFFFFF"/>
          <w:lang w:val="en-US" w:eastAsia="zh-CN"/>
        </w:rPr>
        <w:t>以前年度</w:t>
      </w:r>
      <w:r>
        <w:rPr>
          <w:rFonts w:hint="default" w:ascii="Times New Roman" w:hAnsi="Times New Roman" w:eastAsia="方正仿宋_GBK" w:cs="Times New Roman"/>
          <w:sz w:val="32"/>
          <w:szCs w:val="32"/>
          <w:shd w:val="clear" w:color="auto" w:fill="FFFFFF"/>
        </w:rPr>
        <w:t>年养老保险</w:t>
      </w:r>
      <w:r>
        <w:rPr>
          <w:rFonts w:hint="default" w:ascii="Times New Roman" w:hAnsi="Times New Roman" w:eastAsia="方正仿宋_GBK" w:cs="Times New Roman"/>
          <w:sz w:val="32"/>
          <w:szCs w:val="32"/>
          <w:shd w:val="clear" w:color="auto" w:fill="FFFFFF"/>
          <w:lang w:val="en-US" w:eastAsia="zh-CN"/>
        </w:rPr>
        <w:t>和</w:t>
      </w:r>
      <w:r>
        <w:rPr>
          <w:rFonts w:hint="default" w:ascii="Times New Roman" w:hAnsi="Times New Roman" w:eastAsia="方正仿宋_GBK" w:cs="Times New Roman"/>
          <w:sz w:val="32"/>
          <w:szCs w:val="32"/>
          <w:shd w:val="clear" w:color="auto" w:fill="FFFFFF"/>
        </w:rPr>
        <w:t>职业年金。较年初预算数增加628.84万元，增长20.7%。主要原因是</w:t>
      </w:r>
      <w:r>
        <w:rPr>
          <w:rFonts w:hint="default" w:ascii="Times New Roman" w:hAnsi="Times New Roman" w:eastAsia="方正仿宋_GBK" w:cs="Times New Roman"/>
          <w:sz w:val="32"/>
          <w:szCs w:val="32"/>
          <w:shd w:val="clear" w:color="auto" w:fill="FFFFFF"/>
          <w:lang w:val="en-US" w:eastAsia="zh-CN"/>
        </w:rPr>
        <w:t>增人增资、政策性调资及</w:t>
      </w:r>
      <w:r>
        <w:rPr>
          <w:rFonts w:hint="default" w:ascii="Times New Roman" w:hAnsi="Times New Roman" w:eastAsia="方正仿宋_GBK" w:cs="Times New Roman"/>
          <w:sz w:val="32"/>
          <w:szCs w:val="32"/>
          <w:shd w:val="clear" w:color="auto" w:fill="FFFFFF"/>
        </w:rPr>
        <w:t>补缴</w:t>
      </w:r>
      <w:r>
        <w:rPr>
          <w:rFonts w:hint="default" w:ascii="Times New Roman" w:hAnsi="Times New Roman" w:eastAsia="方正仿宋_GBK" w:cs="Times New Roman"/>
          <w:sz w:val="32"/>
          <w:szCs w:val="32"/>
          <w:shd w:val="clear" w:color="auto" w:fill="FFFFFF"/>
          <w:lang w:val="en-US" w:eastAsia="zh-CN"/>
        </w:rPr>
        <w:t>以前年度</w:t>
      </w:r>
      <w:r>
        <w:rPr>
          <w:rFonts w:hint="default" w:ascii="Times New Roman" w:hAnsi="Times New Roman" w:eastAsia="方正仿宋_GBK" w:cs="Times New Roman"/>
          <w:sz w:val="32"/>
          <w:szCs w:val="32"/>
          <w:shd w:val="clear" w:color="auto" w:fill="FFFFFF"/>
        </w:rPr>
        <w:t>年养老保险</w:t>
      </w:r>
      <w:r>
        <w:rPr>
          <w:rFonts w:hint="default" w:ascii="Times New Roman" w:hAnsi="Times New Roman" w:eastAsia="方正仿宋_GBK" w:cs="Times New Roman"/>
          <w:sz w:val="32"/>
          <w:szCs w:val="32"/>
          <w:shd w:val="clear" w:color="auto" w:fill="FFFFFF"/>
          <w:lang w:val="en-US" w:eastAsia="zh-CN"/>
        </w:rPr>
        <w:t>和</w:t>
      </w:r>
      <w:r>
        <w:rPr>
          <w:rFonts w:hint="default" w:ascii="Times New Roman" w:hAnsi="Times New Roman" w:eastAsia="方正仿宋_GBK" w:cs="Times New Roman"/>
          <w:sz w:val="32"/>
          <w:szCs w:val="32"/>
          <w:shd w:val="clear" w:color="auto" w:fill="FFFFFF"/>
        </w:rPr>
        <w:t>职业年金。此外，年初拨款财政结转和结余0.00万元。</w:t>
      </w:r>
    </w:p>
    <w:p w14:paraId="232A62B8">
      <w:pPr>
        <w:pStyle w:val="8"/>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3668.89</w:t>
      </w:r>
      <w:r>
        <w:rPr>
          <w:rFonts w:hint="default" w:ascii="Times New Roman" w:hAnsi="Times New Roman" w:eastAsia="方正仿宋_GBK" w:cs="Times New Roman"/>
          <w:sz w:val="32"/>
          <w:szCs w:val="32"/>
          <w:shd w:val="clear" w:color="auto" w:fill="FFFFFF"/>
        </w:rPr>
        <w:t>万元，与2023年度相比，增加148.54万元，增长4.2%。主要原因是</w:t>
      </w:r>
      <w:r>
        <w:rPr>
          <w:rFonts w:hint="default" w:ascii="Times New Roman" w:hAnsi="Times New Roman" w:eastAsia="方正仿宋_GBK" w:cs="Times New Roman"/>
          <w:sz w:val="32"/>
          <w:szCs w:val="32"/>
          <w:shd w:val="clear" w:color="auto" w:fill="FFFFFF"/>
          <w:lang w:val="en-US" w:eastAsia="zh-CN"/>
        </w:rPr>
        <w:t>增人增资、政策性调资及</w:t>
      </w:r>
      <w:r>
        <w:rPr>
          <w:rFonts w:hint="default" w:ascii="Times New Roman" w:hAnsi="Times New Roman" w:eastAsia="方正仿宋_GBK" w:cs="Times New Roman"/>
          <w:sz w:val="32"/>
          <w:szCs w:val="32"/>
          <w:shd w:val="clear" w:color="auto" w:fill="FFFFFF"/>
        </w:rPr>
        <w:t>补缴</w:t>
      </w:r>
      <w:r>
        <w:rPr>
          <w:rFonts w:hint="default" w:ascii="Times New Roman" w:hAnsi="Times New Roman" w:eastAsia="方正仿宋_GBK" w:cs="Times New Roman"/>
          <w:sz w:val="32"/>
          <w:szCs w:val="32"/>
          <w:shd w:val="clear" w:color="auto" w:fill="FFFFFF"/>
          <w:lang w:val="en-US" w:eastAsia="zh-CN"/>
        </w:rPr>
        <w:t>以前年度</w:t>
      </w:r>
      <w:r>
        <w:rPr>
          <w:rFonts w:hint="default" w:ascii="Times New Roman" w:hAnsi="Times New Roman" w:eastAsia="方正仿宋_GBK" w:cs="Times New Roman"/>
          <w:sz w:val="32"/>
          <w:szCs w:val="32"/>
          <w:shd w:val="clear" w:color="auto" w:fill="FFFFFF"/>
        </w:rPr>
        <w:t>年养老保险</w:t>
      </w:r>
      <w:r>
        <w:rPr>
          <w:rFonts w:hint="default" w:ascii="Times New Roman" w:hAnsi="Times New Roman" w:eastAsia="方正仿宋_GBK" w:cs="Times New Roman"/>
          <w:sz w:val="32"/>
          <w:szCs w:val="32"/>
          <w:shd w:val="clear" w:color="auto" w:fill="FFFFFF"/>
          <w:lang w:val="en-US" w:eastAsia="zh-CN"/>
        </w:rPr>
        <w:t>和</w:t>
      </w:r>
      <w:r>
        <w:rPr>
          <w:rFonts w:hint="default" w:ascii="Times New Roman" w:hAnsi="Times New Roman" w:eastAsia="方正仿宋_GBK" w:cs="Times New Roman"/>
          <w:sz w:val="32"/>
          <w:szCs w:val="32"/>
          <w:shd w:val="clear" w:color="auto" w:fill="FFFFFF"/>
        </w:rPr>
        <w:t>职业年金。较年初预算数增加628.84万元，增长20.7%。主要原因是</w:t>
      </w:r>
      <w:r>
        <w:rPr>
          <w:rFonts w:hint="default" w:ascii="Times New Roman" w:hAnsi="Times New Roman" w:eastAsia="方正仿宋_GBK" w:cs="Times New Roman"/>
          <w:sz w:val="32"/>
          <w:szCs w:val="32"/>
          <w:shd w:val="clear" w:color="auto" w:fill="FFFFFF"/>
          <w:lang w:val="en-US" w:eastAsia="zh-CN"/>
        </w:rPr>
        <w:t>增人增资、政策性调资及</w:t>
      </w:r>
      <w:r>
        <w:rPr>
          <w:rFonts w:hint="default" w:ascii="Times New Roman" w:hAnsi="Times New Roman" w:eastAsia="方正仿宋_GBK" w:cs="Times New Roman"/>
          <w:sz w:val="32"/>
          <w:szCs w:val="32"/>
          <w:shd w:val="clear" w:color="auto" w:fill="FFFFFF"/>
        </w:rPr>
        <w:t>补缴</w:t>
      </w:r>
      <w:r>
        <w:rPr>
          <w:rFonts w:hint="default" w:ascii="Times New Roman" w:hAnsi="Times New Roman" w:eastAsia="方正仿宋_GBK" w:cs="Times New Roman"/>
          <w:sz w:val="32"/>
          <w:szCs w:val="32"/>
          <w:shd w:val="clear" w:color="auto" w:fill="FFFFFF"/>
          <w:lang w:val="en-US" w:eastAsia="zh-CN"/>
        </w:rPr>
        <w:t>以前年度</w:t>
      </w:r>
      <w:r>
        <w:rPr>
          <w:rFonts w:hint="default" w:ascii="Times New Roman" w:hAnsi="Times New Roman" w:eastAsia="方正仿宋_GBK" w:cs="Times New Roman"/>
          <w:sz w:val="32"/>
          <w:szCs w:val="32"/>
          <w:shd w:val="clear" w:color="auto" w:fill="FFFFFF"/>
        </w:rPr>
        <w:t>年养老保险</w:t>
      </w:r>
      <w:r>
        <w:rPr>
          <w:rFonts w:hint="default" w:ascii="Times New Roman" w:hAnsi="Times New Roman" w:eastAsia="方正仿宋_GBK" w:cs="Times New Roman"/>
          <w:sz w:val="32"/>
          <w:szCs w:val="32"/>
          <w:shd w:val="clear" w:color="auto" w:fill="FFFFFF"/>
          <w:lang w:val="en-US" w:eastAsia="zh-CN"/>
        </w:rPr>
        <w:t>和</w:t>
      </w:r>
      <w:r>
        <w:rPr>
          <w:rFonts w:hint="default" w:ascii="Times New Roman" w:hAnsi="Times New Roman" w:eastAsia="方正仿宋_GBK" w:cs="Times New Roman"/>
          <w:sz w:val="32"/>
          <w:szCs w:val="32"/>
          <w:shd w:val="clear" w:color="auto" w:fill="FFFFFF"/>
        </w:rPr>
        <w:t>职业年金。</w:t>
      </w:r>
    </w:p>
    <w:p w14:paraId="21C2E21F">
      <w:pPr>
        <w:pStyle w:val="8"/>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3</w:t>
      </w:r>
      <w:r>
        <w:rPr>
          <w:rStyle w:val="11"/>
          <w:rFonts w:hint="default" w:ascii="Times New Roman" w:hAnsi="Times New Roman" w:eastAsia="方正仿宋_GBK" w:cs="Times New Roman"/>
          <w:sz w:val="32"/>
          <w:szCs w:val="32"/>
          <w:shd w:val="clear" w:color="auto" w:fill="FFFFFF"/>
          <w:lang w:eastAsia="zh-CN"/>
        </w:rPr>
        <w:t>.</w:t>
      </w:r>
      <w:r>
        <w:rPr>
          <w:rStyle w:val="11"/>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无增减</w:t>
      </w:r>
      <w:r>
        <w:rPr>
          <w:rFonts w:hint="default" w:ascii="Times New Roman" w:hAnsi="Times New Roman" w:eastAsia="方正仿宋_GBK" w:cs="Times New Roman"/>
          <w:sz w:val="32"/>
          <w:szCs w:val="32"/>
          <w:shd w:val="clear" w:color="auto" w:fill="FFFFFF"/>
        </w:rPr>
        <w:t>。</w:t>
      </w:r>
    </w:p>
    <w:p w14:paraId="6772B044">
      <w:pPr>
        <w:pStyle w:val="8"/>
        <w:snapToGrid w:val="0"/>
        <w:spacing w:before="0" w:beforeAutospacing="0" w:after="0" w:afterAutospacing="0" w:line="600" w:lineRule="exact"/>
        <w:ind w:firstLine="643" w:firstLineChars="200"/>
        <w:jc w:val="both"/>
        <w:rPr>
          <w:rFonts w:hint="default" w:ascii="Times New Roman" w:hAnsi="Times New Roman" w:eastAsia="方正仿宋_GBK" w:cs="Times New Roman"/>
          <w:color w:val="FF0000"/>
          <w:sz w:val="32"/>
          <w:szCs w:val="32"/>
          <w:highlight w:val="cyan"/>
          <w:shd w:val="clear" w:color="auto" w:fill="FFFFFF"/>
        </w:rPr>
      </w:pPr>
      <w:r>
        <w:rPr>
          <w:rStyle w:val="11"/>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本单位2024年度一般公共预算财政拨款支出主要用于以下几个方面：</w:t>
      </w:r>
    </w:p>
    <w:p w14:paraId="4DA13A5A">
      <w:pPr>
        <w:pStyle w:val="8"/>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sz w:val="32"/>
          <w:szCs w:val="32"/>
          <w:shd w:val="clear" w:color="auto" w:fill="FFFFFF"/>
        </w:rPr>
        <w:t>（1）教育支出</w:t>
      </w:r>
      <w:r>
        <w:rPr>
          <w:rFonts w:hint="default" w:ascii="Times New Roman" w:hAnsi="Times New Roman" w:eastAsia="方正仿宋_GBK" w:cs="Times New Roman"/>
          <w:sz w:val="32"/>
          <w:szCs w:val="32"/>
        </w:rPr>
        <w:t>2810.81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76.61</w:t>
      </w:r>
      <w:r>
        <w:rPr>
          <w:rFonts w:hint="default" w:ascii="Times New Roman" w:hAnsi="Times New Roman" w:eastAsia="方正仿宋_GBK" w:cs="Times New Roman"/>
          <w:sz w:val="32"/>
          <w:szCs w:val="32"/>
          <w:shd w:val="clear" w:color="auto" w:fill="FFFFFF"/>
        </w:rPr>
        <w:t>%，较年初预算数增加635.40万元，增长29.2%，主要原因是</w:t>
      </w:r>
      <w:r>
        <w:rPr>
          <w:rFonts w:hint="default" w:ascii="Times New Roman" w:hAnsi="Times New Roman" w:eastAsia="方正仿宋_GBK" w:cs="Times New Roman"/>
          <w:sz w:val="32"/>
          <w:szCs w:val="32"/>
          <w:shd w:val="clear" w:color="auto" w:fill="FFFFFF"/>
          <w:lang w:val="en-US" w:eastAsia="zh-CN"/>
        </w:rPr>
        <w:t>增人增资、政策性调资、聘用教师和学生人数增加</w:t>
      </w:r>
      <w:r>
        <w:rPr>
          <w:rFonts w:hint="default" w:ascii="Times New Roman" w:hAnsi="Times New Roman" w:eastAsia="方正仿宋_GBK" w:cs="Times New Roman"/>
          <w:sz w:val="32"/>
          <w:szCs w:val="32"/>
          <w:shd w:val="clear" w:color="auto" w:fill="FFFFFF"/>
        </w:rPr>
        <w:t>。</w:t>
      </w:r>
    </w:p>
    <w:p w14:paraId="38F676E4">
      <w:pPr>
        <w:pStyle w:val="13"/>
        <w:shd w:val="clear" w:color="auto" w:fill="FFFFFF"/>
        <w:autoSpaceDE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（2）社会保障与就业支出</w:t>
      </w:r>
      <w:r>
        <w:rPr>
          <w:rFonts w:hint="default" w:ascii="Times New Roman" w:hAnsi="Times New Roman" w:eastAsia="方正仿宋_GBK" w:cs="Times New Roman"/>
          <w:sz w:val="32"/>
          <w:szCs w:val="32"/>
        </w:rPr>
        <w:t>536.79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14.63</w:t>
      </w:r>
      <w:r>
        <w:rPr>
          <w:rFonts w:hint="default" w:ascii="Times New Roman" w:hAnsi="Times New Roman" w:eastAsia="方正仿宋_GBK" w:cs="Times New Roman"/>
          <w:sz w:val="32"/>
          <w:szCs w:val="32"/>
          <w:shd w:val="clear" w:color="auto" w:fill="FFFFFF"/>
        </w:rPr>
        <w:t>%，较年初预算数减少7.32万元，下降1.4%，主要原因是</w:t>
      </w:r>
      <w:r>
        <w:rPr>
          <w:rFonts w:hint="default" w:ascii="Times New Roman" w:hAnsi="Times New Roman" w:eastAsia="方正仿宋_GBK" w:cs="Times New Roman"/>
          <w:sz w:val="32"/>
          <w:szCs w:val="32"/>
          <w:shd w:val="clear" w:color="auto" w:fill="FFFFFF"/>
          <w:lang w:val="en-US" w:eastAsia="zh-CN"/>
        </w:rPr>
        <w:t>本年在职转</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退休</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人员</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养老保险、职业年金缴费数减少</w:t>
      </w:r>
      <w:r>
        <w:rPr>
          <w:rFonts w:hint="default" w:ascii="Times New Roman" w:hAnsi="Times New Roman" w:eastAsia="方正仿宋_GBK" w:cs="Times New Roman"/>
          <w:sz w:val="32"/>
          <w:szCs w:val="32"/>
          <w:shd w:val="clear" w:color="auto" w:fill="FFFFFF"/>
        </w:rPr>
        <w:t xml:space="preserve">。 </w:t>
      </w:r>
    </w:p>
    <w:p w14:paraId="7583165D">
      <w:pPr>
        <w:pStyle w:val="8"/>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sz w:val="32"/>
          <w:szCs w:val="32"/>
          <w:shd w:val="clear" w:color="auto" w:fill="FFFFFF"/>
        </w:rPr>
        <w:t>（3）卫生健康支出</w:t>
      </w:r>
      <w:r>
        <w:rPr>
          <w:rFonts w:hint="default" w:ascii="Times New Roman" w:hAnsi="Times New Roman" w:eastAsia="方正仿宋_GBK" w:cs="Times New Roman"/>
          <w:sz w:val="32"/>
          <w:szCs w:val="32"/>
        </w:rPr>
        <w:t>130.54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3.56</w:t>
      </w:r>
      <w:r>
        <w:rPr>
          <w:rFonts w:hint="default" w:ascii="Times New Roman" w:hAnsi="Times New Roman" w:eastAsia="方正仿宋_GBK" w:cs="Times New Roman"/>
          <w:sz w:val="32"/>
          <w:szCs w:val="32"/>
          <w:shd w:val="clear" w:color="auto" w:fill="FFFFFF"/>
        </w:rPr>
        <w:t>%，较年初预算数减少0.52万元，下降0.4%，主要原因是</w:t>
      </w:r>
      <w:r>
        <w:rPr>
          <w:rFonts w:hint="default" w:ascii="Times New Roman" w:hAnsi="Times New Roman" w:eastAsia="方正仿宋_GBK" w:cs="Times New Roman"/>
          <w:sz w:val="32"/>
          <w:szCs w:val="32"/>
          <w:shd w:val="clear" w:color="auto" w:fill="FFFFFF"/>
          <w:lang w:val="en-US" w:eastAsia="zh-CN"/>
        </w:rPr>
        <w:t>本</w:t>
      </w:r>
      <w:r>
        <w:rPr>
          <w:rFonts w:hint="default" w:ascii="Times New Roman" w:hAnsi="Times New Roman" w:eastAsia="方正仿宋_GBK" w:cs="Times New Roman"/>
          <w:sz w:val="32"/>
          <w:szCs w:val="32"/>
          <w:shd w:val="clear" w:color="auto" w:fill="FFFFFF"/>
        </w:rPr>
        <w:t>年</w:t>
      </w:r>
      <w:r>
        <w:rPr>
          <w:rFonts w:hint="default" w:ascii="Times New Roman" w:hAnsi="Times New Roman" w:eastAsia="方正仿宋_GBK" w:cs="Times New Roman"/>
          <w:sz w:val="32"/>
          <w:szCs w:val="32"/>
          <w:shd w:val="clear" w:color="auto" w:fill="FFFFFF"/>
          <w:lang w:val="en-US" w:eastAsia="zh-CN"/>
        </w:rPr>
        <w:t>在职人员</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退休，医疗保险缴费数减少。</w:t>
      </w:r>
    </w:p>
    <w:p w14:paraId="1AB9BF5E">
      <w:pPr>
        <w:snapToGrid w:val="0"/>
        <w:spacing w:line="600"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（4）</w:t>
      </w:r>
      <w:r>
        <w:rPr>
          <w:rFonts w:hint="default" w:ascii="Times New Roman" w:hAnsi="Times New Roman" w:eastAsia="方正仿宋_GBK" w:cs="Times New Roman"/>
          <w:sz w:val="32"/>
          <w:szCs w:val="32"/>
        </w:rPr>
        <w:t>住房保障支出190.75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5.20</w:t>
      </w:r>
      <w:r>
        <w:rPr>
          <w:rFonts w:hint="default" w:ascii="Times New Roman" w:hAnsi="Times New Roman" w:eastAsia="方正仿宋_GBK" w:cs="Times New Roman"/>
          <w:sz w:val="32"/>
          <w:szCs w:val="32"/>
          <w:shd w:val="clear" w:color="auto" w:fill="FFFFFF"/>
        </w:rPr>
        <w:t>%，较年初预算数增加1.29万元，增长0.7%，主要原因是</w:t>
      </w:r>
      <w:r>
        <w:rPr>
          <w:rFonts w:hint="default" w:ascii="Times New Roman" w:hAnsi="Times New Roman" w:eastAsia="方正仿宋_GBK" w:cs="Times New Roman"/>
          <w:sz w:val="32"/>
          <w:szCs w:val="32"/>
          <w:shd w:val="clear" w:color="auto" w:fill="FFFFFF"/>
          <w:lang w:val="en-US" w:eastAsia="zh-CN"/>
        </w:rPr>
        <w:t>住房公积金</w:t>
      </w:r>
      <w:r>
        <w:rPr>
          <w:rFonts w:hint="default" w:ascii="Times New Roman" w:hAnsi="Times New Roman" w:eastAsia="方正仿宋_GBK" w:cs="Times New Roman"/>
          <w:sz w:val="32"/>
          <w:szCs w:val="32"/>
          <w:shd w:val="clear" w:color="auto" w:fill="FFFFFF"/>
        </w:rPr>
        <w:t>缴费基数</w:t>
      </w:r>
      <w:r>
        <w:rPr>
          <w:rFonts w:hint="default" w:ascii="Times New Roman" w:hAnsi="Times New Roman" w:eastAsia="方正仿宋_GBK" w:cs="Times New Roman"/>
          <w:sz w:val="32"/>
          <w:szCs w:val="32"/>
          <w:shd w:val="clear" w:color="auto" w:fill="FFFFFF"/>
          <w:lang w:val="en-US" w:eastAsia="zh-CN"/>
        </w:rPr>
        <w:t>调整</w:t>
      </w:r>
      <w:r>
        <w:rPr>
          <w:rFonts w:hint="default" w:ascii="Times New Roman" w:hAnsi="Times New Roman" w:eastAsia="方正仿宋_GBK" w:cs="Times New Roman"/>
          <w:sz w:val="32"/>
          <w:szCs w:val="32"/>
          <w:shd w:val="clear" w:color="auto" w:fill="FFFFFF"/>
        </w:rPr>
        <w:t>。</w:t>
      </w:r>
    </w:p>
    <w:p w14:paraId="008715F5">
      <w:pPr>
        <w:pStyle w:val="12"/>
        <w:autoSpaceDE w:val="0"/>
        <w:snapToGrid w:val="0"/>
        <w:spacing w:line="600" w:lineRule="exact"/>
        <w:ind w:firstLine="64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（四）一般公共预算财政拨款基本支出决算情况说明</w:t>
      </w:r>
    </w:p>
    <w:p w14:paraId="31E66ACA">
      <w:pPr>
        <w:pStyle w:val="13"/>
        <w:shd w:val="clear" w:color="auto" w:fill="FFFFFF"/>
        <w:autoSpaceDE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2024年度一般公共财政拨款基本支出</w:t>
      </w:r>
      <w:r>
        <w:rPr>
          <w:rFonts w:hint="default" w:ascii="Times New Roman" w:hAnsi="Times New Roman" w:eastAsia="方正仿宋_GBK" w:cs="Times New Roman"/>
          <w:sz w:val="32"/>
          <w:szCs w:val="32"/>
        </w:rPr>
        <w:t>3086.57</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2753.75</w:t>
      </w:r>
      <w:r>
        <w:rPr>
          <w:rFonts w:hint="default" w:ascii="Times New Roman" w:hAnsi="Times New Roman" w:eastAsia="方正仿宋_GBK" w:cs="Times New Roman"/>
          <w:sz w:val="32"/>
          <w:szCs w:val="32"/>
          <w:shd w:val="clear" w:color="auto" w:fill="FFFFFF"/>
        </w:rPr>
        <w:t>万元，与2023年度相比，增加51.84万元，增长1.9%，主要原因是</w:t>
      </w:r>
      <w:r>
        <w:rPr>
          <w:rFonts w:hint="default" w:ascii="Times New Roman" w:hAnsi="Times New Roman" w:eastAsia="方正仿宋_GBK" w:cs="Times New Roman"/>
          <w:sz w:val="32"/>
          <w:szCs w:val="32"/>
          <w:shd w:val="clear" w:color="auto" w:fill="FFFFFF"/>
          <w:lang w:val="en-US" w:eastAsia="zh-CN"/>
        </w:rPr>
        <w:t>增人增资、政策性调资及</w:t>
      </w:r>
      <w:r>
        <w:rPr>
          <w:rFonts w:hint="default" w:ascii="Times New Roman" w:hAnsi="Times New Roman" w:eastAsia="方正仿宋_GBK" w:cs="Times New Roman"/>
          <w:sz w:val="32"/>
          <w:szCs w:val="32"/>
          <w:shd w:val="clear" w:color="auto" w:fill="FFFFFF"/>
        </w:rPr>
        <w:t>补缴</w:t>
      </w:r>
      <w:r>
        <w:rPr>
          <w:rFonts w:hint="default" w:ascii="Times New Roman" w:hAnsi="Times New Roman" w:eastAsia="方正仿宋_GBK" w:cs="Times New Roman"/>
          <w:sz w:val="32"/>
          <w:szCs w:val="32"/>
          <w:shd w:val="clear" w:color="auto" w:fill="FFFFFF"/>
          <w:lang w:val="en-US" w:eastAsia="zh-CN"/>
        </w:rPr>
        <w:t>以前年度</w:t>
      </w:r>
      <w:r>
        <w:rPr>
          <w:rFonts w:hint="default" w:ascii="Times New Roman" w:hAnsi="Times New Roman" w:eastAsia="方正仿宋_GBK" w:cs="Times New Roman"/>
          <w:sz w:val="32"/>
          <w:szCs w:val="32"/>
          <w:shd w:val="clear" w:color="auto" w:fill="FFFFFF"/>
        </w:rPr>
        <w:t>年养老保险</w:t>
      </w:r>
      <w:r>
        <w:rPr>
          <w:rFonts w:hint="default" w:ascii="Times New Roman" w:hAnsi="Times New Roman" w:eastAsia="方正仿宋_GBK" w:cs="Times New Roman"/>
          <w:sz w:val="32"/>
          <w:szCs w:val="32"/>
          <w:shd w:val="clear" w:color="auto" w:fill="FFFFFF"/>
          <w:lang w:val="en-US" w:eastAsia="zh-CN"/>
        </w:rPr>
        <w:t>和</w:t>
      </w:r>
      <w:r>
        <w:rPr>
          <w:rFonts w:hint="default" w:ascii="Times New Roman" w:hAnsi="Times New Roman" w:eastAsia="方正仿宋_GBK" w:cs="Times New Roman"/>
          <w:sz w:val="32"/>
          <w:szCs w:val="32"/>
          <w:shd w:val="clear" w:color="auto" w:fill="FFFFFF"/>
        </w:rPr>
        <w:t>职业年金</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退休中人一次性补贴、丧葬费和一次性抚恤金、困难学生资助</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增加</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sz w:val="32"/>
          <w:szCs w:val="32"/>
          <w:shd w:val="clear" w:color="auto" w:fill="FFFFFF"/>
        </w:rPr>
        <w:t>人员经费用途主要包括基本工资、津补贴、绩效工资、基本养老保险、职业年金、医疗保险缴费、住房公积金、购房补贴、离退休健康休养费、生活补助、医疗补助、助学金等。公用经费</w:t>
      </w:r>
      <w:r>
        <w:rPr>
          <w:rFonts w:hint="default" w:ascii="Times New Roman" w:hAnsi="Times New Roman" w:eastAsia="方正仿宋_GBK" w:cs="Times New Roman"/>
          <w:sz w:val="32"/>
          <w:szCs w:val="32"/>
        </w:rPr>
        <w:t>332.81</w:t>
      </w:r>
      <w:r>
        <w:rPr>
          <w:rFonts w:hint="default" w:ascii="Times New Roman" w:hAnsi="Times New Roman" w:eastAsia="方正仿宋_GBK" w:cs="Times New Roman"/>
          <w:sz w:val="32"/>
          <w:szCs w:val="32"/>
          <w:shd w:val="clear" w:color="auto" w:fill="FFFFFF"/>
        </w:rPr>
        <w:t>万元，与2023年度相比，增加25.61万元，增长8.3%，主要原因是</w:t>
      </w:r>
      <w:r>
        <w:rPr>
          <w:rFonts w:hint="default" w:ascii="Times New Roman" w:hAnsi="Times New Roman" w:eastAsia="方正仿宋_GBK" w:cs="Times New Roman"/>
          <w:color w:val="000000"/>
          <w:sz w:val="32"/>
          <w:szCs w:val="32"/>
          <w:shd w:val="clear" w:color="auto" w:fill="FFFFFF"/>
        </w:rPr>
        <w:t>本年学生人数增加。</w:t>
      </w:r>
      <w:r>
        <w:rPr>
          <w:rFonts w:hint="default" w:ascii="Times New Roman" w:hAnsi="Times New Roman" w:eastAsia="方正仿宋_GBK" w:cs="Times New Roman"/>
          <w:sz w:val="32"/>
          <w:szCs w:val="32"/>
          <w:shd w:val="clear" w:color="auto" w:fill="FFFFFF"/>
        </w:rPr>
        <w:t>公用经费用途主要包括办公费、印刷费、水费、电费、邮电费、物业管理费、差旅费、维修（护）费、租赁费、培训费、专用材料费、劳务费、工会经费、福利费、公务用车运行维护费、其他商品和服务支出等。</w:t>
      </w:r>
    </w:p>
    <w:p w14:paraId="3A4CE320">
      <w:pPr>
        <w:pStyle w:val="12"/>
        <w:autoSpaceDE w:val="0"/>
        <w:snapToGrid w:val="0"/>
        <w:spacing w:line="600" w:lineRule="exact"/>
        <w:ind w:firstLine="64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（五）政府性基金预算收支决算情况说明</w:t>
      </w:r>
    </w:p>
    <w:p w14:paraId="38DA89B1">
      <w:pPr>
        <w:pStyle w:val="8"/>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本单位2024年度无政府性基金预算财政拨款收支。</w:t>
      </w:r>
      <w:r>
        <w:rPr>
          <w:rFonts w:hint="default" w:ascii="Times New Roman" w:hAnsi="Times New Roman" w:eastAsia="方正仿宋_GBK" w:cs="Times New Roman"/>
          <w:sz w:val="32"/>
          <w:szCs w:val="32"/>
          <w:shd w:val="clear" w:color="auto" w:fill="FFFFFF"/>
          <w:lang w:val="en-US" w:eastAsia="zh-CN"/>
        </w:rPr>
        <w:t>本年收支</w:t>
      </w:r>
      <w:r>
        <w:rPr>
          <w:rFonts w:hint="default" w:ascii="Times New Roman" w:hAnsi="Times New Roman" w:eastAsia="方正仿宋_GBK" w:cs="Times New Roman"/>
          <w:sz w:val="32"/>
          <w:szCs w:val="32"/>
          <w:shd w:val="clear" w:color="auto" w:fill="FFFFFF"/>
        </w:rPr>
        <w:t>较上年决算数减少2.00万元，下降100.0%，主要原因是区青少年体育训练基地建设费</w:t>
      </w:r>
      <w:r>
        <w:rPr>
          <w:rFonts w:hint="default" w:ascii="Times New Roman" w:hAnsi="Times New Roman" w:eastAsia="方正仿宋_GBK" w:cs="Times New Roman"/>
          <w:sz w:val="32"/>
          <w:szCs w:val="32"/>
          <w:shd w:val="clear" w:color="auto" w:fill="FFFFFF"/>
          <w:lang w:val="en-US" w:eastAsia="zh-CN"/>
        </w:rPr>
        <w:t>减少</w:t>
      </w:r>
      <w:r>
        <w:rPr>
          <w:rFonts w:hint="default" w:ascii="Times New Roman" w:hAnsi="Times New Roman" w:eastAsia="方正仿宋_GBK" w:cs="Times New Roman"/>
          <w:sz w:val="32"/>
          <w:szCs w:val="32"/>
          <w:shd w:val="clear" w:color="auto" w:fill="FFFFFF"/>
        </w:rPr>
        <w:t>。</w:t>
      </w:r>
    </w:p>
    <w:p w14:paraId="5145BF77">
      <w:pPr>
        <w:pStyle w:val="12"/>
        <w:autoSpaceDE w:val="0"/>
        <w:snapToGrid w:val="0"/>
        <w:spacing w:line="600" w:lineRule="exact"/>
        <w:ind w:firstLine="64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（六）国有资本经营预算财政拨款支出决算情况说明</w:t>
      </w:r>
    </w:p>
    <w:p w14:paraId="64EE6837">
      <w:pPr>
        <w:pStyle w:val="8"/>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本单位2024年度无国有资本经营预算财政拨款支出。</w:t>
      </w:r>
    </w:p>
    <w:p w14:paraId="0771DD55">
      <w:pPr>
        <w:pStyle w:val="8"/>
        <w:shd w:val="clear" w:color="auto" w:fill="FFFFFF"/>
        <w:snapToGrid w:val="0"/>
        <w:spacing w:before="0" w:beforeAutospacing="0" w:after="0" w:afterAutospacing="0" w:line="600" w:lineRule="exact"/>
        <w:ind w:firstLine="640" w:firstLineChars="200"/>
        <w:jc w:val="both"/>
        <w:rPr>
          <w:rStyle w:val="11"/>
          <w:rFonts w:hint="default" w:ascii="Times New Roman" w:hAnsi="Times New Roman" w:eastAsia="方正黑体_GBK" w:cs="Times New Roman"/>
          <w:b w:val="0"/>
          <w:bCs/>
          <w:sz w:val="32"/>
          <w:szCs w:val="32"/>
          <w:shd w:val="clear" w:color="auto" w:fill="FFFFFF"/>
        </w:rPr>
      </w:pPr>
      <w:r>
        <w:rPr>
          <w:rStyle w:val="11"/>
          <w:rFonts w:hint="default" w:ascii="Times New Roman" w:hAnsi="Times New Roman" w:eastAsia="方正黑体_GBK" w:cs="Times New Roman"/>
          <w:b w:val="0"/>
          <w:bCs/>
          <w:sz w:val="32"/>
          <w:szCs w:val="32"/>
          <w:shd w:val="clear" w:color="auto" w:fill="FFFFFF"/>
        </w:rPr>
        <w:t>三、</w:t>
      </w:r>
      <w:r>
        <w:rPr>
          <w:rStyle w:val="11"/>
          <w:rFonts w:hint="eastAsia" w:ascii="Times New Roman" w:hAnsi="Times New Roman" w:eastAsia="方正黑体_GBK" w:cs="Times New Roman"/>
          <w:b w:val="0"/>
          <w:bCs/>
          <w:sz w:val="32"/>
          <w:szCs w:val="32"/>
          <w:shd w:val="clear" w:color="auto" w:fill="FFFFFF"/>
          <w:lang w:eastAsia="zh-CN"/>
        </w:rPr>
        <w:t>“</w:t>
      </w:r>
      <w:r>
        <w:rPr>
          <w:rStyle w:val="11"/>
          <w:rFonts w:hint="default" w:ascii="Times New Roman" w:hAnsi="Times New Roman" w:eastAsia="方正黑体_GBK" w:cs="Times New Roman"/>
          <w:b w:val="0"/>
          <w:bCs/>
          <w:sz w:val="32"/>
          <w:szCs w:val="32"/>
          <w:shd w:val="clear" w:color="auto" w:fill="FFFFFF"/>
        </w:rPr>
        <w:t>三公</w:t>
      </w:r>
      <w:r>
        <w:rPr>
          <w:rStyle w:val="11"/>
          <w:rFonts w:hint="eastAsia" w:ascii="Times New Roman" w:hAnsi="Times New Roman" w:eastAsia="方正黑体_GBK" w:cs="Times New Roman"/>
          <w:b w:val="0"/>
          <w:bCs/>
          <w:sz w:val="32"/>
          <w:szCs w:val="32"/>
          <w:shd w:val="clear" w:color="auto" w:fill="FFFFFF"/>
          <w:lang w:eastAsia="zh-CN"/>
        </w:rPr>
        <w:t>”</w:t>
      </w:r>
      <w:r>
        <w:rPr>
          <w:rStyle w:val="11"/>
          <w:rFonts w:hint="default" w:ascii="Times New Roman" w:hAnsi="Times New Roman" w:eastAsia="方正黑体_GBK" w:cs="Times New Roman"/>
          <w:b w:val="0"/>
          <w:bCs/>
          <w:sz w:val="32"/>
          <w:szCs w:val="32"/>
          <w:shd w:val="clear" w:color="auto" w:fill="FFFFFF"/>
        </w:rPr>
        <w:t>经费情况说明</w:t>
      </w:r>
    </w:p>
    <w:p w14:paraId="7C7388F8">
      <w:pPr>
        <w:pStyle w:val="12"/>
        <w:autoSpaceDE w:val="0"/>
        <w:snapToGrid w:val="0"/>
        <w:spacing w:line="600" w:lineRule="exact"/>
        <w:ind w:firstLine="64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（一）</w:t>
      </w:r>
      <w:r>
        <w:rPr>
          <w:rFonts w:hint="eastAsia" w:ascii="Times New Roman" w:hAnsi="Times New Roman" w:eastAsia="方正楷体_GBK" w:cs="Times New Roman"/>
          <w:bCs/>
          <w:sz w:val="32"/>
          <w:szCs w:val="32"/>
          <w:shd w:val="clear" w:color="auto" w:fill="FFFFFF"/>
          <w:lang w:eastAsia="zh-CN"/>
        </w:rPr>
        <w:t>“</w:t>
      </w:r>
      <w:r>
        <w:rPr>
          <w:rFonts w:hint="default" w:ascii="Times New Roman" w:hAnsi="Times New Roman" w:eastAsia="方正楷体_GBK" w:cs="Times New Roman"/>
          <w:bCs/>
          <w:sz w:val="32"/>
          <w:szCs w:val="32"/>
          <w:shd w:val="clear" w:color="auto" w:fill="FFFFFF"/>
        </w:rPr>
        <w:t>三公</w:t>
      </w:r>
      <w:r>
        <w:rPr>
          <w:rFonts w:hint="eastAsia" w:ascii="Times New Roman" w:hAnsi="Times New Roman" w:eastAsia="方正楷体_GBK" w:cs="Times New Roman"/>
          <w:bCs/>
          <w:sz w:val="32"/>
          <w:szCs w:val="32"/>
          <w:shd w:val="clear" w:color="auto" w:fill="FFFFFF"/>
          <w:lang w:eastAsia="zh-CN"/>
        </w:rPr>
        <w:t>”</w:t>
      </w:r>
      <w:r>
        <w:rPr>
          <w:rFonts w:hint="default" w:ascii="Times New Roman" w:hAnsi="Times New Roman" w:eastAsia="方正楷体_GBK" w:cs="Times New Roman"/>
          <w:bCs/>
          <w:sz w:val="32"/>
          <w:szCs w:val="32"/>
          <w:shd w:val="clear" w:color="auto" w:fill="FFFFFF"/>
        </w:rPr>
        <w:t>经费支出总体情况说明</w:t>
      </w:r>
    </w:p>
    <w:p w14:paraId="4E067DC0">
      <w:pPr>
        <w:pStyle w:val="8"/>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sz w:val="32"/>
          <w:szCs w:val="32"/>
          <w:shd w:val="clear" w:color="auto" w:fill="FFFFFF"/>
        </w:rPr>
        <w:t>2024年度</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经费支出共计1.30万元，较年初预算数无增减，主要原因是</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认真贯彻落实中央</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八项规定</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精神和厉行节约要求，按照只减不增的要求从严控制</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三公</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经费。较</w:t>
      </w:r>
      <w:r>
        <w:rPr>
          <w:rFonts w:hint="default" w:ascii="Times New Roman" w:hAnsi="Times New Roman" w:eastAsia="方正仿宋_GBK" w:cs="Times New Roman"/>
          <w:sz w:val="32"/>
          <w:szCs w:val="32"/>
          <w:shd w:val="clear" w:color="auto" w:fill="FFFFFF"/>
        </w:rPr>
        <w:t>上年支出数减少0.01万元，下降0.8%，主要原因是</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认真贯彻落实中央</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八项规定</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精神和厉行节约要求，按照只减不增的要求从严控制</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三公</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经费，全年运行维护成本减少</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与上年基本持平</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14:paraId="729A0598">
      <w:pPr>
        <w:pStyle w:val="12"/>
        <w:autoSpaceDE w:val="0"/>
        <w:snapToGrid w:val="0"/>
        <w:spacing w:line="600" w:lineRule="exact"/>
        <w:ind w:firstLine="64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（二）</w:t>
      </w:r>
      <w:r>
        <w:rPr>
          <w:rFonts w:hint="eastAsia" w:ascii="Times New Roman" w:hAnsi="Times New Roman" w:eastAsia="方正楷体_GBK" w:cs="Times New Roman"/>
          <w:bCs/>
          <w:sz w:val="32"/>
          <w:szCs w:val="32"/>
          <w:shd w:val="clear" w:color="auto" w:fill="FFFFFF"/>
          <w:lang w:eastAsia="zh-CN"/>
        </w:rPr>
        <w:t>“</w:t>
      </w:r>
      <w:r>
        <w:rPr>
          <w:rFonts w:hint="default" w:ascii="Times New Roman" w:hAnsi="Times New Roman" w:eastAsia="方正楷体_GBK" w:cs="Times New Roman"/>
          <w:bCs/>
          <w:sz w:val="32"/>
          <w:szCs w:val="32"/>
          <w:shd w:val="clear" w:color="auto" w:fill="FFFFFF"/>
        </w:rPr>
        <w:t>三公</w:t>
      </w:r>
      <w:r>
        <w:rPr>
          <w:rFonts w:hint="eastAsia" w:ascii="Times New Roman" w:hAnsi="Times New Roman" w:eastAsia="方正楷体_GBK" w:cs="Times New Roman"/>
          <w:bCs/>
          <w:sz w:val="32"/>
          <w:szCs w:val="32"/>
          <w:shd w:val="clear" w:color="auto" w:fill="FFFFFF"/>
          <w:lang w:eastAsia="zh-CN"/>
        </w:rPr>
        <w:t>”</w:t>
      </w:r>
      <w:r>
        <w:rPr>
          <w:rFonts w:hint="default" w:ascii="Times New Roman" w:hAnsi="Times New Roman" w:eastAsia="方正楷体_GBK" w:cs="Times New Roman"/>
          <w:bCs/>
          <w:sz w:val="32"/>
          <w:szCs w:val="32"/>
          <w:shd w:val="clear" w:color="auto" w:fill="FFFFFF"/>
        </w:rPr>
        <w:t>经费分项支出情况</w:t>
      </w:r>
    </w:p>
    <w:p w14:paraId="4B102115">
      <w:pPr>
        <w:pStyle w:val="13"/>
        <w:shd w:val="clear" w:color="auto" w:fill="FFFFFF"/>
        <w:autoSpaceDE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万元，费用支出较年初预算数无增减，较上年支出数无增减，主要原因是本单位2024年度未发生因公出国（境）支出</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与上年持平</w:t>
      </w:r>
      <w:r>
        <w:rPr>
          <w:rFonts w:hint="default" w:ascii="Times New Roman" w:hAnsi="Times New Roman" w:eastAsia="方正仿宋_GBK" w:cs="Times New Roman"/>
          <w:sz w:val="32"/>
          <w:szCs w:val="32"/>
          <w:shd w:val="clear" w:color="auto" w:fill="FFFFFF"/>
        </w:rPr>
        <w:t>。</w:t>
      </w:r>
    </w:p>
    <w:p w14:paraId="55B4A34E">
      <w:pPr>
        <w:pStyle w:val="8"/>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万元，费用支出较年初预算数无增减，较上年支出数无增减，主要原因是</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本单位2024年度未发生公务车购置支出</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sz w:val="32"/>
          <w:szCs w:val="32"/>
          <w:shd w:val="clear" w:color="auto" w:fill="FFFFFF"/>
          <w:lang w:val="en-US" w:eastAsia="zh-CN"/>
        </w:rPr>
        <w:t>与上年持平</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14:paraId="5523E7CD">
      <w:pPr>
        <w:pStyle w:val="8"/>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1.30</w:t>
      </w:r>
      <w:r>
        <w:rPr>
          <w:rFonts w:hint="default" w:ascii="Times New Roman" w:hAnsi="Times New Roman" w:eastAsia="方正仿宋_GBK" w:cs="Times New Roman"/>
          <w:sz w:val="32"/>
          <w:szCs w:val="32"/>
          <w:shd w:val="clear" w:color="auto" w:fill="FFFFFF"/>
        </w:rPr>
        <w:t>万元，主要用于公车因公出行的运行维护费、燃料费、过路过桥费和保险费等。费用支出较年初预算数无增减，主要原因是认真贯彻落实中央</w:t>
      </w:r>
      <w:r>
        <w:rPr>
          <w:rFonts w:hint="eastAsia" w:ascii="Times New Roman" w:hAnsi="Times New Roman" w:eastAsia="方正仿宋_GBK" w:cs="Times New Roman"/>
          <w:sz w:val="32"/>
          <w:szCs w:val="32"/>
          <w:shd w:val="clear" w:color="auto" w:fill="FFFFFF"/>
          <w:lang w:eastAsia="zh-CN"/>
        </w:rPr>
        <w:t>八项规定</w:t>
      </w:r>
      <w:r>
        <w:rPr>
          <w:rFonts w:hint="default" w:ascii="Times New Roman" w:hAnsi="Times New Roman" w:eastAsia="方正仿宋_GBK" w:cs="Times New Roman"/>
          <w:sz w:val="32"/>
          <w:szCs w:val="32"/>
          <w:shd w:val="clear" w:color="auto" w:fill="FFFFFF"/>
        </w:rPr>
        <w:t>精神和厉行节约要求，按照只减不增的要求从严控制公务用车运行维护经费。较上年支出数减少0.01万元，下降0.8%，主要原因是认真贯彻落实中央</w:t>
      </w:r>
      <w:r>
        <w:rPr>
          <w:rFonts w:hint="eastAsia" w:ascii="Times New Roman" w:hAnsi="Times New Roman" w:eastAsia="方正仿宋_GBK" w:cs="Times New Roman"/>
          <w:sz w:val="32"/>
          <w:szCs w:val="32"/>
          <w:shd w:val="clear" w:color="auto" w:fill="FFFFFF"/>
          <w:lang w:eastAsia="zh-CN"/>
        </w:rPr>
        <w:t>八项规定</w:t>
      </w:r>
      <w:r>
        <w:rPr>
          <w:rFonts w:hint="default" w:ascii="Times New Roman" w:hAnsi="Times New Roman" w:eastAsia="方正仿宋_GBK" w:cs="Times New Roman"/>
          <w:sz w:val="32"/>
          <w:szCs w:val="32"/>
          <w:shd w:val="clear" w:color="auto" w:fill="FFFFFF"/>
        </w:rPr>
        <w:t>精神和厉行节约要求，加强公车使用内部管理，运行维护成本无增长</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与上年基本持平</w:t>
      </w:r>
      <w:r>
        <w:rPr>
          <w:rFonts w:hint="default" w:ascii="Times New Roman" w:hAnsi="Times New Roman" w:eastAsia="方正仿宋_GBK" w:cs="Times New Roman"/>
          <w:sz w:val="32"/>
          <w:szCs w:val="32"/>
          <w:shd w:val="clear" w:color="auto" w:fill="FFFFFF"/>
        </w:rPr>
        <w:t>。</w:t>
      </w:r>
    </w:p>
    <w:p w14:paraId="214D5324">
      <w:pPr>
        <w:pStyle w:val="13"/>
        <w:shd w:val="clear" w:color="auto" w:fill="FFFFFF"/>
        <w:autoSpaceDE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万元，费用支出较年初预算数无增减，较上年支出数无增减，主要原因是本单位2024年度未发生公务接待费支出</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与上年持平</w:t>
      </w:r>
      <w:r>
        <w:rPr>
          <w:rFonts w:hint="default" w:ascii="Times New Roman" w:hAnsi="Times New Roman" w:eastAsia="方正仿宋_GBK" w:cs="Times New Roman"/>
          <w:sz w:val="32"/>
          <w:szCs w:val="32"/>
          <w:shd w:val="clear" w:color="auto" w:fill="FFFFFF"/>
        </w:rPr>
        <w:t>。</w:t>
      </w:r>
    </w:p>
    <w:p w14:paraId="71279E6B">
      <w:pPr>
        <w:pStyle w:val="12"/>
        <w:autoSpaceDE w:val="0"/>
        <w:snapToGrid w:val="0"/>
        <w:spacing w:line="600" w:lineRule="exact"/>
        <w:ind w:firstLine="64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（三）</w:t>
      </w:r>
      <w:r>
        <w:rPr>
          <w:rFonts w:hint="eastAsia" w:ascii="Times New Roman" w:hAnsi="Times New Roman" w:eastAsia="方正楷体_GBK" w:cs="Times New Roman"/>
          <w:bCs/>
          <w:sz w:val="32"/>
          <w:szCs w:val="32"/>
          <w:shd w:val="clear" w:color="auto" w:fill="FFFFFF"/>
          <w:lang w:eastAsia="zh-CN"/>
        </w:rPr>
        <w:t>“</w:t>
      </w:r>
      <w:r>
        <w:rPr>
          <w:rFonts w:hint="default" w:ascii="Times New Roman" w:hAnsi="Times New Roman" w:eastAsia="方正楷体_GBK" w:cs="Times New Roman"/>
          <w:bCs/>
          <w:sz w:val="32"/>
          <w:szCs w:val="32"/>
          <w:shd w:val="clear" w:color="auto" w:fill="FFFFFF"/>
        </w:rPr>
        <w:t>三公</w:t>
      </w:r>
      <w:r>
        <w:rPr>
          <w:rFonts w:hint="eastAsia" w:ascii="Times New Roman" w:hAnsi="Times New Roman" w:eastAsia="方正楷体_GBK" w:cs="Times New Roman"/>
          <w:bCs/>
          <w:sz w:val="32"/>
          <w:szCs w:val="32"/>
          <w:shd w:val="clear" w:color="auto" w:fill="FFFFFF"/>
          <w:lang w:eastAsia="zh-CN"/>
        </w:rPr>
        <w:t>”</w:t>
      </w:r>
      <w:r>
        <w:rPr>
          <w:rFonts w:hint="default" w:ascii="Times New Roman" w:hAnsi="Times New Roman" w:eastAsia="方正楷体_GBK" w:cs="Times New Roman"/>
          <w:bCs/>
          <w:sz w:val="32"/>
          <w:szCs w:val="32"/>
          <w:shd w:val="clear" w:color="auto" w:fill="FFFFFF"/>
        </w:rPr>
        <w:t>经费实物量情况</w:t>
      </w:r>
    </w:p>
    <w:p w14:paraId="17D94F7A">
      <w:pPr>
        <w:pStyle w:val="8"/>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人。2024年本单位人均接待费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1.30</w:t>
      </w:r>
      <w:r>
        <w:rPr>
          <w:rFonts w:hint="default" w:ascii="Times New Roman" w:hAnsi="Times New Roman" w:eastAsia="方正仿宋_GBK" w:cs="Times New Roman"/>
          <w:sz w:val="32"/>
          <w:szCs w:val="32"/>
          <w:shd w:val="clear" w:color="auto" w:fill="FFFFFF"/>
        </w:rPr>
        <w:t>万元。</w:t>
      </w:r>
    </w:p>
    <w:p w14:paraId="7466F865">
      <w:pPr>
        <w:pStyle w:val="8"/>
        <w:shd w:val="clear" w:color="auto" w:fill="FFFFFF"/>
        <w:snapToGrid w:val="0"/>
        <w:spacing w:before="0" w:beforeAutospacing="0" w:after="0" w:afterAutospacing="0" w:line="600" w:lineRule="exact"/>
        <w:ind w:firstLine="640" w:firstLineChars="200"/>
        <w:jc w:val="both"/>
        <w:rPr>
          <w:rStyle w:val="11"/>
          <w:rFonts w:hint="default" w:ascii="Times New Roman" w:hAnsi="Times New Roman" w:eastAsia="方正黑体_GBK" w:cs="Times New Roman"/>
          <w:b w:val="0"/>
          <w:bCs/>
          <w:sz w:val="32"/>
          <w:szCs w:val="32"/>
          <w:shd w:val="clear" w:color="auto" w:fill="FFFFFF"/>
        </w:rPr>
      </w:pPr>
      <w:r>
        <w:rPr>
          <w:rStyle w:val="11"/>
          <w:rFonts w:hint="default" w:ascii="Times New Roman" w:hAnsi="Times New Roman" w:eastAsia="方正黑体_GBK" w:cs="Times New Roman"/>
          <w:b w:val="0"/>
          <w:bCs/>
          <w:sz w:val="32"/>
          <w:szCs w:val="32"/>
          <w:shd w:val="clear" w:color="auto" w:fill="FFFFFF"/>
        </w:rPr>
        <w:t>四、其他需要说明的事项</w:t>
      </w:r>
    </w:p>
    <w:p w14:paraId="314BC991">
      <w:pPr>
        <w:pStyle w:val="12"/>
        <w:autoSpaceDE w:val="0"/>
        <w:snapToGrid w:val="0"/>
        <w:spacing w:line="600" w:lineRule="exact"/>
        <w:ind w:firstLine="64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（一）财政拨款会议费和培训费情况说明</w:t>
      </w:r>
    </w:p>
    <w:p w14:paraId="713D3EB8">
      <w:pPr>
        <w:pStyle w:val="8"/>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万元，与2023年度相比，无增减，主要是本单位2024年无会议费支出。本年度培训费支出</w:t>
      </w:r>
      <w:r>
        <w:rPr>
          <w:rFonts w:hint="default" w:ascii="Times New Roman" w:hAnsi="Times New Roman" w:eastAsia="方正仿宋_GBK" w:cs="Times New Roman"/>
          <w:sz w:val="32"/>
          <w:szCs w:val="32"/>
        </w:rPr>
        <w:t>33.71</w:t>
      </w:r>
      <w:r>
        <w:rPr>
          <w:rFonts w:hint="default" w:ascii="Times New Roman" w:hAnsi="Times New Roman" w:eastAsia="方正仿宋_GBK" w:cs="Times New Roman"/>
          <w:sz w:val="32"/>
          <w:szCs w:val="32"/>
          <w:shd w:val="clear" w:color="auto" w:fill="FFFFFF"/>
        </w:rPr>
        <w:t>万元，与2023年度相比，增加2.55万元，增长8.2%，主要原因是加大了新</w:t>
      </w:r>
      <w:r>
        <w:rPr>
          <w:rFonts w:hint="default" w:ascii="Times New Roman" w:hAnsi="Times New Roman" w:eastAsia="方正仿宋_GBK" w:cs="Times New Roman"/>
          <w:sz w:val="32"/>
          <w:szCs w:val="32"/>
          <w:shd w:val="clear" w:color="auto" w:fill="FFFFFF"/>
          <w:lang w:val="en-US" w:eastAsia="zh-CN"/>
        </w:rPr>
        <w:t>进</w:t>
      </w:r>
      <w:r>
        <w:rPr>
          <w:rFonts w:hint="default" w:ascii="Times New Roman" w:hAnsi="Times New Roman" w:eastAsia="方正仿宋_GBK" w:cs="Times New Roman"/>
          <w:sz w:val="32"/>
          <w:szCs w:val="32"/>
          <w:shd w:val="clear" w:color="auto" w:fill="FFFFFF"/>
        </w:rPr>
        <w:t>教师、班主任、学科教师的培训，培训范围、培训力度增大，培训费用增加。</w:t>
      </w:r>
    </w:p>
    <w:p w14:paraId="57E84C3E">
      <w:pPr>
        <w:pStyle w:val="12"/>
        <w:autoSpaceDE w:val="0"/>
        <w:snapToGrid w:val="0"/>
        <w:spacing w:line="600" w:lineRule="exact"/>
        <w:ind w:firstLine="64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（二）机关运行经费情况说明</w:t>
      </w:r>
    </w:p>
    <w:p w14:paraId="4DE06ADC">
      <w:pPr>
        <w:pStyle w:val="13"/>
        <w:shd w:val="clear" w:color="auto" w:fill="FFFFFF"/>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按照部门决算列报口径，我单位不在机关运行经费统计范围之内。</w:t>
      </w:r>
    </w:p>
    <w:p w14:paraId="5AE35A79">
      <w:pPr>
        <w:pStyle w:val="12"/>
        <w:autoSpaceDE w:val="0"/>
        <w:snapToGrid w:val="0"/>
        <w:spacing w:line="600" w:lineRule="exact"/>
        <w:ind w:firstLine="64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（三）国有资产占用情况说明</w:t>
      </w:r>
    </w:p>
    <w:p w14:paraId="6386959C">
      <w:pPr>
        <w:pStyle w:val="8"/>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截至2024年12月31日，本单位共有车辆</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2F985B8B">
      <w:pPr>
        <w:pStyle w:val="12"/>
        <w:autoSpaceDE w:val="0"/>
        <w:snapToGrid w:val="0"/>
        <w:spacing w:line="600" w:lineRule="exact"/>
        <w:ind w:firstLine="64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（四）政府采购支出情况说明</w:t>
      </w:r>
    </w:p>
    <w:p w14:paraId="3B24CD5B">
      <w:pPr>
        <w:pStyle w:val="8"/>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2024年度本单位政府采购支出总额</w:t>
      </w:r>
      <w:r>
        <w:rPr>
          <w:rFonts w:hint="default" w:ascii="Times New Roman" w:hAnsi="Times New Roman" w:eastAsia="方正仿宋_GBK" w:cs="Times New Roman"/>
          <w:sz w:val="32"/>
          <w:szCs w:val="32"/>
        </w:rPr>
        <w:t>3.96</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3.96</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3.96万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3.96</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 xml:space="preserve"> %。主要用于采购</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电脑、打印纸、打印机等。</w:t>
      </w:r>
    </w:p>
    <w:p w14:paraId="038BEE22">
      <w:pPr>
        <w:pStyle w:val="8"/>
        <w:shd w:val="clear" w:color="auto" w:fill="FFFFFF"/>
        <w:snapToGrid w:val="0"/>
        <w:spacing w:before="0" w:beforeAutospacing="0" w:after="0" w:afterAutospacing="0" w:line="600" w:lineRule="exact"/>
        <w:ind w:firstLine="640" w:firstLineChars="200"/>
        <w:jc w:val="both"/>
        <w:rPr>
          <w:rStyle w:val="11"/>
          <w:rFonts w:hint="default" w:ascii="Times New Roman" w:hAnsi="Times New Roman" w:eastAsia="方正黑体_GBK" w:cs="Times New Roman"/>
          <w:b w:val="0"/>
          <w:bCs/>
          <w:sz w:val="32"/>
          <w:szCs w:val="32"/>
          <w:shd w:val="clear" w:color="auto" w:fill="FFFFFF"/>
        </w:rPr>
      </w:pPr>
      <w:r>
        <w:rPr>
          <w:rStyle w:val="11"/>
          <w:rFonts w:hint="default" w:ascii="Times New Roman" w:hAnsi="Times New Roman" w:eastAsia="方正黑体_GBK" w:cs="Times New Roman"/>
          <w:b w:val="0"/>
          <w:bCs/>
          <w:sz w:val="32"/>
          <w:szCs w:val="32"/>
          <w:shd w:val="clear" w:color="auto" w:fill="FFFFFF"/>
        </w:rPr>
        <w:t>五、预算绩效管理情况说明</w:t>
      </w:r>
    </w:p>
    <w:p w14:paraId="0B5F169D">
      <w:pPr>
        <w:pStyle w:val="12"/>
        <w:autoSpaceDE w:val="0"/>
        <w:snapToGrid w:val="0"/>
        <w:spacing w:line="600" w:lineRule="exact"/>
        <w:ind w:firstLine="64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（一）单位自评情况</w:t>
      </w:r>
    </w:p>
    <w:p w14:paraId="2C8C0B5E">
      <w:pPr>
        <w:pStyle w:val="13"/>
        <w:keepNext/>
        <w:keepLines w:val="0"/>
        <w:pageBreakBefore w:val="0"/>
        <w:widowControl/>
        <w:shd w:val="clear" w:color="auto" w:fill="FFFFFF"/>
        <w:kinsoku/>
        <w:wordWrap/>
        <w:overflowPunct/>
        <w:topLinePunct w:val="0"/>
        <w:autoSpaceDE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根据预算绩效管理要求，我单位对16个二级项目开展了绩效自评，涉及财政拨款项目支出582.33万元。从评价情况来看，我</w:t>
      </w:r>
      <w:r>
        <w:rPr>
          <w:rFonts w:hint="default" w:ascii="Times New Roman" w:hAnsi="Times New Roman" w:eastAsia="方正仿宋_GBK" w:cs="Times New Roman"/>
          <w:sz w:val="32"/>
          <w:szCs w:val="32"/>
          <w:shd w:val="clear" w:color="auto" w:fill="FFFFFF"/>
          <w:lang w:val="en-US" w:eastAsia="zh-CN"/>
        </w:rPr>
        <w:t>单位</w:t>
      </w:r>
      <w:r>
        <w:rPr>
          <w:rFonts w:hint="default" w:ascii="Times New Roman" w:hAnsi="Times New Roman" w:eastAsia="方正仿宋_GBK" w:cs="Times New Roman"/>
          <w:sz w:val="32"/>
          <w:szCs w:val="32"/>
          <w:shd w:val="clear" w:color="auto" w:fill="FFFFFF"/>
        </w:rPr>
        <w:t>对项目的申请、设立过程做到立项依据充分，在资金使用过程中符合财政相关规定，严格遵循财务管理制度，专款专用。2024年项目立项规范，绩效目标设置合理，资金及时到位，使用合规，执行有效，基本实现年初既定绩效目标</w:t>
      </w:r>
      <w:r>
        <w:rPr>
          <w:rFonts w:hint="default" w:ascii="Times New Roman" w:hAnsi="Times New Roman" w:eastAsia="方正仿宋_GBK" w:cs="Times New Roman"/>
          <w:sz w:val="32"/>
          <w:szCs w:val="32"/>
          <w:shd w:val="clear" w:color="auto" w:fill="FFFFFF"/>
          <w:lang w:eastAsia="zh-CN"/>
        </w:rPr>
        <w:t>。</w:t>
      </w:r>
    </w:p>
    <w:p w14:paraId="4494C63B">
      <w:pPr>
        <w:pStyle w:val="13"/>
        <w:keepNext/>
        <w:keepLines w:val="0"/>
        <w:pageBreakBefore w:val="0"/>
        <w:widowControl/>
        <w:shd w:val="clear" w:color="auto" w:fill="FFFFFF"/>
        <w:kinsoku/>
        <w:wordWrap/>
        <w:overflowPunct/>
        <w:topLinePunct w:val="0"/>
        <w:autoSpaceDE w:val="0"/>
        <w:autoSpaceDN/>
        <w:bidi w:val="0"/>
        <w:adjustRightInd/>
        <w:snapToGrid/>
        <w:spacing w:before="0" w:beforeAutospacing="0" w:after="0" w:afterAutospacing="0" w:line="600" w:lineRule="exact"/>
        <w:jc w:val="center"/>
        <w:textAlignment w:val="auto"/>
        <w:rPr>
          <w:rFonts w:hint="default" w:ascii="Times New Roman" w:hAnsi="Times New Roman" w:cs="Times New Roman"/>
          <w:sz w:val="15"/>
          <w:szCs w:val="32"/>
        </w:rPr>
      </w:pPr>
      <w:r>
        <w:rPr>
          <w:rFonts w:hint="default" w:ascii="Times New Roman" w:hAnsi="Times New Roman" w:eastAsia="方正黑体_GBK" w:cs="Times New Roman"/>
          <w:color w:val="000000"/>
          <w:sz w:val="32"/>
          <w:szCs w:val="32"/>
          <w:lang w:bidi="ar"/>
        </w:rPr>
        <w:t>重庆市七十九中学2024年度项目支出绩效自评表</w:t>
      </w:r>
    </w:p>
    <w:tbl>
      <w:tblPr>
        <w:tblStyle w:val="9"/>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726"/>
        <w:gridCol w:w="1363"/>
        <w:gridCol w:w="851"/>
        <w:gridCol w:w="992"/>
        <w:gridCol w:w="709"/>
        <w:gridCol w:w="708"/>
        <w:gridCol w:w="993"/>
        <w:gridCol w:w="708"/>
        <w:gridCol w:w="613"/>
        <w:gridCol w:w="737"/>
      </w:tblGrid>
      <w:tr w14:paraId="48B6B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5" w:type="dxa"/>
            <w:tcBorders>
              <w:top w:val="single" w:color="auto" w:sz="4" w:space="0"/>
            </w:tcBorders>
            <w:vAlign w:val="center"/>
          </w:tcPr>
          <w:p w14:paraId="76EE00A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sz w:val="22"/>
                <w:lang w:bidi="ar"/>
              </w:rPr>
              <w:t>序号</w:t>
            </w:r>
          </w:p>
        </w:tc>
        <w:tc>
          <w:tcPr>
            <w:tcW w:w="726" w:type="dxa"/>
            <w:tcBorders>
              <w:top w:val="single" w:color="auto" w:sz="4" w:space="0"/>
            </w:tcBorders>
            <w:vAlign w:val="center"/>
          </w:tcPr>
          <w:p w14:paraId="2E8E24A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sz w:val="22"/>
                <w:lang w:bidi="ar"/>
              </w:rPr>
              <w:t>项目名称</w:t>
            </w:r>
          </w:p>
        </w:tc>
        <w:tc>
          <w:tcPr>
            <w:tcW w:w="1363" w:type="dxa"/>
            <w:tcBorders>
              <w:top w:val="single" w:color="auto" w:sz="4" w:space="0"/>
            </w:tcBorders>
            <w:vAlign w:val="center"/>
          </w:tcPr>
          <w:p w14:paraId="623F852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sz w:val="22"/>
                <w:lang w:bidi="ar"/>
              </w:rPr>
              <w:t>指标名称</w:t>
            </w:r>
          </w:p>
        </w:tc>
        <w:tc>
          <w:tcPr>
            <w:tcW w:w="851" w:type="dxa"/>
            <w:tcBorders>
              <w:top w:val="single" w:color="auto" w:sz="4" w:space="0"/>
            </w:tcBorders>
            <w:vAlign w:val="center"/>
          </w:tcPr>
          <w:p w14:paraId="4F80BBC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sz w:val="22"/>
                <w:lang w:bidi="ar"/>
              </w:rPr>
              <w:t>指标性质</w:t>
            </w:r>
          </w:p>
        </w:tc>
        <w:tc>
          <w:tcPr>
            <w:tcW w:w="992" w:type="dxa"/>
            <w:tcBorders>
              <w:top w:val="single" w:color="auto" w:sz="4" w:space="0"/>
            </w:tcBorders>
            <w:vAlign w:val="center"/>
          </w:tcPr>
          <w:p w14:paraId="47A0408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sz w:val="22"/>
                <w:lang w:bidi="ar"/>
              </w:rPr>
              <w:t>指标值</w:t>
            </w:r>
          </w:p>
        </w:tc>
        <w:tc>
          <w:tcPr>
            <w:tcW w:w="709" w:type="dxa"/>
            <w:tcBorders>
              <w:top w:val="single" w:color="auto" w:sz="4" w:space="0"/>
            </w:tcBorders>
            <w:vAlign w:val="center"/>
          </w:tcPr>
          <w:p w14:paraId="39E269A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sz w:val="22"/>
                <w:lang w:bidi="ar"/>
              </w:rPr>
              <w:t>计量单位</w:t>
            </w:r>
          </w:p>
        </w:tc>
        <w:tc>
          <w:tcPr>
            <w:tcW w:w="708" w:type="dxa"/>
            <w:tcBorders>
              <w:top w:val="single" w:color="auto" w:sz="4" w:space="0"/>
            </w:tcBorders>
            <w:vAlign w:val="center"/>
          </w:tcPr>
          <w:p w14:paraId="334DA50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sz w:val="22"/>
                <w:lang w:bidi="ar"/>
              </w:rPr>
              <w:t>指标权重</w:t>
            </w:r>
          </w:p>
        </w:tc>
        <w:tc>
          <w:tcPr>
            <w:tcW w:w="993" w:type="dxa"/>
            <w:tcBorders>
              <w:top w:val="single" w:color="auto" w:sz="4" w:space="0"/>
            </w:tcBorders>
            <w:vAlign w:val="center"/>
          </w:tcPr>
          <w:p w14:paraId="152CBB7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sz w:val="22"/>
                <w:lang w:bidi="ar"/>
              </w:rPr>
              <w:t>全年完成值</w:t>
            </w:r>
          </w:p>
        </w:tc>
        <w:tc>
          <w:tcPr>
            <w:tcW w:w="708" w:type="dxa"/>
            <w:tcBorders>
              <w:top w:val="single" w:color="auto" w:sz="4" w:space="0"/>
            </w:tcBorders>
            <w:vAlign w:val="center"/>
          </w:tcPr>
          <w:p w14:paraId="114EDD9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sz w:val="22"/>
                <w:lang w:bidi="ar"/>
              </w:rPr>
              <w:t>指标得分</w:t>
            </w:r>
          </w:p>
        </w:tc>
        <w:tc>
          <w:tcPr>
            <w:tcW w:w="613" w:type="dxa"/>
            <w:tcBorders>
              <w:top w:val="single" w:color="auto" w:sz="4" w:space="0"/>
            </w:tcBorders>
            <w:vAlign w:val="center"/>
          </w:tcPr>
          <w:p w14:paraId="4B48613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sz w:val="22"/>
                <w:lang w:bidi="ar"/>
              </w:rPr>
              <w:t>说明</w:t>
            </w:r>
          </w:p>
        </w:tc>
        <w:tc>
          <w:tcPr>
            <w:tcW w:w="737" w:type="dxa"/>
            <w:tcBorders>
              <w:top w:val="single" w:color="auto" w:sz="4" w:space="0"/>
            </w:tcBorders>
            <w:vAlign w:val="center"/>
          </w:tcPr>
          <w:p w14:paraId="38B9AC9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sz w:val="22"/>
                <w:lang w:bidi="ar"/>
              </w:rPr>
              <w:t>自评得分</w:t>
            </w:r>
          </w:p>
        </w:tc>
      </w:tr>
      <w:tr w14:paraId="1A7D1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5" w:type="dxa"/>
            <w:vMerge w:val="restart"/>
            <w:noWrap/>
            <w:vAlign w:val="center"/>
          </w:tcPr>
          <w:p w14:paraId="6E48B95D">
            <w:pPr>
              <w:keepNext w:val="0"/>
              <w:keepLines w:val="0"/>
              <w:pageBreakBefore w:val="0"/>
              <w:widowControl/>
              <w:kinsoku/>
              <w:wordWrap/>
              <w:overflowPunct/>
              <w:topLinePunct w:val="0"/>
              <w:autoSpaceDE/>
              <w:autoSpaceDN/>
              <w:bidi w:val="0"/>
              <w:adjustRightInd/>
              <w:snapToGrid/>
              <w:spacing w:line="300" w:lineRule="exact"/>
              <w:ind w:firstLine="200"/>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lang w:bidi="ar"/>
              </w:rPr>
              <w:t>1</w:t>
            </w:r>
          </w:p>
        </w:tc>
        <w:tc>
          <w:tcPr>
            <w:tcW w:w="726" w:type="dxa"/>
            <w:vMerge w:val="restart"/>
            <w:noWrap/>
            <w:vAlign w:val="center"/>
          </w:tcPr>
          <w:p w14:paraId="5C3F0A7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2024年寄宿制困难学生生活补助专项经费</w:t>
            </w:r>
          </w:p>
        </w:tc>
        <w:tc>
          <w:tcPr>
            <w:tcW w:w="1363" w:type="dxa"/>
            <w:noWrap/>
            <w:vAlign w:val="center"/>
          </w:tcPr>
          <w:p w14:paraId="485E376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执行率</w:t>
            </w:r>
          </w:p>
        </w:tc>
        <w:tc>
          <w:tcPr>
            <w:tcW w:w="851" w:type="dxa"/>
            <w:noWrap/>
            <w:vAlign w:val="center"/>
          </w:tcPr>
          <w:p w14:paraId="14EC99E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992" w:type="dxa"/>
            <w:noWrap/>
            <w:vAlign w:val="center"/>
          </w:tcPr>
          <w:p w14:paraId="2785C78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100</w:t>
            </w:r>
          </w:p>
        </w:tc>
        <w:tc>
          <w:tcPr>
            <w:tcW w:w="709" w:type="dxa"/>
            <w:noWrap/>
            <w:vAlign w:val="center"/>
          </w:tcPr>
          <w:p w14:paraId="5637B7F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708" w:type="dxa"/>
            <w:noWrap/>
            <w:vAlign w:val="center"/>
          </w:tcPr>
          <w:p w14:paraId="05DE881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w:t>
            </w:r>
          </w:p>
        </w:tc>
        <w:tc>
          <w:tcPr>
            <w:tcW w:w="993" w:type="dxa"/>
            <w:noWrap/>
            <w:vAlign w:val="center"/>
          </w:tcPr>
          <w:p w14:paraId="2255471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100%</w:t>
            </w:r>
          </w:p>
        </w:tc>
        <w:tc>
          <w:tcPr>
            <w:tcW w:w="708" w:type="dxa"/>
            <w:noWrap/>
            <w:vAlign w:val="center"/>
          </w:tcPr>
          <w:p w14:paraId="0DE8D9E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w:t>
            </w:r>
          </w:p>
        </w:tc>
        <w:tc>
          <w:tcPr>
            <w:tcW w:w="613" w:type="dxa"/>
            <w:noWrap/>
            <w:vAlign w:val="center"/>
          </w:tcPr>
          <w:p w14:paraId="754AA09C">
            <w:pPr>
              <w:keepNext w:val="0"/>
              <w:keepLines w:val="0"/>
              <w:pageBreakBefore w:val="0"/>
              <w:widowControl/>
              <w:kinsoku/>
              <w:wordWrap/>
              <w:overflowPunct/>
              <w:topLinePunct w:val="0"/>
              <w:autoSpaceDE/>
              <w:autoSpaceDN/>
              <w:bidi w:val="0"/>
              <w:adjustRightInd/>
              <w:snapToGrid/>
              <w:spacing w:line="300" w:lineRule="exact"/>
              <w:ind w:firstLine="200"/>
              <w:jc w:val="center"/>
              <w:textAlignment w:val="auto"/>
              <w:rPr>
                <w:rFonts w:hint="default" w:ascii="Times New Roman" w:hAnsi="Times New Roman" w:eastAsia="方正仿宋_GBK" w:cs="Times New Roman"/>
                <w:color w:val="000000"/>
                <w:sz w:val="20"/>
                <w:szCs w:val="20"/>
              </w:rPr>
            </w:pPr>
          </w:p>
        </w:tc>
        <w:tc>
          <w:tcPr>
            <w:tcW w:w="737" w:type="dxa"/>
            <w:vMerge w:val="restart"/>
            <w:noWrap/>
            <w:vAlign w:val="center"/>
          </w:tcPr>
          <w:p w14:paraId="489071EE">
            <w:pPr>
              <w:keepNext w:val="0"/>
              <w:keepLines w:val="0"/>
              <w:pageBreakBefore w:val="0"/>
              <w:widowControl/>
              <w:kinsoku/>
              <w:wordWrap/>
              <w:overflowPunct/>
              <w:topLinePunct w:val="0"/>
              <w:autoSpaceDE/>
              <w:autoSpaceDN/>
              <w:bidi w:val="0"/>
              <w:adjustRightInd/>
              <w:snapToGrid/>
              <w:spacing w:line="300" w:lineRule="exact"/>
              <w:ind w:firstLine="200"/>
              <w:jc w:val="center"/>
              <w:rPr>
                <w:rFonts w:hint="default" w:ascii="Times New Roman" w:hAnsi="Times New Roman" w:eastAsia="方正仿宋_GBK" w:cs="Times New Roman"/>
                <w:color w:val="000000"/>
                <w:sz w:val="20"/>
                <w:szCs w:val="20"/>
              </w:rPr>
            </w:pPr>
          </w:p>
        </w:tc>
      </w:tr>
      <w:tr w14:paraId="7AD48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525" w:type="dxa"/>
            <w:vMerge w:val="continue"/>
            <w:noWrap/>
            <w:vAlign w:val="center"/>
          </w:tcPr>
          <w:p w14:paraId="6EC4D09B">
            <w:pPr>
              <w:keepNext w:val="0"/>
              <w:keepLines w:val="0"/>
              <w:pageBreakBefore w:val="0"/>
              <w:widowControl/>
              <w:kinsoku/>
              <w:wordWrap/>
              <w:overflowPunct/>
              <w:topLinePunct w:val="0"/>
              <w:autoSpaceDE/>
              <w:autoSpaceDN/>
              <w:bidi w:val="0"/>
              <w:adjustRightInd/>
              <w:snapToGrid/>
              <w:spacing w:line="300" w:lineRule="exact"/>
              <w:ind w:firstLine="200"/>
              <w:jc w:val="center"/>
              <w:textAlignment w:val="center"/>
              <w:rPr>
                <w:rFonts w:hint="default" w:ascii="Times New Roman" w:hAnsi="Times New Roman" w:eastAsia="方正仿宋_GBK" w:cs="Times New Roman"/>
                <w:color w:val="000000"/>
                <w:sz w:val="20"/>
                <w:szCs w:val="20"/>
              </w:rPr>
            </w:pPr>
          </w:p>
        </w:tc>
        <w:tc>
          <w:tcPr>
            <w:tcW w:w="726" w:type="dxa"/>
            <w:vMerge w:val="continue"/>
            <w:noWrap/>
            <w:vAlign w:val="center"/>
          </w:tcPr>
          <w:p w14:paraId="00861DC3">
            <w:pPr>
              <w:keepNext w:val="0"/>
              <w:keepLines w:val="0"/>
              <w:pageBreakBefore w:val="0"/>
              <w:widowControl/>
              <w:kinsoku/>
              <w:wordWrap/>
              <w:overflowPunct/>
              <w:topLinePunct w:val="0"/>
              <w:autoSpaceDE/>
              <w:autoSpaceDN/>
              <w:bidi w:val="0"/>
              <w:adjustRightInd/>
              <w:snapToGrid/>
              <w:spacing w:line="300" w:lineRule="exact"/>
              <w:ind w:firstLine="200"/>
              <w:jc w:val="center"/>
              <w:rPr>
                <w:rFonts w:hint="default" w:ascii="Times New Roman" w:hAnsi="Times New Roman" w:eastAsia="方正仿宋_GBK" w:cs="Times New Roman"/>
                <w:color w:val="000000"/>
                <w:sz w:val="20"/>
                <w:szCs w:val="20"/>
              </w:rPr>
            </w:pPr>
          </w:p>
        </w:tc>
        <w:tc>
          <w:tcPr>
            <w:tcW w:w="1363" w:type="dxa"/>
            <w:noWrap/>
            <w:vAlign w:val="center"/>
          </w:tcPr>
          <w:p w14:paraId="5050F6B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补助资金标准</w:t>
            </w:r>
          </w:p>
        </w:tc>
        <w:tc>
          <w:tcPr>
            <w:tcW w:w="851" w:type="dxa"/>
            <w:noWrap/>
            <w:vAlign w:val="center"/>
          </w:tcPr>
          <w:p w14:paraId="68FF1C4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992" w:type="dxa"/>
            <w:noWrap/>
            <w:vAlign w:val="center"/>
          </w:tcPr>
          <w:p w14:paraId="2B023A3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1112.5</w:t>
            </w:r>
          </w:p>
        </w:tc>
        <w:tc>
          <w:tcPr>
            <w:tcW w:w="709" w:type="dxa"/>
            <w:noWrap/>
            <w:vAlign w:val="center"/>
          </w:tcPr>
          <w:p w14:paraId="62D134F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元</w:t>
            </w:r>
          </w:p>
        </w:tc>
        <w:tc>
          <w:tcPr>
            <w:tcW w:w="708" w:type="dxa"/>
            <w:noWrap/>
            <w:vAlign w:val="center"/>
          </w:tcPr>
          <w:p w14:paraId="2552DB4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w:t>
            </w:r>
          </w:p>
        </w:tc>
        <w:tc>
          <w:tcPr>
            <w:tcW w:w="993" w:type="dxa"/>
            <w:noWrap/>
            <w:vAlign w:val="center"/>
          </w:tcPr>
          <w:p w14:paraId="5169F71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1112.5</w:t>
            </w:r>
          </w:p>
        </w:tc>
        <w:tc>
          <w:tcPr>
            <w:tcW w:w="708" w:type="dxa"/>
            <w:noWrap/>
            <w:vAlign w:val="center"/>
          </w:tcPr>
          <w:p w14:paraId="2959F36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w:t>
            </w:r>
          </w:p>
        </w:tc>
        <w:tc>
          <w:tcPr>
            <w:tcW w:w="613" w:type="dxa"/>
            <w:noWrap/>
            <w:vAlign w:val="center"/>
          </w:tcPr>
          <w:p w14:paraId="3440B9BC">
            <w:pPr>
              <w:keepNext w:val="0"/>
              <w:keepLines w:val="0"/>
              <w:pageBreakBefore w:val="0"/>
              <w:widowControl/>
              <w:kinsoku/>
              <w:wordWrap/>
              <w:overflowPunct/>
              <w:topLinePunct w:val="0"/>
              <w:autoSpaceDE/>
              <w:autoSpaceDN/>
              <w:bidi w:val="0"/>
              <w:adjustRightInd/>
              <w:snapToGrid/>
              <w:spacing w:line="300" w:lineRule="exact"/>
              <w:ind w:firstLine="200"/>
              <w:jc w:val="center"/>
              <w:textAlignment w:val="auto"/>
              <w:rPr>
                <w:rFonts w:hint="default" w:ascii="Times New Roman" w:hAnsi="Times New Roman" w:eastAsia="方正仿宋_GBK" w:cs="Times New Roman"/>
                <w:color w:val="000000"/>
                <w:sz w:val="20"/>
                <w:szCs w:val="20"/>
              </w:rPr>
            </w:pPr>
          </w:p>
        </w:tc>
        <w:tc>
          <w:tcPr>
            <w:tcW w:w="737" w:type="dxa"/>
            <w:vMerge w:val="continue"/>
            <w:noWrap/>
            <w:vAlign w:val="center"/>
          </w:tcPr>
          <w:p w14:paraId="509D0DE3">
            <w:pPr>
              <w:keepNext w:val="0"/>
              <w:keepLines w:val="0"/>
              <w:pageBreakBefore w:val="0"/>
              <w:widowControl/>
              <w:kinsoku/>
              <w:wordWrap/>
              <w:overflowPunct/>
              <w:topLinePunct w:val="0"/>
              <w:autoSpaceDE/>
              <w:autoSpaceDN/>
              <w:bidi w:val="0"/>
              <w:adjustRightInd/>
              <w:snapToGrid/>
              <w:spacing w:line="300" w:lineRule="exact"/>
              <w:ind w:firstLine="200"/>
              <w:jc w:val="center"/>
              <w:rPr>
                <w:rFonts w:hint="default" w:ascii="Times New Roman" w:hAnsi="Times New Roman" w:eastAsia="方正仿宋_GBK" w:cs="Times New Roman"/>
                <w:color w:val="000000"/>
                <w:sz w:val="20"/>
                <w:szCs w:val="20"/>
              </w:rPr>
            </w:pPr>
          </w:p>
        </w:tc>
      </w:tr>
      <w:tr w14:paraId="7818D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525" w:type="dxa"/>
            <w:vMerge w:val="continue"/>
            <w:noWrap/>
            <w:vAlign w:val="center"/>
          </w:tcPr>
          <w:p w14:paraId="4AE1D1C9">
            <w:pPr>
              <w:keepNext w:val="0"/>
              <w:keepLines w:val="0"/>
              <w:pageBreakBefore w:val="0"/>
              <w:widowControl/>
              <w:kinsoku/>
              <w:wordWrap/>
              <w:overflowPunct/>
              <w:topLinePunct w:val="0"/>
              <w:autoSpaceDE/>
              <w:autoSpaceDN/>
              <w:bidi w:val="0"/>
              <w:adjustRightInd/>
              <w:snapToGrid/>
              <w:spacing w:line="300" w:lineRule="exact"/>
              <w:ind w:firstLine="200"/>
              <w:jc w:val="center"/>
              <w:textAlignment w:val="center"/>
              <w:rPr>
                <w:rFonts w:hint="default" w:ascii="Times New Roman" w:hAnsi="Times New Roman" w:eastAsia="方正仿宋_GBK" w:cs="Times New Roman"/>
                <w:color w:val="000000"/>
                <w:sz w:val="20"/>
                <w:szCs w:val="20"/>
              </w:rPr>
            </w:pPr>
          </w:p>
        </w:tc>
        <w:tc>
          <w:tcPr>
            <w:tcW w:w="726" w:type="dxa"/>
            <w:vMerge w:val="continue"/>
            <w:noWrap/>
            <w:vAlign w:val="center"/>
          </w:tcPr>
          <w:p w14:paraId="57840E51">
            <w:pPr>
              <w:keepNext w:val="0"/>
              <w:keepLines w:val="0"/>
              <w:pageBreakBefore w:val="0"/>
              <w:widowControl/>
              <w:kinsoku/>
              <w:wordWrap/>
              <w:overflowPunct/>
              <w:topLinePunct w:val="0"/>
              <w:autoSpaceDE/>
              <w:autoSpaceDN/>
              <w:bidi w:val="0"/>
              <w:adjustRightInd/>
              <w:snapToGrid/>
              <w:spacing w:line="300" w:lineRule="exact"/>
              <w:ind w:firstLine="200"/>
              <w:jc w:val="center"/>
              <w:rPr>
                <w:rFonts w:hint="default" w:ascii="Times New Roman" w:hAnsi="Times New Roman" w:eastAsia="方正仿宋_GBK" w:cs="Times New Roman"/>
                <w:color w:val="000000"/>
                <w:sz w:val="20"/>
                <w:szCs w:val="20"/>
              </w:rPr>
            </w:pPr>
          </w:p>
        </w:tc>
        <w:tc>
          <w:tcPr>
            <w:tcW w:w="1363" w:type="dxa"/>
            <w:noWrap/>
            <w:vAlign w:val="center"/>
          </w:tcPr>
          <w:p w14:paraId="05CD673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资助学生数量</w:t>
            </w:r>
          </w:p>
        </w:tc>
        <w:tc>
          <w:tcPr>
            <w:tcW w:w="851" w:type="dxa"/>
            <w:noWrap/>
            <w:vAlign w:val="center"/>
          </w:tcPr>
          <w:p w14:paraId="7D0033D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992" w:type="dxa"/>
            <w:noWrap/>
            <w:vAlign w:val="center"/>
          </w:tcPr>
          <w:p w14:paraId="713064B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7</w:t>
            </w:r>
          </w:p>
        </w:tc>
        <w:tc>
          <w:tcPr>
            <w:tcW w:w="709" w:type="dxa"/>
            <w:noWrap/>
            <w:vAlign w:val="center"/>
          </w:tcPr>
          <w:p w14:paraId="5B02556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人</w:t>
            </w:r>
          </w:p>
        </w:tc>
        <w:tc>
          <w:tcPr>
            <w:tcW w:w="708" w:type="dxa"/>
            <w:noWrap/>
            <w:vAlign w:val="center"/>
          </w:tcPr>
          <w:p w14:paraId="522E651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15</w:t>
            </w:r>
          </w:p>
        </w:tc>
        <w:tc>
          <w:tcPr>
            <w:tcW w:w="993" w:type="dxa"/>
            <w:noWrap/>
            <w:vAlign w:val="center"/>
          </w:tcPr>
          <w:p w14:paraId="531A4C2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7</w:t>
            </w:r>
          </w:p>
        </w:tc>
        <w:tc>
          <w:tcPr>
            <w:tcW w:w="708" w:type="dxa"/>
            <w:noWrap/>
            <w:vAlign w:val="center"/>
          </w:tcPr>
          <w:p w14:paraId="096A3FD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15</w:t>
            </w:r>
          </w:p>
        </w:tc>
        <w:tc>
          <w:tcPr>
            <w:tcW w:w="613" w:type="dxa"/>
            <w:noWrap/>
            <w:vAlign w:val="center"/>
          </w:tcPr>
          <w:p w14:paraId="0DF9D169">
            <w:pPr>
              <w:keepNext w:val="0"/>
              <w:keepLines w:val="0"/>
              <w:pageBreakBefore w:val="0"/>
              <w:widowControl/>
              <w:kinsoku/>
              <w:wordWrap/>
              <w:overflowPunct/>
              <w:topLinePunct w:val="0"/>
              <w:autoSpaceDE/>
              <w:autoSpaceDN/>
              <w:bidi w:val="0"/>
              <w:adjustRightInd/>
              <w:snapToGrid/>
              <w:spacing w:line="300" w:lineRule="exact"/>
              <w:ind w:firstLine="200"/>
              <w:jc w:val="center"/>
              <w:textAlignment w:val="auto"/>
              <w:rPr>
                <w:rFonts w:hint="default" w:ascii="Times New Roman" w:hAnsi="Times New Roman" w:eastAsia="方正仿宋_GBK" w:cs="Times New Roman"/>
                <w:color w:val="000000"/>
                <w:sz w:val="20"/>
                <w:szCs w:val="20"/>
              </w:rPr>
            </w:pPr>
          </w:p>
        </w:tc>
        <w:tc>
          <w:tcPr>
            <w:tcW w:w="737" w:type="dxa"/>
            <w:vMerge w:val="continue"/>
            <w:noWrap/>
            <w:vAlign w:val="center"/>
          </w:tcPr>
          <w:p w14:paraId="1685B624">
            <w:pPr>
              <w:keepNext w:val="0"/>
              <w:keepLines w:val="0"/>
              <w:pageBreakBefore w:val="0"/>
              <w:widowControl/>
              <w:kinsoku/>
              <w:wordWrap/>
              <w:overflowPunct/>
              <w:topLinePunct w:val="0"/>
              <w:autoSpaceDE/>
              <w:autoSpaceDN/>
              <w:bidi w:val="0"/>
              <w:adjustRightInd/>
              <w:snapToGrid/>
              <w:spacing w:line="300" w:lineRule="exact"/>
              <w:ind w:firstLine="200"/>
              <w:jc w:val="center"/>
              <w:rPr>
                <w:rFonts w:hint="default" w:ascii="Times New Roman" w:hAnsi="Times New Roman" w:eastAsia="方正仿宋_GBK" w:cs="Times New Roman"/>
                <w:color w:val="000000"/>
                <w:sz w:val="20"/>
                <w:szCs w:val="20"/>
              </w:rPr>
            </w:pPr>
          </w:p>
        </w:tc>
      </w:tr>
      <w:tr w14:paraId="7D7B4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5" w:type="dxa"/>
            <w:vMerge w:val="continue"/>
            <w:noWrap/>
            <w:vAlign w:val="center"/>
          </w:tcPr>
          <w:p w14:paraId="3257A1F7">
            <w:pPr>
              <w:keepNext w:val="0"/>
              <w:keepLines w:val="0"/>
              <w:pageBreakBefore w:val="0"/>
              <w:widowControl/>
              <w:kinsoku/>
              <w:wordWrap/>
              <w:overflowPunct/>
              <w:topLinePunct w:val="0"/>
              <w:autoSpaceDE/>
              <w:autoSpaceDN/>
              <w:bidi w:val="0"/>
              <w:adjustRightInd/>
              <w:snapToGrid/>
              <w:spacing w:line="300" w:lineRule="exact"/>
              <w:ind w:firstLine="200"/>
              <w:jc w:val="center"/>
              <w:textAlignment w:val="center"/>
              <w:rPr>
                <w:rFonts w:hint="default" w:ascii="Times New Roman" w:hAnsi="Times New Roman" w:eastAsia="方正仿宋_GBK" w:cs="Times New Roman"/>
                <w:color w:val="000000"/>
                <w:sz w:val="20"/>
                <w:szCs w:val="20"/>
              </w:rPr>
            </w:pPr>
          </w:p>
        </w:tc>
        <w:tc>
          <w:tcPr>
            <w:tcW w:w="726" w:type="dxa"/>
            <w:vMerge w:val="continue"/>
            <w:noWrap/>
            <w:vAlign w:val="center"/>
          </w:tcPr>
          <w:p w14:paraId="2DEE7418">
            <w:pPr>
              <w:keepNext w:val="0"/>
              <w:keepLines w:val="0"/>
              <w:pageBreakBefore w:val="0"/>
              <w:widowControl/>
              <w:kinsoku/>
              <w:wordWrap/>
              <w:overflowPunct/>
              <w:topLinePunct w:val="0"/>
              <w:autoSpaceDE/>
              <w:autoSpaceDN/>
              <w:bidi w:val="0"/>
              <w:adjustRightInd/>
              <w:snapToGrid/>
              <w:spacing w:line="300" w:lineRule="exact"/>
              <w:ind w:firstLine="200"/>
              <w:jc w:val="center"/>
              <w:rPr>
                <w:rFonts w:hint="default" w:ascii="Times New Roman" w:hAnsi="Times New Roman" w:eastAsia="方正仿宋_GBK" w:cs="Times New Roman"/>
                <w:color w:val="000000"/>
                <w:sz w:val="20"/>
                <w:szCs w:val="20"/>
              </w:rPr>
            </w:pPr>
          </w:p>
        </w:tc>
        <w:tc>
          <w:tcPr>
            <w:tcW w:w="1363" w:type="dxa"/>
            <w:noWrap/>
            <w:vAlign w:val="center"/>
          </w:tcPr>
          <w:p w14:paraId="487E6CA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学生资助政策知晓率</w:t>
            </w:r>
          </w:p>
        </w:tc>
        <w:tc>
          <w:tcPr>
            <w:tcW w:w="851" w:type="dxa"/>
            <w:noWrap/>
            <w:vAlign w:val="center"/>
          </w:tcPr>
          <w:p w14:paraId="0F8C166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992" w:type="dxa"/>
            <w:noWrap/>
            <w:vAlign w:val="center"/>
          </w:tcPr>
          <w:p w14:paraId="170163B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100</w:t>
            </w:r>
          </w:p>
        </w:tc>
        <w:tc>
          <w:tcPr>
            <w:tcW w:w="709" w:type="dxa"/>
            <w:noWrap/>
            <w:vAlign w:val="center"/>
          </w:tcPr>
          <w:p w14:paraId="172A480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708" w:type="dxa"/>
            <w:noWrap/>
            <w:vAlign w:val="center"/>
          </w:tcPr>
          <w:p w14:paraId="3416F75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100</w:t>
            </w:r>
          </w:p>
        </w:tc>
        <w:tc>
          <w:tcPr>
            <w:tcW w:w="993" w:type="dxa"/>
            <w:noWrap/>
            <w:vAlign w:val="center"/>
          </w:tcPr>
          <w:p w14:paraId="500805D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100%</w:t>
            </w:r>
          </w:p>
        </w:tc>
        <w:tc>
          <w:tcPr>
            <w:tcW w:w="708" w:type="dxa"/>
            <w:noWrap/>
            <w:vAlign w:val="center"/>
          </w:tcPr>
          <w:p w14:paraId="01EFE7F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15</w:t>
            </w:r>
          </w:p>
        </w:tc>
        <w:tc>
          <w:tcPr>
            <w:tcW w:w="613" w:type="dxa"/>
            <w:noWrap/>
            <w:vAlign w:val="center"/>
          </w:tcPr>
          <w:p w14:paraId="5C9C1207">
            <w:pPr>
              <w:keepNext w:val="0"/>
              <w:keepLines w:val="0"/>
              <w:pageBreakBefore w:val="0"/>
              <w:widowControl/>
              <w:kinsoku/>
              <w:wordWrap/>
              <w:overflowPunct/>
              <w:topLinePunct w:val="0"/>
              <w:autoSpaceDE/>
              <w:autoSpaceDN/>
              <w:bidi w:val="0"/>
              <w:adjustRightInd/>
              <w:snapToGrid/>
              <w:spacing w:line="300" w:lineRule="exact"/>
              <w:ind w:firstLine="200"/>
              <w:jc w:val="center"/>
              <w:textAlignment w:val="auto"/>
              <w:rPr>
                <w:rFonts w:hint="default" w:ascii="Times New Roman" w:hAnsi="Times New Roman" w:eastAsia="方正仿宋_GBK" w:cs="Times New Roman"/>
                <w:color w:val="000000"/>
                <w:sz w:val="20"/>
                <w:szCs w:val="20"/>
              </w:rPr>
            </w:pPr>
          </w:p>
        </w:tc>
        <w:tc>
          <w:tcPr>
            <w:tcW w:w="737" w:type="dxa"/>
            <w:vMerge w:val="continue"/>
            <w:noWrap/>
            <w:vAlign w:val="center"/>
          </w:tcPr>
          <w:p w14:paraId="680449F1">
            <w:pPr>
              <w:keepNext w:val="0"/>
              <w:keepLines w:val="0"/>
              <w:pageBreakBefore w:val="0"/>
              <w:widowControl/>
              <w:kinsoku/>
              <w:wordWrap/>
              <w:overflowPunct/>
              <w:topLinePunct w:val="0"/>
              <w:autoSpaceDE/>
              <w:autoSpaceDN/>
              <w:bidi w:val="0"/>
              <w:adjustRightInd/>
              <w:snapToGrid/>
              <w:spacing w:line="300" w:lineRule="exact"/>
              <w:ind w:firstLine="200"/>
              <w:jc w:val="center"/>
              <w:rPr>
                <w:rFonts w:hint="default" w:ascii="Times New Roman" w:hAnsi="Times New Roman" w:eastAsia="方正仿宋_GBK" w:cs="Times New Roman"/>
                <w:color w:val="000000"/>
                <w:sz w:val="20"/>
                <w:szCs w:val="20"/>
              </w:rPr>
            </w:pPr>
          </w:p>
        </w:tc>
      </w:tr>
      <w:tr w14:paraId="30030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5" w:type="dxa"/>
            <w:vMerge w:val="continue"/>
            <w:noWrap/>
            <w:vAlign w:val="center"/>
          </w:tcPr>
          <w:p w14:paraId="55823F65">
            <w:pPr>
              <w:keepNext w:val="0"/>
              <w:keepLines w:val="0"/>
              <w:pageBreakBefore w:val="0"/>
              <w:widowControl/>
              <w:kinsoku/>
              <w:wordWrap/>
              <w:overflowPunct/>
              <w:topLinePunct w:val="0"/>
              <w:autoSpaceDE/>
              <w:autoSpaceDN/>
              <w:bidi w:val="0"/>
              <w:adjustRightInd/>
              <w:snapToGrid/>
              <w:spacing w:line="300" w:lineRule="exact"/>
              <w:ind w:firstLine="200"/>
              <w:jc w:val="center"/>
              <w:textAlignment w:val="center"/>
              <w:rPr>
                <w:rFonts w:hint="default" w:ascii="Times New Roman" w:hAnsi="Times New Roman" w:eastAsia="方正仿宋_GBK" w:cs="Times New Roman"/>
                <w:color w:val="000000"/>
                <w:sz w:val="20"/>
                <w:szCs w:val="20"/>
              </w:rPr>
            </w:pPr>
          </w:p>
        </w:tc>
        <w:tc>
          <w:tcPr>
            <w:tcW w:w="726" w:type="dxa"/>
            <w:vMerge w:val="continue"/>
            <w:noWrap/>
            <w:vAlign w:val="center"/>
          </w:tcPr>
          <w:p w14:paraId="7E3253DB">
            <w:pPr>
              <w:keepNext w:val="0"/>
              <w:keepLines w:val="0"/>
              <w:pageBreakBefore w:val="0"/>
              <w:widowControl/>
              <w:kinsoku/>
              <w:wordWrap/>
              <w:overflowPunct/>
              <w:topLinePunct w:val="0"/>
              <w:autoSpaceDE/>
              <w:autoSpaceDN/>
              <w:bidi w:val="0"/>
              <w:adjustRightInd/>
              <w:snapToGrid/>
              <w:spacing w:line="300" w:lineRule="exact"/>
              <w:ind w:firstLine="200"/>
              <w:jc w:val="center"/>
              <w:rPr>
                <w:rFonts w:hint="default" w:ascii="Times New Roman" w:hAnsi="Times New Roman" w:eastAsia="方正仿宋_GBK" w:cs="Times New Roman"/>
                <w:color w:val="000000"/>
                <w:sz w:val="20"/>
                <w:szCs w:val="20"/>
              </w:rPr>
            </w:pPr>
          </w:p>
        </w:tc>
        <w:tc>
          <w:tcPr>
            <w:tcW w:w="1363" w:type="dxa"/>
            <w:noWrap/>
            <w:vAlign w:val="center"/>
          </w:tcPr>
          <w:p w14:paraId="11CF724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困难学生覆盖率</w:t>
            </w:r>
          </w:p>
        </w:tc>
        <w:tc>
          <w:tcPr>
            <w:tcW w:w="851" w:type="dxa"/>
            <w:noWrap/>
            <w:vAlign w:val="center"/>
          </w:tcPr>
          <w:p w14:paraId="0ACC8FC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992" w:type="dxa"/>
            <w:noWrap/>
            <w:vAlign w:val="center"/>
          </w:tcPr>
          <w:p w14:paraId="10539F2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100</w:t>
            </w:r>
          </w:p>
        </w:tc>
        <w:tc>
          <w:tcPr>
            <w:tcW w:w="709" w:type="dxa"/>
            <w:noWrap/>
            <w:vAlign w:val="center"/>
          </w:tcPr>
          <w:p w14:paraId="0EBBC3E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708" w:type="dxa"/>
            <w:noWrap/>
            <w:vAlign w:val="center"/>
          </w:tcPr>
          <w:p w14:paraId="660D45A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15</w:t>
            </w:r>
          </w:p>
        </w:tc>
        <w:tc>
          <w:tcPr>
            <w:tcW w:w="993" w:type="dxa"/>
            <w:noWrap/>
            <w:vAlign w:val="center"/>
          </w:tcPr>
          <w:p w14:paraId="6E6921A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100%</w:t>
            </w:r>
          </w:p>
        </w:tc>
        <w:tc>
          <w:tcPr>
            <w:tcW w:w="708" w:type="dxa"/>
            <w:noWrap/>
            <w:vAlign w:val="center"/>
          </w:tcPr>
          <w:p w14:paraId="41FC400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15</w:t>
            </w:r>
          </w:p>
        </w:tc>
        <w:tc>
          <w:tcPr>
            <w:tcW w:w="613" w:type="dxa"/>
            <w:noWrap/>
            <w:vAlign w:val="center"/>
          </w:tcPr>
          <w:p w14:paraId="77FDFCCF">
            <w:pPr>
              <w:keepNext w:val="0"/>
              <w:keepLines w:val="0"/>
              <w:pageBreakBefore w:val="0"/>
              <w:widowControl/>
              <w:kinsoku/>
              <w:wordWrap/>
              <w:overflowPunct/>
              <w:topLinePunct w:val="0"/>
              <w:autoSpaceDE/>
              <w:autoSpaceDN/>
              <w:bidi w:val="0"/>
              <w:adjustRightInd/>
              <w:snapToGrid/>
              <w:spacing w:line="300" w:lineRule="exact"/>
              <w:ind w:firstLine="200"/>
              <w:jc w:val="center"/>
              <w:textAlignment w:val="auto"/>
              <w:rPr>
                <w:rFonts w:hint="default" w:ascii="Times New Roman" w:hAnsi="Times New Roman" w:eastAsia="方正仿宋_GBK" w:cs="Times New Roman"/>
                <w:color w:val="000000"/>
                <w:sz w:val="20"/>
                <w:szCs w:val="20"/>
              </w:rPr>
            </w:pPr>
          </w:p>
        </w:tc>
        <w:tc>
          <w:tcPr>
            <w:tcW w:w="737" w:type="dxa"/>
            <w:vMerge w:val="continue"/>
            <w:noWrap/>
            <w:vAlign w:val="center"/>
          </w:tcPr>
          <w:p w14:paraId="5361311B">
            <w:pPr>
              <w:keepNext w:val="0"/>
              <w:keepLines w:val="0"/>
              <w:pageBreakBefore w:val="0"/>
              <w:widowControl/>
              <w:kinsoku/>
              <w:wordWrap/>
              <w:overflowPunct/>
              <w:topLinePunct w:val="0"/>
              <w:autoSpaceDE/>
              <w:autoSpaceDN/>
              <w:bidi w:val="0"/>
              <w:adjustRightInd/>
              <w:snapToGrid/>
              <w:spacing w:line="300" w:lineRule="exact"/>
              <w:ind w:firstLine="200"/>
              <w:jc w:val="center"/>
              <w:rPr>
                <w:rFonts w:hint="default" w:ascii="Times New Roman" w:hAnsi="Times New Roman" w:eastAsia="方正仿宋_GBK" w:cs="Times New Roman"/>
                <w:color w:val="000000"/>
                <w:sz w:val="20"/>
                <w:szCs w:val="20"/>
              </w:rPr>
            </w:pPr>
          </w:p>
        </w:tc>
      </w:tr>
      <w:tr w14:paraId="2987F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5" w:type="dxa"/>
            <w:vMerge w:val="continue"/>
            <w:noWrap/>
            <w:vAlign w:val="center"/>
          </w:tcPr>
          <w:p w14:paraId="1A68074B">
            <w:pPr>
              <w:keepNext w:val="0"/>
              <w:keepLines w:val="0"/>
              <w:pageBreakBefore w:val="0"/>
              <w:widowControl/>
              <w:kinsoku/>
              <w:wordWrap/>
              <w:overflowPunct/>
              <w:topLinePunct w:val="0"/>
              <w:autoSpaceDE/>
              <w:autoSpaceDN/>
              <w:bidi w:val="0"/>
              <w:adjustRightInd/>
              <w:snapToGrid/>
              <w:spacing w:line="300" w:lineRule="exact"/>
              <w:ind w:firstLine="200"/>
              <w:jc w:val="center"/>
              <w:textAlignment w:val="center"/>
              <w:rPr>
                <w:rFonts w:hint="default" w:ascii="Times New Roman" w:hAnsi="Times New Roman" w:eastAsia="方正仿宋_GBK" w:cs="Times New Roman"/>
                <w:color w:val="000000"/>
                <w:sz w:val="20"/>
                <w:szCs w:val="20"/>
              </w:rPr>
            </w:pPr>
          </w:p>
        </w:tc>
        <w:tc>
          <w:tcPr>
            <w:tcW w:w="726" w:type="dxa"/>
            <w:vMerge w:val="continue"/>
            <w:noWrap/>
            <w:vAlign w:val="center"/>
          </w:tcPr>
          <w:p w14:paraId="6EC5DE2D">
            <w:pPr>
              <w:keepNext w:val="0"/>
              <w:keepLines w:val="0"/>
              <w:pageBreakBefore w:val="0"/>
              <w:widowControl/>
              <w:kinsoku/>
              <w:wordWrap/>
              <w:overflowPunct/>
              <w:topLinePunct w:val="0"/>
              <w:autoSpaceDE/>
              <w:autoSpaceDN/>
              <w:bidi w:val="0"/>
              <w:adjustRightInd/>
              <w:snapToGrid/>
              <w:spacing w:line="300" w:lineRule="exact"/>
              <w:ind w:firstLine="200"/>
              <w:jc w:val="center"/>
              <w:rPr>
                <w:rFonts w:hint="default" w:ascii="Times New Roman" w:hAnsi="Times New Roman" w:eastAsia="方正仿宋_GBK" w:cs="Times New Roman"/>
                <w:color w:val="000000"/>
                <w:sz w:val="20"/>
                <w:szCs w:val="20"/>
              </w:rPr>
            </w:pPr>
          </w:p>
        </w:tc>
        <w:tc>
          <w:tcPr>
            <w:tcW w:w="1363" w:type="dxa"/>
            <w:noWrap/>
            <w:vAlign w:val="center"/>
          </w:tcPr>
          <w:p w14:paraId="789A056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九年义务教育巩固率</w:t>
            </w:r>
          </w:p>
        </w:tc>
        <w:tc>
          <w:tcPr>
            <w:tcW w:w="851" w:type="dxa"/>
            <w:noWrap/>
            <w:vAlign w:val="center"/>
          </w:tcPr>
          <w:p w14:paraId="161A3FA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992" w:type="dxa"/>
            <w:noWrap/>
            <w:vAlign w:val="center"/>
          </w:tcPr>
          <w:p w14:paraId="47370D8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99</w:t>
            </w:r>
          </w:p>
        </w:tc>
        <w:tc>
          <w:tcPr>
            <w:tcW w:w="709" w:type="dxa"/>
            <w:noWrap/>
            <w:vAlign w:val="center"/>
          </w:tcPr>
          <w:p w14:paraId="0669F9D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708" w:type="dxa"/>
            <w:noWrap/>
            <w:vAlign w:val="center"/>
          </w:tcPr>
          <w:p w14:paraId="119866D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15</w:t>
            </w:r>
          </w:p>
        </w:tc>
        <w:tc>
          <w:tcPr>
            <w:tcW w:w="993" w:type="dxa"/>
            <w:noWrap/>
            <w:vAlign w:val="center"/>
          </w:tcPr>
          <w:p w14:paraId="6EE5190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99%</w:t>
            </w:r>
          </w:p>
        </w:tc>
        <w:tc>
          <w:tcPr>
            <w:tcW w:w="708" w:type="dxa"/>
            <w:noWrap/>
            <w:vAlign w:val="center"/>
          </w:tcPr>
          <w:p w14:paraId="4E0DCBA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15</w:t>
            </w:r>
          </w:p>
        </w:tc>
        <w:tc>
          <w:tcPr>
            <w:tcW w:w="613" w:type="dxa"/>
            <w:noWrap/>
            <w:vAlign w:val="center"/>
          </w:tcPr>
          <w:p w14:paraId="2965C190">
            <w:pPr>
              <w:keepNext w:val="0"/>
              <w:keepLines w:val="0"/>
              <w:pageBreakBefore w:val="0"/>
              <w:widowControl/>
              <w:kinsoku/>
              <w:wordWrap/>
              <w:overflowPunct/>
              <w:topLinePunct w:val="0"/>
              <w:autoSpaceDE/>
              <w:autoSpaceDN/>
              <w:bidi w:val="0"/>
              <w:adjustRightInd/>
              <w:snapToGrid/>
              <w:spacing w:line="300" w:lineRule="exact"/>
              <w:ind w:firstLine="200"/>
              <w:jc w:val="center"/>
              <w:textAlignment w:val="auto"/>
              <w:rPr>
                <w:rFonts w:hint="default" w:ascii="Times New Roman" w:hAnsi="Times New Roman" w:eastAsia="方正仿宋_GBK" w:cs="Times New Roman"/>
                <w:color w:val="000000"/>
                <w:sz w:val="20"/>
                <w:szCs w:val="20"/>
              </w:rPr>
            </w:pPr>
          </w:p>
        </w:tc>
        <w:tc>
          <w:tcPr>
            <w:tcW w:w="737" w:type="dxa"/>
            <w:vMerge w:val="continue"/>
            <w:noWrap/>
            <w:vAlign w:val="center"/>
          </w:tcPr>
          <w:p w14:paraId="1AC67524">
            <w:pPr>
              <w:keepNext w:val="0"/>
              <w:keepLines w:val="0"/>
              <w:pageBreakBefore w:val="0"/>
              <w:widowControl/>
              <w:kinsoku/>
              <w:wordWrap/>
              <w:overflowPunct/>
              <w:topLinePunct w:val="0"/>
              <w:autoSpaceDE/>
              <w:autoSpaceDN/>
              <w:bidi w:val="0"/>
              <w:adjustRightInd/>
              <w:snapToGrid/>
              <w:spacing w:line="300" w:lineRule="exact"/>
              <w:ind w:firstLine="200"/>
              <w:jc w:val="center"/>
              <w:rPr>
                <w:rFonts w:hint="default" w:ascii="Times New Roman" w:hAnsi="Times New Roman" w:eastAsia="方正仿宋_GBK" w:cs="Times New Roman"/>
                <w:color w:val="000000"/>
                <w:sz w:val="20"/>
                <w:szCs w:val="20"/>
              </w:rPr>
            </w:pPr>
          </w:p>
        </w:tc>
      </w:tr>
      <w:tr w14:paraId="2CECF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5" w:type="dxa"/>
            <w:vMerge w:val="continue"/>
            <w:noWrap/>
            <w:vAlign w:val="center"/>
          </w:tcPr>
          <w:p w14:paraId="7E0F05ED">
            <w:pPr>
              <w:keepNext w:val="0"/>
              <w:keepLines w:val="0"/>
              <w:pageBreakBefore w:val="0"/>
              <w:widowControl/>
              <w:kinsoku/>
              <w:wordWrap/>
              <w:overflowPunct/>
              <w:topLinePunct w:val="0"/>
              <w:autoSpaceDE/>
              <w:autoSpaceDN/>
              <w:bidi w:val="0"/>
              <w:adjustRightInd/>
              <w:snapToGrid/>
              <w:spacing w:line="300" w:lineRule="exact"/>
              <w:ind w:firstLine="200"/>
              <w:jc w:val="center"/>
              <w:textAlignment w:val="center"/>
              <w:rPr>
                <w:rFonts w:hint="default" w:ascii="Times New Roman" w:hAnsi="Times New Roman" w:eastAsia="方正仿宋_GBK" w:cs="Times New Roman"/>
                <w:color w:val="000000"/>
                <w:sz w:val="20"/>
                <w:szCs w:val="20"/>
              </w:rPr>
            </w:pPr>
          </w:p>
        </w:tc>
        <w:tc>
          <w:tcPr>
            <w:tcW w:w="726" w:type="dxa"/>
            <w:vMerge w:val="continue"/>
            <w:noWrap/>
            <w:vAlign w:val="center"/>
          </w:tcPr>
          <w:p w14:paraId="02BBC67A">
            <w:pPr>
              <w:keepNext w:val="0"/>
              <w:keepLines w:val="0"/>
              <w:pageBreakBefore w:val="0"/>
              <w:widowControl/>
              <w:kinsoku/>
              <w:wordWrap/>
              <w:overflowPunct/>
              <w:topLinePunct w:val="0"/>
              <w:autoSpaceDE/>
              <w:autoSpaceDN/>
              <w:bidi w:val="0"/>
              <w:adjustRightInd/>
              <w:snapToGrid/>
              <w:spacing w:line="300" w:lineRule="exact"/>
              <w:ind w:firstLine="200"/>
              <w:jc w:val="center"/>
              <w:rPr>
                <w:rFonts w:hint="default" w:ascii="Times New Roman" w:hAnsi="Times New Roman" w:eastAsia="方正仿宋_GBK" w:cs="Times New Roman"/>
                <w:color w:val="000000"/>
                <w:sz w:val="20"/>
                <w:szCs w:val="20"/>
              </w:rPr>
            </w:pPr>
          </w:p>
        </w:tc>
        <w:tc>
          <w:tcPr>
            <w:tcW w:w="1363" w:type="dxa"/>
            <w:noWrap/>
            <w:vAlign w:val="center"/>
          </w:tcPr>
          <w:p w14:paraId="2B4AE49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受助学生满意率</w:t>
            </w:r>
          </w:p>
        </w:tc>
        <w:tc>
          <w:tcPr>
            <w:tcW w:w="851" w:type="dxa"/>
            <w:noWrap/>
            <w:vAlign w:val="center"/>
          </w:tcPr>
          <w:p w14:paraId="39E8707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992" w:type="dxa"/>
            <w:noWrap/>
            <w:vAlign w:val="center"/>
          </w:tcPr>
          <w:p w14:paraId="44B685B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95</w:t>
            </w:r>
          </w:p>
        </w:tc>
        <w:tc>
          <w:tcPr>
            <w:tcW w:w="709" w:type="dxa"/>
            <w:noWrap/>
            <w:vAlign w:val="center"/>
          </w:tcPr>
          <w:p w14:paraId="3703DB2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708" w:type="dxa"/>
            <w:noWrap/>
            <w:vAlign w:val="center"/>
          </w:tcPr>
          <w:p w14:paraId="072CAB4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w:t>
            </w:r>
          </w:p>
        </w:tc>
        <w:tc>
          <w:tcPr>
            <w:tcW w:w="993" w:type="dxa"/>
            <w:noWrap/>
            <w:vAlign w:val="center"/>
          </w:tcPr>
          <w:p w14:paraId="31AEBC3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95%</w:t>
            </w:r>
          </w:p>
        </w:tc>
        <w:tc>
          <w:tcPr>
            <w:tcW w:w="708" w:type="dxa"/>
            <w:noWrap/>
            <w:vAlign w:val="center"/>
          </w:tcPr>
          <w:p w14:paraId="18B01C6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w:t>
            </w:r>
          </w:p>
        </w:tc>
        <w:tc>
          <w:tcPr>
            <w:tcW w:w="613" w:type="dxa"/>
            <w:noWrap/>
            <w:vAlign w:val="center"/>
          </w:tcPr>
          <w:p w14:paraId="79569FA9">
            <w:pPr>
              <w:keepNext w:val="0"/>
              <w:keepLines w:val="0"/>
              <w:pageBreakBefore w:val="0"/>
              <w:widowControl/>
              <w:kinsoku/>
              <w:wordWrap/>
              <w:overflowPunct/>
              <w:topLinePunct w:val="0"/>
              <w:autoSpaceDE/>
              <w:autoSpaceDN/>
              <w:bidi w:val="0"/>
              <w:adjustRightInd/>
              <w:snapToGrid/>
              <w:spacing w:line="300" w:lineRule="exact"/>
              <w:ind w:firstLine="200"/>
              <w:jc w:val="center"/>
              <w:textAlignment w:val="auto"/>
              <w:rPr>
                <w:rFonts w:hint="default" w:ascii="Times New Roman" w:hAnsi="Times New Roman" w:eastAsia="方正仿宋_GBK" w:cs="Times New Roman"/>
                <w:color w:val="000000"/>
                <w:sz w:val="20"/>
                <w:szCs w:val="20"/>
              </w:rPr>
            </w:pPr>
          </w:p>
        </w:tc>
        <w:tc>
          <w:tcPr>
            <w:tcW w:w="737" w:type="dxa"/>
            <w:vMerge w:val="continue"/>
            <w:noWrap/>
            <w:vAlign w:val="center"/>
          </w:tcPr>
          <w:p w14:paraId="37ADDE78">
            <w:pPr>
              <w:keepNext w:val="0"/>
              <w:keepLines w:val="0"/>
              <w:pageBreakBefore w:val="0"/>
              <w:widowControl/>
              <w:kinsoku/>
              <w:wordWrap/>
              <w:overflowPunct/>
              <w:topLinePunct w:val="0"/>
              <w:autoSpaceDE/>
              <w:autoSpaceDN/>
              <w:bidi w:val="0"/>
              <w:adjustRightInd/>
              <w:snapToGrid/>
              <w:spacing w:line="300" w:lineRule="exact"/>
              <w:ind w:firstLine="200"/>
              <w:jc w:val="center"/>
              <w:rPr>
                <w:rFonts w:hint="default" w:ascii="Times New Roman" w:hAnsi="Times New Roman" w:eastAsia="方正仿宋_GBK" w:cs="Times New Roman"/>
                <w:color w:val="000000"/>
                <w:sz w:val="20"/>
                <w:szCs w:val="20"/>
              </w:rPr>
            </w:pPr>
          </w:p>
        </w:tc>
      </w:tr>
    </w:tbl>
    <w:p w14:paraId="66571DA2">
      <w:pPr>
        <w:pStyle w:val="12"/>
        <w:autoSpaceDE w:val="0"/>
        <w:snapToGrid w:val="0"/>
        <w:spacing w:line="600" w:lineRule="exact"/>
        <w:ind w:left="0" w:leftChars="0" w:firstLine="640" w:firstLineChars="20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（二）单位重点绩效评价情况</w:t>
      </w:r>
    </w:p>
    <w:p w14:paraId="13EDB31C">
      <w:pPr>
        <w:tabs>
          <w:tab w:val="center" w:pos="4153"/>
          <w:tab w:val="left" w:pos="7275"/>
        </w:tabs>
        <w:spacing w:line="60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我单位2024年无重点绩效评价。</w:t>
      </w:r>
    </w:p>
    <w:p w14:paraId="4D970021">
      <w:pPr>
        <w:pStyle w:val="12"/>
        <w:autoSpaceDE w:val="0"/>
        <w:snapToGrid w:val="0"/>
        <w:spacing w:line="600" w:lineRule="exact"/>
        <w:ind w:firstLine="64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（三）财政绩效评价情况</w:t>
      </w:r>
    </w:p>
    <w:p w14:paraId="1D0DA2D4">
      <w:pPr>
        <w:tabs>
          <w:tab w:val="center" w:pos="4153"/>
          <w:tab w:val="left" w:pos="7275"/>
        </w:tabs>
        <w:spacing w:line="60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财政重点绩效评价由区财政局统一公开。</w:t>
      </w:r>
    </w:p>
    <w:p w14:paraId="76A62DC8">
      <w:pPr>
        <w:pStyle w:val="8"/>
        <w:shd w:val="clear" w:color="auto" w:fill="FFFFFF"/>
        <w:snapToGrid w:val="0"/>
        <w:spacing w:before="0" w:beforeAutospacing="0" w:after="0" w:afterAutospacing="0" w:line="600" w:lineRule="exact"/>
        <w:ind w:firstLine="640" w:firstLineChars="200"/>
        <w:jc w:val="both"/>
        <w:rPr>
          <w:rStyle w:val="11"/>
          <w:rFonts w:hint="default" w:ascii="Times New Roman" w:hAnsi="Times New Roman" w:eastAsia="方正黑体_GBK" w:cs="Times New Roman"/>
          <w:b w:val="0"/>
          <w:bCs/>
          <w:sz w:val="32"/>
          <w:szCs w:val="32"/>
          <w:shd w:val="clear" w:color="auto" w:fill="FFFFFF"/>
        </w:rPr>
      </w:pPr>
      <w:r>
        <w:rPr>
          <w:rStyle w:val="11"/>
          <w:rFonts w:hint="default" w:ascii="Times New Roman" w:hAnsi="Times New Roman" w:eastAsia="方正黑体_GBK" w:cs="Times New Roman"/>
          <w:b w:val="0"/>
          <w:bCs/>
          <w:sz w:val="32"/>
          <w:szCs w:val="32"/>
          <w:shd w:val="clear" w:color="auto" w:fill="FFFFFF"/>
        </w:rPr>
        <w:t xml:space="preserve">六、专业名词解释    </w:t>
      </w:r>
    </w:p>
    <w:p w14:paraId="02E1AC8E">
      <w:pPr>
        <w:pStyle w:val="13"/>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指本年度从本级财政单位取得的财政拨款，包括一般公共预算财政拨款和政府性基金预算财政拨款。</w:t>
      </w:r>
    </w:p>
    <w:p w14:paraId="33DF934B">
      <w:pPr>
        <w:pStyle w:val="13"/>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14:paraId="78948DEB">
      <w:pPr>
        <w:pStyle w:val="13"/>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shd w:val="clear" w:color="auto" w:fill="FFFFFF"/>
        </w:rPr>
        <w:t>（</w:t>
      </w:r>
      <w:r>
        <w:rPr>
          <w:rFonts w:hint="default" w:ascii="Times New Roman" w:hAnsi="Times New Roman" w:eastAsia="方正楷体_GBK" w:cs="Times New Roman"/>
          <w:bCs/>
          <w:sz w:val="32"/>
          <w:szCs w:val="32"/>
          <w:shd w:val="clear" w:color="auto" w:fill="FFFFFF"/>
          <w:lang w:val="en-US" w:eastAsia="zh-CN"/>
        </w:rPr>
        <w:t>三</w:t>
      </w:r>
      <w:r>
        <w:rPr>
          <w:rFonts w:hint="default" w:ascii="Times New Roman" w:hAnsi="Times New Roman" w:eastAsia="方正楷体_GBK" w:cs="Times New Roman"/>
          <w:bCs/>
          <w:sz w:val="32"/>
          <w:szCs w:val="32"/>
          <w:shd w:val="clear" w:color="auto" w:fill="FFFFFF"/>
        </w:rPr>
        <w:t>）使用非财政拨款结余：</w:t>
      </w:r>
      <w:r>
        <w:rPr>
          <w:rFonts w:hint="default" w:ascii="Times New Roman" w:hAnsi="Times New Roman" w:eastAsia="方正仿宋_GBK" w:cs="Times New Roman"/>
          <w:sz w:val="32"/>
          <w:szCs w:val="32"/>
          <w:shd w:val="clear" w:color="auto" w:fill="FFFFFF"/>
        </w:rPr>
        <w:t>指单位在当年的</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其他收入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等不足以安排当年支出的情况下，使用以前年度积累的非财政拨款结余弥补本年度收支缺口的资金。</w:t>
      </w:r>
    </w:p>
    <w:p w14:paraId="55241D0B">
      <w:pPr>
        <w:pStyle w:val="13"/>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shd w:val="clear" w:color="auto" w:fill="FFFFFF"/>
        </w:rPr>
        <w:t>（</w:t>
      </w:r>
      <w:r>
        <w:rPr>
          <w:rFonts w:hint="default" w:ascii="Times New Roman" w:hAnsi="Times New Roman" w:eastAsia="方正楷体_GBK" w:cs="Times New Roman"/>
          <w:bCs/>
          <w:sz w:val="32"/>
          <w:szCs w:val="32"/>
          <w:shd w:val="clear" w:color="auto" w:fill="FFFFFF"/>
          <w:lang w:val="en-US" w:eastAsia="zh-CN"/>
        </w:rPr>
        <w:t>四</w:t>
      </w:r>
      <w:r>
        <w:rPr>
          <w:rFonts w:hint="default" w:ascii="Times New Roman" w:hAnsi="Times New Roman" w:eastAsia="方正楷体_GBK" w:cs="Times New Roman"/>
          <w:bCs/>
          <w:sz w:val="32"/>
          <w:szCs w:val="32"/>
          <w:shd w:val="clear" w:color="auto" w:fill="FFFFFF"/>
        </w:rPr>
        <w:t>）年初结转和结余：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479B8984">
      <w:pPr>
        <w:pStyle w:val="13"/>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shd w:val="clear" w:color="auto" w:fill="FFFFFF"/>
        </w:rPr>
        <w:t>（</w:t>
      </w:r>
      <w:r>
        <w:rPr>
          <w:rFonts w:hint="default" w:ascii="Times New Roman" w:hAnsi="Times New Roman" w:eastAsia="方正楷体_GBK" w:cs="Times New Roman"/>
          <w:bCs/>
          <w:sz w:val="32"/>
          <w:szCs w:val="32"/>
          <w:shd w:val="clear" w:color="auto" w:fill="FFFFFF"/>
          <w:lang w:val="en-US" w:eastAsia="zh-CN"/>
        </w:rPr>
        <w:t>五</w:t>
      </w:r>
      <w:r>
        <w:rPr>
          <w:rFonts w:hint="default" w:ascii="Times New Roman" w:hAnsi="Times New Roman" w:eastAsia="方正楷体_GBK" w:cs="Times New Roman"/>
          <w:bCs/>
          <w:sz w:val="32"/>
          <w:szCs w:val="32"/>
          <w:shd w:val="clear" w:color="auto" w:fill="FFFFFF"/>
        </w:rPr>
        <w:t>）结余分配：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4357C164">
      <w:pPr>
        <w:pStyle w:val="13"/>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shd w:val="clear" w:color="auto" w:fill="FFFFFF"/>
        </w:rPr>
        <w:t>（</w:t>
      </w:r>
      <w:r>
        <w:rPr>
          <w:rFonts w:hint="default" w:ascii="Times New Roman" w:hAnsi="Times New Roman" w:eastAsia="方正楷体_GBK" w:cs="Times New Roman"/>
          <w:bCs/>
          <w:sz w:val="32"/>
          <w:szCs w:val="32"/>
          <w:shd w:val="clear" w:color="auto" w:fill="FFFFFF"/>
          <w:lang w:val="en-US" w:eastAsia="zh-CN"/>
        </w:rPr>
        <w:t>六</w:t>
      </w:r>
      <w:r>
        <w:rPr>
          <w:rFonts w:hint="default" w:ascii="Times New Roman" w:hAnsi="Times New Roman" w:eastAsia="方正楷体_GBK" w:cs="Times New Roman"/>
          <w:bCs/>
          <w:sz w:val="32"/>
          <w:szCs w:val="32"/>
          <w:shd w:val="clear" w:color="auto" w:fill="FFFFFF"/>
        </w:rPr>
        <w:t>）年末结转和结余：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074894D1">
      <w:pPr>
        <w:pStyle w:val="13"/>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shd w:val="clear" w:color="auto" w:fill="FFFFFF"/>
        </w:rPr>
        <w:t>（</w:t>
      </w:r>
      <w:r>
        <w:rPr>
          <w:rFonts w:hint="default" w:ascii="Times New Roman" w:hAnsi="Times New Roman" w:eastAsia="方正楷体_GBK" w:cs="Times New Roman"/>
          <w:bCs/>
          <w:sz w:val="32"/>
          <w:szCs w:val="32"/>
          <w:shd w:val="clear" w:color="auto" w:fill="FFFFFF"/>
          <w:lang w:val="en-US" w:eastAsia="zh-CN"/>
        </w:rPr>
        <w:t>七</w:t>
      </w:r>
      <w:r>
        <w:rPr>
          <w:rFonts w:hint="default" w:ascii="Times New Roman" w:hAnsi="Times New Roman" w:eastAsia="方正楷体_GBK" w:cs="Times New Roman"/>
          <w:bCs/>
          <w:sz w:val="32"/>
          <w:szCs w:val="32"/>
          <w:shd w:val="clear" w:color="auto" w:fill="FFFFFF"/>
        </w:rPr>
        <w:t>）基本支出：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工资福利支出</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和</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对个人和家庭的补助</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；公用经费指政府收支分类经济科目中除</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工资福利支出</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和</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对个人和家庭的补助</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外的其他支出。</w:t>
      </w:r>
    </w:p>
    <w:p w14:paraId="71010447">
      <w:pPr>
        <w:pStyle w:val="13"/>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shd w:val="clear" w:color="auto" w:fill="FFFFFF"/>
        </w:rPr>
        <w:t>（</w:t>
      </w:r>
      <w:r>
        <w:rPr>
          <w:rFonts w:hint="default" w:ascii="Times New Roman" w:hAnsi="Times New Roman" w:eastAsia="方正楷体_GBK" w:cs="Times New Roman"/>
          <w:bCs/>
          <w:sz w:val="32"/>
          <w:szCs w:val="32"/>
          <w:shd w:val="clear" w:color="auto" w:fill="FFFFFF"/>
          <w:lang w:val="en-US" w:eastAsia="zh-CN"/>
        </w:rPr>
        <w:t>八</w:t>
      </w:r>
      <w:r>
        <w:rPr>
          <w:rFonts w:hint="default" w:ascii="Times New Roman" w:hAnsi="Times New Roman" w:eastAsia="方正楷体_GBK" w:cs="Times New Roman"/>
          <w:bCs/>
          <w:sz w:val="32"/>
          <w:szCs w:val="32"/>
          <w:shd w:val="clear" w:color="auto" w:fill="FFFFFF"/>
        </w:rPr>
        <w:t>）项目支出：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00140469">
      <w:pPr>
        <w:pStyle w:val="13"/>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shd w:val="clear" w:color="auto" w:fill="FFFFFF"/>
        </w:rPr>
        <w:t>（</w:t>
      </w:r>
      <w:r>
        <w:rPr>
          <w:rFonts w:hint="default" w:ascii="Times New Roman" w:hAnsi="Times New Roman" w:eastAsia="方正楷体_GBK" w:cs="Times New Roman"/>
          <w:bCs/>
          <w:sz w:val="32"/>
          <w:szCs w:val="32"/>
          <w:shd w:val="clear" w:color="auto" w:fill="FFFFFF"/>
          <w:lang w:val="en-US" w:eastAsia="zh-CN"/>
        </w:rPr>
        <w:t>九</w:t>
      </w:r>
      <w:r>
        <w:rPr>
          <w:rFonts w:hint="default" w:ascii="Times New Roman" w:hAnsi="Times New Roman" w:eastAsia="方正楷体_GBK" w:cs="Times New Roman"/>
          <w:bCs/>
          <w:sz w:val="32"/>
          <w:szCs w:val="32"/>
          <w:shd w:val="clear" w:color="auto" w:fill="FFFFFF"/>
        </w:rPr>
        <w:t>）</w:t>
      </w:r>
      <w:r>
        <w:rPr>
          <w:rFonts w:hint="eastAsia" w:ascii="Times New Roman" w:hAnsi="Times New Roman" w:eastAsia="方正楷体_GBK" w:cs="Times New Roman"/>
          <w:bCs/>
          <w:sz w:val="32"/>
          <w:szCs w:val="32"/>
          <w:shd w:val="clear" w:color="auto" w:fill="FFFFFF"/>
          <w:lang w:eastAsia="zh-CN"/>
        </w:rPr>
        <w:t>“</w:t>
      </w:r>
      <w:r>
        <w:rPr>
          <w:rFonts w:hint="default" w:ascii="Times New Roman" w:hAnsi="Times New Roman" w:eastAsia="方正楷体_GBK" w:cs="Times New Roman"/>
          <w:bCs/>
          <w:sz w:val="32"/>
          <w:szCs w:val="32"/>
          <w:shd w:val="clear" w:color="auto" w:fill="FFFFFF"/>
        </w:rPr>
        <w:t>三公</w:t>
      </w:r>
      <w:r>
        <w:rPr>
          <w:rFonts w:hint="eastAsia" w:ascii="Times New Roman" w:hAnsi="Times New Roman" w:eastAsia="方正楷体_GBK" w:cs="Times New Roman"/>
          <w:bCs/>
          <w:sz w:val="32"/>
          <w:szCs w:val="32"/>
          <w:shd w:val="clear" w:color="auto" w:fill="FFFFFF"/>
          <w:lang w:eastAsia="zh-CN"/>
        </w:rPr>
        <w:t>”</w:t>
      </w:r>
      <w:r>
        <w:rPr>
          <w:rFonts w:hint="default" w:ascii="Times New Roman" w:hAnsi="Times New Roman" w:eastAsia="方正楷体_GBK" w:cs="Times New Roman"/>
          <w:bCs/>
          <w:sz w:val="32"/>
          <w:szCs w:val="32"/>
          <w:shd w:val="clear" w:color="auto" w:fill="FFFFFF"/>
        </w:rPr>
        <w:t>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2EACE44">
      <w:pPr>
        <w:pStyle w:val="13"/>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shd w:val="clear" w:color="auto" w:fill="FFFFFF"/>
        </w:rPr>
        <w:t>（十）机关运行经费：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40E18C2">
      <w:pPr>
        <w:pStyle w:val="13"/>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shd w:val="clear" w:color="auto" w:fill="FFFFFF"/>
        </w:rPr>
        <w:t>（十</w:t>
      </w:r>
      <w:r>
        <w:rPr>
          <w:rFonts w:hint="default" w:ascii="Times New Roman" w:hAnsi="Times New Roman" w:eastAsia="方正楷体_GBK" w:cs="Times New Roman"/>
          <w:bCs/>
          <w:sz w:val="32"/>
          <w:szCs w:val="32"/>
          <w:shd w:val="clear" w:color="auto" w:fill="FFFFFF"/>
          <w:lang w:val="en-US" w:eastAsia="zh-CN"/>
        </w:rPr>
        <w:t>一</w:t>
      </w:r>
      <w:r>
        <w:rPr>
          <w:rFonts w:hint="default" w:ascii="Times New Roman" w:hAnsi="Times New Roman" w:eastAsia="方正楷体_GBK" w:cs="Times New Roman"/>
          <w:bCs/>
          <w:sz w:val="32"/>
          <w:szCs w:val="32"/>
          <w:shd w:val="clear" w:color="auto" w:fill="FFFFFF"/>
        </w:rPr>
        <w:t>）工资福利支出（支出经济分类科目类级）：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372E50E2">
      <w:pPr>
        <w:pStyle w:val="13"/>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shd w:val="clear" w:color="auto" w:fill="FFFFFF"/>
        </w:rPr>
        <w:t>（十</w:t>
      </w:r>
      <w:r>
        <w:rPr>
          <w:rFonts w:hint="default" w:ascii="Times New Roman" w:hAnsi="Times New Roman" w:eastAsia="方正楷体_GBK" w:cs="Times New Roman"/>
          <w:bCs/>
          <w:sz w:val="32"/>
          <w:szCs w:val="32"/>
          <w:shd w:val="clear" w:color="auto" w:fill="FFFFFF"/>
          <w:lang w:val="en-US" w:eastAsia="zh-CN"/>
        </w:rPr>
        <w:t>二</w:t>
      </w:r>
      <w:r>
        <w:rPr>
          <w:rFonts w:hint="default" w:ascii="Times New Roman" w:hAnsi="Times New Roman" w:eastAsia="方正楷体_GBK" w:cs="Times New Roman"/>
          <w:bCs/>
          <w:sz w:val="32"/>
          <w:szCs w:val="32"/>
          <w:shd w:val="clear" w:color="auto" w:fill="FFFFFF"/>
        </w:rPr>
        <w:t>）商品和服务支出（支出经济分类科目类级）：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1F750F04">
      <w:pPr>
        <w:pStyle w:val="13"/>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shd w:val="clear" w:color="auto" w:fill="FFFFFF"/>
        </w:rPr>
        <w:t>（十</w:t>
      </w:r>
      <w:r>
        <w:rPr>
          <w:rFonts w:hint="default" w:ascii="Times New Roman" w:hAnsi="Times New Roman" w:eastAsia="方正楷体_GBK" w:cs="Times New Roman"/>
          <w:bCs/>
          <w:sz w:val="32"/>
          <w:szCs w:val="32"/>
          <w:shd w:val="clear" w:color="auto" w:fill="FFFFFF"/>
          <w:lang w:val="en-US" w:eastAsia="zh-CN"/>
        </w:rPr>
        <w:t>三</w:t>
      </w:r>
      <w:r>
        <w:rPr>
          <w:rFonts w:hint="default" w:ascii="Times New Roman" w:hAnsi="Times New Roman" w:eastAsia="方正楷体_GBK" w:cs="Times New Roman"/>
          <w:bCs/>
          <w:sz w:val="32"/>
          <w:szCs w:val="32"/>
          <w:shd w:val="clear" w:color="auto" w:fill="FFFFFF"/>
        </w:rPr>
        <w:t>）对个人和家庭的补助（支出经济分类科目类级）：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14:paraId="5D66A6C2">
      <w:pPr>
        <w:pStyle w:val="13"/>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shd w:val="clear" w:color="auto" w:fill="FFFFFF"/>
        </w:rPr>
        <w:t>（十</w:t>
      </w:r>
      <w:r>
        <w:rPr>
          <w:rFonts w:hint="default" w:ascii="Times New Roman" w:hAnsi="Times New Roman" w:eastAsia="方正楷体_GBK" w:cs="Times New Roman"/>
          <w:bCs/>
          <w:sz w:val="32"/>
          <w:szCs w:val="32"/>
          <w:shd w:val="clear" w:color="auto" w:fill="FFFFFF"/>
          <w:lang w:val="en-US" w:eastAsia="zh-CN"/>
        </w:rPr>
        <w:t>四</w:t>
      </w:r>
      <w:r>
        <w:rPr>
          <w:rFonts w:hint="default" w:ascii="Times New Roman" w:hAnsi="Times New Roman" w:eastAsia="方正楷体_GBK" w:cs="Times New Roman"/>
          <w:bCs/>
          <w:sz w:val="32"/>
          <w:szCs w:val="32"/>
          <w:shd w:val="clear" w:color="auto" w:fill="FFFFFF"/>
        </w:rPr>
        <w:t>）其他资本性支出（支出经济分类科目类级）：</w:t>
      </w:r>
      <w:r>
        <w:rPr>
          <w:rFonts w:hint="default" w:ascii="Times New Roman" w:hAnsi="Times New Roman" w:eastAsia="方正仿宋_GBK" w:cs="Times New Roman"/>
          <w:sz w:val="32"/>
          <w:szCs w:val="32"/>
          <w:shd w:val="clear" w:color="auto" w:fill="FFFFFF"/>
        </w:rPr>
        <w:t>反映非各级发展与改革单位集中安排的用于购置固定资产、战略性和应急性储备、土地和无形资产，以及构建基础设施、大型修缮和财政支持企业更新改造所发生的支出。</w:t>
      </w:r>
    </w:p>
    <w:p w14:paraId="211BC285">
      <w:pPr>
        <w:pStyle w:val="8"/>
        <w:shd w:val="clear" w:color="auto" w:fill="FFFFFF"/>
        <w:snapToGrid w:val="0"/>
        <w:spacing w:before="0" w:beforeAutospacing="0" w:after="0" w:afterAutospacing="0" w:line="600" w:lineRule="exact"/>
        <w:ind w:firstLine="640" w:firstLineChars="200"/>
        <w:jc w:val="both"/>
        <w:rPr>
          <w:rStyle w:val="11"/>
          <w:rFonts w:hint="default" w:ascii="Times New Roman" w:hAnsi="Times New Roman" w:eastAsia="方正黑体_GBK" w:cs="Times New Roman"/>
          <w:b w:val="0"/>
          <w:bCs/>
          <w:sz w:val="32"/>
          <w:szCs w:val="32"/>
          <w:shd w:val="clear" w:color="auto" w:fill="FFFFFF"/>
        </w:rPr>
      </w:pPr>
      <w:r>
        <w:rPr>
          <w:rStyle w:val="11"/>
          <w:rFonts w:hint="default" w:ascii="Times New Roman" w:hAnsi="Times New Roman" w:eastAsia="方正黑体_GBK" w:cs="Times New Roman"/>
          <w:b w:val="0"/>
          <w:bCs/>
          <w:sz w:val="32"/>
          <w:szCs w:val="32"/>
          <w:shd w:val="clear" w:color="auto" w:fill="FFFFFF"/>
        </w:rPr>
        <w:t>七、决算公开联系方式及信息反馈渠道</w:t>
      </w:r>
    </w:p>
    <w:p w14:paraId="57982030">
      <w:pPr>
        <w:pStyle w:val="8"/>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sz w:val="32"/>
          <w:szCs w:val="32"/>
          <w:shd w:val="clear" w:color="auto" w:fill="FFFFFF"/>
        </w:rPr>
        <w:t>本单位决算公开信息反馈和联系方式：</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023-68826339</w:t>
      </w:r>
    </w:p>
    <w:p w14:paraId="1C3B55F0">
      <w:pPr>
        <w:adjustRightInd w:val="0"/>
        <w:snapToGrid w:val="0"/>
        <w:spacing w:line="600" w:lineRule="exact"/>
        <w:ind w:firstLine="643" w:firstLineChars="200"/>
        <w:rPr>
          <w:rStyle w:val="11"/>
          <w:rFonts w:hint="default" w:ascii="Times New Roman" w:hAnsi="Times New Roman" w:eastAsia="黑体" w:cs="Times New Roman"/>
          <w:sz w:val="32"/>
          <w:szCs w:val="32"/>
          <w:shd w:val="clear" w:color="auto" w:fill="FFFFFF"/>
        </w:rPr>
      </w:pPr>
    </w:p>
    <w:p w14:paraId="1070B35A">
      <w:pPr>
        <w:adjustRightInd w:val="0"/>
        <w:snapToGrid w:val="0"/>
        <w:spacing w:line="60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附件：1.收入支出决算总表</w:t>
      </w:r>
    </w:p>
    <w:p w14:paraId="304F7885">
      <w:pPr>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2.收入决算表</w:t>
      </w:r>
    </w:p>
    <w:p w14:paraId="29B2D14C">
      <w:pPr>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3.支出决算表</w:t>
      </w:r>
    </w:p>
    <w:p w14:paraId="4CABFC9C">
      <w:pPr>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4.财政拨款收入支出决算总表</w:t>
      </w:r>
    </w:p>
    <w:p w14:paraId="16A07F36">
      <w:pPr>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5.一般公共预算财政拨款支出决算表</w:t>
      </w:r>
    </w:p>
    <w:p w14:paraId="2880B839">
      <w:pPr>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6.一般公共预算财政拨款基本支出决算表</w:t>
      </w:r>
    </w:p>
    <w:p w14:paraId="2CF022CD">
      <w:pPr>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7.政府性基金预算财政拨款收入支出决算表</w:t>
      </w:r>
    </w:p>
    <w:p w14:paraId="7BA7D973">
      <w:pPr>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8.国有资本经营预算财政拨款支出决算表</w:t>
      </w:r>
    </w:p>
    <w:p w14:paraId="7CD0967A">
      <w:pPr>
        <w:pStyle w:val="12"/>
        <w:autoSpaceDE w:val="0"/>
        <w:spacing w:line="600" w:lineRule="exact"/>
        <w:ind w:firstLine="1600" w:firstLineChars="5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9.机构运行信息表</w:t>
      </w:r>
    </w:p>
    <w:p w14:paraId="710DFF38">
      <w:pPr>
        <w:pStyle w:val="12"/>
        <w:autoSpaceDE w:val="0"/>
        <w:spacing w:line="600" w:lineRule="exact"/>
        <w:ind w:firstLine="1600" w:firstLineChars="500"/>
        <w:jc w:val="both"/>
        <w:rPr>
          <w:rFonts w:hint="default" w:ascii="Times New Roman" w:hAnsi="Times New Roman" w:eastAsia="方正仿宋_GBK" w:cs="Times New Roman"/>
          <w:sz w:val="32"/>
          <w:szCs w:val="32"/>
          <w:shd w:val="clear" w:color="auto" w:fill="FFFFFF"/>
        </w:rPr>
      </w:pPr>
    </w:p>
    <w:p w14:paraId="625D5037">
      <w:pPr>
        <w:pStyle w:val="12"/>
        <w:autoSpaceDE w:val="0"/>
        <w:spacing w:line="600" w:lineRule="exact"/>
        <w:ind w:firstLine="643"/>
        <w:jc w:val="both"/>
        <w:rPr>
          <w:rStyle w:val="11"/>
          <w:rFonts w:hint="default" w:ascii="Times New Roman" w:hAnsi="Times New Roman" w:eastAsia="方正仿宋_GBK" w:cs="Times New Roman"/>
          <w:sz w:val="32"/>
          <w:szCs w:val="32"/>
          <w:shd w:val="clear" w:color="auto" w:fill="FFFF00"/>
        </w:rPr>
        <w:sectPr>
          <w:footerReference r:id="rId3" w:type="default"/>
          <w:pgSz w:w="11915" w:h="16840"/>
          <w:pgMar w:top="2098" w:right="1531" w:bottom="1985" w:left="1531" w:header="851" w:footer="992" w:gutter="0"/>
          <w:pgNumType w:fmt="numberInDash"/>
          <w:cols w:space="720" w:num="1"/>
          <w:docGrid w:type="lines" w:linePitch="312" w:charSpace="0"/>
        </w:sectPr>
      </w:pPr>
    </w:p>
    <w:p w14:paraId="4F0434A3">
      <w:pPr>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附件1</w:t>
      </w: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1"/>
        <w:gridCol w:w="3560"/>
        <w:gridCol w:w="4044"/>
        <w:gridCol w:w="2842"/>
      </w:tblGrid>
      <w:tr w14:paraId="57B284BB">
        <w:tblPrEx>
          <w:tblCellMar>
            <w:top w:w="0" w:type="dxa"/>
            <w:left w:w="0" w:type="dxa"/>
            <w:bottom w:w="0" w:type="dxa"/>
            <w:right w:w="0" w:type="dxa"/>
          </w:tblCellMar>
        </w:tblPrEx>
        <w:trPr>
          <w:trHeight w:val="520" w:hRule="atLeast"/>
        </w:trPr>
        <w:tc>
          <w:tcPr>
            <w:tcW w:w="5000" w:type="pct"/>
            <w:gridSpan w:val="4"/>
            <w:tcBorders>
              <w:top w:val="nil"/>
              <w:left w:val="nil"/>
              <w:bottom w:val="nil"/>
              <w:right w:val="nil"/>
            </w:tcBorders>
            <w:shd w:val="clear" w:color="auto" w:fill="auto"/>
            <w:noWrap/>
            <w:tcMar>
              <w:top w:w="15" w:type="dxa"/>
              <w:left w:w="15" w:type="dxa"/>
              <w:right w:w="15" w:type="dxa"/>
            </w:tcMar>
            <w:vAlign w:val="center"/>
          </w:tcPr>
          <w:p w14:paraId="5D504A25">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03D6CD4A">
        <w:tblPrEx>
          <w:tblCellMar>
            <w:top w:w="0" w:type="dxa"/>
            <w:left w:w="0" w:type="dxa"/>
            <w:bottom w:w="0" w:type="dxa"/>
            <w:right w:w="0" w:type="dxa"/>
          </w:tblCellMar>
        </w:tblPrEx>
        <w:trPr>
          <w:trHeight w:val="232" w:hRule="atLeast"/>
        </w:trPr>
        <w:tc>
          <w:tcPr>
            <w:tcW w:w="1456" w:type="pct"/>
            <w:tcBorders>
              <w:top w:val="nil"/>
              <w:left w:val="nil"/>
              <w:bottom w:val="nil"/>
              <w:right w:val="nil"/>
            </w:tcBorders>
            <w:shd w:val="clear" w:color="auto" w:fill="auto"/>
            <w:noWrap/>
            <w:tcMar>
              <w:top w:w="15" w:type="dxa"/>
              <w:left w:w="15" w:type="dxa"/>
              <w:right w:w="15" w:type="dxa"/>
            </w:tcMar>
            <w:vAlign w:val="bottom"/>
          </w:tcPr>
          <w:p w14:paraId="4F616479">
            <w:pPr>
              <w:spacing w:line="200" w:lineRule="exact"/>
              <w:rPr>
                <w:rFonts w:hint="default" w:ascii="Times New Roman" w:hAnsi="Times New Roman" w:cs="Times New Roman"/>
                <w:color w:val="000000"/>
                <w:sz w:val="20"/>
                <w:szCs w:val="20"/>
              </w:rPr>
            </w:pPr>
          </w:p>
        </w:tc>
        <w:tc>
          <w:tcPr>
            <w:tcW w:w="1207" w:type="pct"/>
            <w:tcBorders>
              <w:top w:val="nil"/>
              <w:left w:val="nil"/>
              <w:bottom w:val="nil"/>
              <w:right w:val="nil"/>
            </w:tcBorders>
            <w:shd w:val="clear" w:color="auto" w:fill="auto"/>
            <w:noWrap/>
            <w:tcMar>
              <w:top w:w="15" w:type="dxa"/>
              <w:left w:w="15" w:type="dxa"/>
              <w:right w:w="15" w:type="dxa"/>
            </w:tcMar>
            <w:vAlign w:val="bottom"/>
          </w:tcPr>
          <w:p w14:paraId="32238B37">
            <w:pPr>
              <w:spacing w:line="200" w:lineRule="exact"/>
              <w:jc w:val="right"/>
              <w:rPr>
                <w:rFonts w:hint="default" w:ascii="Times New Roman" w:hAnsi="Times New Roman" w:cs="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47CB3944">
            <w:pPr>
              <w:spacing w:line="200" w:lineRule="exact"/>
              <w:rPr>
                <w:rFonts w:hint="default" w:ascii="Times New Roman" w:hAnsi="Times New Roman" w:cs="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2CC70F9">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69819943">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3FA7D1D9">
            <w:pPr>
              <w:spacing w:line="280" w:lineRule="exact"/>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rPr>
              <w:t>重庆市七十九中学</w:t>
            </w:r>
          </w:p>
        </w:tc>
        <w:tc>
          <w:tcPr>
            <w:tcW w:w="1372" w:type="pct"/>
            <w:tcBorders>
              <w:top w:val="nil"/>
              <w:left w:val="nil"/>
              <w:bottom w:val="nil"/>
              <w:right w:val="nil"/>
            </w:tcBorders>
            <w:shd w:val="clear" w:color="auto" w:fill="auto"/>
            <w:noWrap/>
            <w:tcMar>
              <w:top w:w="15" w:type="dxa"/>
              <w:left w:w="15" w:type="dxa"/>
              <w:right w:w="15" w:type="dxa"/>
            </w:tcMar>
            <w:vAlign w:val="bottom"/>
          </w:tcPr>
          <w:p w14:paraId="0DCCDD08">
            <w:pPr>
              <w:spacing w:line="200" w:lineRule="exact"/>
              <w:rPr>
                <w:rFonts w:hint="default" w:ascii="Times New Roman" w:hAnsi="Times New Roman" w:cs="Times New 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5998357">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E353120">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8086A">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AE61D86">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0CC41D1D">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89E3D">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B9273">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6C4B5">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01DC5">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784928E9">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91B5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6B1F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3,668.89</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9EA4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23A4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A365AC4">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3B01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1F41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1009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92A4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7298C5E">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2FFC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E281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FBB4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C593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C6D7E13">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FEF3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2BDA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68ED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B818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89090B9">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54B9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E53B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11.30</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257C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6CD2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2,822.11</w:t>
            </w:r>
            <w:r>
              <w:rPr>
                <w:rFonts w:hint="default" w:ascii="Times New Roman" w:hAnsi="Times New Roman" w:cs="Times New Roman"/>
                <w:color w:val="000000"/>
                <w:sz w:val="20"/>
              </w:rPr>
              <w:t xml:space="preserve"> </w:t>
            </w:r>
          </w:p>
        </w:tc>
      </w:tr>
      <w:tr w14:paraId="6C115F29">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F78C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4467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612A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BCCD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9EA396A">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09BF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7F97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A370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2763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6C0BF35">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24E5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1207" w:type="pct"/>
            <w:tcBorders>
              <w:top w:val="nil"/>
              <w:left w:val="nil"/>
              <w:bottom w:val="nil"/>
              <w:right w:val="single" w:color="000000" w:sz="4" w:space="0"/>
            </w:tcBorders>
            <w:shd w:val="clear" w:color="auto" w:fill="auto"/>
            <w:noWrap/>
            <w:tcMar>
              <w:top w:w="15" w:type="dxa"/>
              <w:left w:w="15" w:type="dxa"/>
              <w:right w:w="15" w:type="dxa"/>
            </w:tcMar>
            <w:vAlign w:val="center"/>
          </w:tcPr>
          <w:p w14:paraId="65196DE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0AC3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E6E7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536.79</w:t>
            </w:r>
            <w:r>
              <w:rPr>
                <w:rFonts w:hint="default" w:ascii="Times New Roman" w:hAnsi="Times New Roman" w:cs="Times New Roman"/>
                <w:color w:val="000000"/>
                <w:sz w:val="20"/>
              </w:rPr>
              <w:t xml:space="preserve"> </w:t>
            </w:r>
          </w:p>
        </w:tc>
      </w:tr>
      <w:tr w14:paraId="3E95F6D2">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12864">
            <w:pPr>
              <w:spacing w:line="240" w:lineRule="exact"/>
              <w:rPr>
                <w:rFonts w:hint="default" w:ascii="Times New Roman" w:hAnsi="Times New Roman" w:cs="Times New Roman"/>
                <w:b/>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23CDC2">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23CE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30E9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130.54</w:t>
            </w:r>
            <w:r>
              <w:rPr>
                <w:rFonts w:hint="default" w:ascii="Times New Roman" w:hAnsi="Times New Roman" w:cs="Times New Roman"/>
                <w:color w:val="000000"/>
                <w:sz w:val="20"/>
              </w:rPr>
              <w:t xml:space="preserve"> </w:t>
            </w:r>
          </w:p>
        </w:tc>
      </w:tr>
      <w:tr w14:paraId="6F2C1AA8">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6EDD2">
            <w:pPr>
              <w:spacing w:line="240" w:lineRule="exact"/>
              <w:rPr>
                <w:rFonts w:hint="default" w:ascii="Times New Roman" w:hAnsi="Times New Roman" w:cs="Times New Roman"/>
                <w:b/>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692141">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EF95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72A5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4972620">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D65FC">
            <w:pPr>
              <w:spacing w:line="240" w:lineRule="exact"/>
              <w:rPr>
                <w:rFonts w:hint="default" w:ascii="Times New Roman" w:hAnsi="Times New Roman" w:cs="Times New Roman"/>
                <w:b/>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6C9A97">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1276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7B10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2D981A3">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38E43">
            <w:pPr>
              <w:spacing w:line="240" w:lineRule="exact"/>
              <w:rPr>
                <w:rFonts w:hint="default" w:ascii="Times New Roman" w:hAnsi="Times New Roman" w:cs="Times New Roman"/>
                <w:b/>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23E2AF">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B644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64E5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1F96D35">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03C68">
            <w:pPr>
              <w:spacing w:line="240" w:lineRule="exact"/>
              <w:rPr>
                <w:rFonts w:hint="default" w:ascii="Times New Roman" w:hAnsi="Times New Roman" w:cs="Times New Roman"/>
                <w:b/>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7C686">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FA1F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9D28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57D1AC6">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CAB7B">
            <w:pPr>
              <w:spacing w:line="240" w:lineRule="exact"/>
              <w:rPr>
                <w:rFonts w:hint="default" w:ascii="Times New Roman" w:hAnsi="Times New Roman" w:cs="Times New Roman"/>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18F9F">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4AEC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B410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7E4E35D">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7B8E3">
            <w:pPr>
              <w:spacing w:line="240" w:lineRule="exact"/>
              <w:rPr>
                <w:rFonts w:hint="default" w:ascii="Times New Roman" w:hAnsi="Times New Roman" w:cs="Times New Roman"/>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519B9">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DE3E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D5D8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DE7782D">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02C12">
            <w:pPr>
              <w:spacing w:line="240" w:lineRule="exact"/>
              <w:rPr>
                <w:rFonts w:hint="default" w:ascii="Times New Roman" w:hAnsi="Times New Roman" w:cs="Times New Roman"/>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84C2B">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CF88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20E4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D8D4139">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0E92D">
            <w:pPr>
              <w:spacing w:line="240" w:lineRule="exact"/>
              <w:rPr>
                <w:rFonts w:hint="default" w:ascii="Times New Roman" w:hAnsi="Times New Roman" w:cs="Times New Roman"/>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D1511">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8377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121F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9289D9D">
        <w:tblPrEx>
          <w:tblCellMar>
            <w:top w:w="0" w:type="dxa"/>
            <w:left w:w="0" w:type="dxa"/>
            <w:bottom w:w="0" w:type="dxa"/>
            <w:right w:w="0" w:type="dxa"/>
          </w:tblCellMar>
        </w:tblPrEx>
        <w:trPr>
          <w:trHeight w:val="90"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CE8EF">
            <w:pPr>
              <w:spacing w:line="240" w:lineRule="exact"/>
              <w:rPr>
                <w:rFonts w:hint="default" w:ascii="Times New Roman" w:hAnsi="Times New Roman" w:cs="Times New Roman"/>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CA1D7">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9962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93C6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2CC7670">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B84A0">
            <w:pPr>
              <w:spacing w:line="240" w:lineRule="exact"/>
              <w:rPr>
                <w:rFonts w:hint="default" w:ascii="Times New Roman" w:hAnsi="Times New Roman" w:cs="Times New Roman"/>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64668">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7F5D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1083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190.75</w:t>
            </w:r>
            <w:r>
              <w:rPr>
                <w:rFonts w:hint="default" w:ascii="Times New Roman" w:hAnsi="Times New Roman" w:cs="Times New Roman"/>
                <w:color w:val="000000"/>
                <w:sz w:val="20"/>
              </w:rPr>
              <w:t xml:space="preserve"> </w:t>
            </w:r>
          </w:p>
        </w:tc>
      </w:tr>
      <w:tr w14:paraId="147B8804">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41F34">
            <w:pPr>
              <w:spacing w:line="240" w:lineRule="exact"/>
              <w:rPr>
                <w:rFonts w:hint="default" w:ascii="Times New Roman" w:hAnsi="Times New Roman" w:cs="Times New Roman"/>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9F4E6">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D5D7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96497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162181F">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FE0CE">
            <w:pPr>
              <w:spacing w:line="240" w:lineRule="exact"/>
              <w:rPr>
                <w:rFonts w:hint="default" w:ascii="Times New Roman" w:hAnsi="Times New Roman" w:cs="Times New Roman"/>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CB9FF3">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F5E8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503D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ADB3667">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C75AA">
            <w:pPr>
              <w:spacing w:line="240" w:lineRule="exact"/>
              <w:rPr>
                <w:rFonts w:hint="default" w:ascii="Times New Roman" w:hAnsi="Times New Roman" w:cs="Times New Roman"/>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55523">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8347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9EFD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9C9A710">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03B07">
            <w:pPr>
              <w:spacing w:line="240" w:lineRule="exact"/>
              <w:rPr>
                <w:rFonts w:hint="default" w:ascii="Times New Roman" w:hAnsi="Times New Roman" w:cs="Times New Roman"/>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AF031">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4355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74CD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FAACDEF">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D5FC2">
            <w:pPr>
              <w:spacing w:line="240" w:lineRule="exact"/>
              <w:jc w:val="center"/>
              <w:rPr>
                <w:rFonts w:hint="default" w:ascii="Times New Roman" w:hAnsi="Times New Roman" w:cs="Times New Roman"/>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C56B4">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562E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17A5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97D012A">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2836E">
            <w:pPr>
              <w:spacing w:line="240" w:lineRule="exact"/>
              <w:rPr>
                <w:rFonts w:hint="default" w:ascii="Times New Roman" w:hAnsi="Times New Roman" w:cs="Times New Roman"/>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D1AEB">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C8FE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956E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5B233CB">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CB77B">
            <w:pPr>
              <w:spacing w:line="240" w:lineRule="exact"/>
              <w:rPr>
                <w:rFonts w:hint="default" w:ascii="Times New Roman" w:hAnsi="Times New Roman" w:cs="Times New Roman"/>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59639">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66AC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8367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C748CC4">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E2E1C">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8BDD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3,680.19</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3BDDD">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6825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3,680.19</w:t>
            </w:r>
            <w:r>
              <w:rPr>
                <w:rFonts w:hint="default" w:ascii="Times New Roman" w:hAnsi="Times New Roman" w:cs="Times New Roman"/>
                <w:color w:val="000000"/>
                <w:sz w:val="20"/>
              </w:rPr>
              <w:t xml:space="preserve"> </w:t>
            </w:r>
          </w:p>
        </w:tc>
      </w:tr>
      <w:tr w14:paraId="3BF2A4FB">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0D0C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54EE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5B8A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7C9C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388A329">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C4F5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6C87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75A8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DF2D1A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4B169D6">
        <w:tblPrEx>
          <w:tblCellMar>
            <w:top w:w="0" w:type="dxa"/>
            <w:left w:w="0" w:type="dxa"/>
            <w:bottom w:w="0" w:type="dxa"/>
            <w:right w:w="0" w:type="dxa"/>
          </w:tblCellMar>
        </w:tblPrEx>
        <w:trPr>
          <w:trHeight w:val="25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33A42">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D5E0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3,680.19</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33D9D0DA">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AD4B8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3,680.19</w:t>
            </w:r>
            <w:r>
              <w:rPr>
                <w:rFonts w:hint="default" w:ascii="Times New Roman" w:hAnsi="Times New Roman" w:cs="Times New Roman"/>
                <w:color w:val="000000"/>
                <w:sz w:val="20"/>
              </w:rPr>
              <w:t xml:space="preserve"> </w:t>
            </w:r>
          </w:p>
        </w:tc>
      </w:tr>
    </w:tbl>
    <w:p w14:paraId="2AFB1A0D">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3F53D566">
      <w:pPr>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附件２</w:t>
      </w:r>
    </w:p>
    <w:tbl>
      <w:tblPr>
        <w:tblStyle w:val="9"/>
        <w:tblW w:w="15322" w:type="dxa"/>
        <w:jc w:val="center"/>
        <w:tblLayout w:type="fixed"/>
        <w:tblCellMar>
          <w:top w:w="0" w:type="dxa"/>
          <w:left w:w="62" w:type="dxa"/>
          <w:bottom w:w="0" w:type="dxa"/>
          <w:right w:w="62" w:type="dxa"/>
        </w:tblCellMar>
      </w:tblPr>
      <w:tblGrid>
        <w:gridCol w:w="1790"/>
        <w:gridCol w:w="3539"/>
        <w:gridCol w:w="1351"/>
        <w:gridCol w:w="1351"/>
        <w:gridCol w:w="1351"/>
        <w:gridCol w:w="524"/>
        <w:gridCol w:w="1572"/>
        <w:gridCol w:w="910"/>
        <w:gridCol w:w="1790"/>
        <w:gridCol w:w="1144"/>
      </w:tblGrid>
      <w:tr w14:paraId="02646501">
        <w:tblPrEx>
          <w:tblCellMar>
            <w:top w:w="0" w:type="dxa"/>
            <w:left w:w="62" w:type="dxa"/>
            <w:bottom w:w="0" w:type="dxa"/>
            <w:right w:w="62" w:type="dxa"/>
          </w:tblCellMar>
        </w:tblPrEx>
        <w:trPr>
          <w:trHeight w:val="625" w:hRule="atLeast"/>
          <w:jc w:val="center"/>
        </w:trPr>
        <w:tc>
          <w:tcPr>
            <w:tcW w:w="15322" w:type="dxa"/>
            <w:gridSpan w:val="10"/>
            <w:tcBorders>
              <w:top w:val="nil"/>
              <w:left w:val="nil"/>
              <w:bottom w:val="nil"/>
              <w:right w:val="nil"/>
            </w:tcBorders>
            <w:shd w:val="clear" w:color="auto" w:fill="auto"/>
            <w:noWrap/>
            <w:tcMar>
              <w:top w:w="15" w:type="dxa"/>
              <w:left w:w="15" w:type="dxa"/>
              <w:right w:w="15" w:type="dxa"/>
            </w:tcMar>
            <w:vAlign w:val="center"/>
          </w:tcPr>
          <w:p w14:paraId="022ACCD7">
            <w:pPr>
              <w:snapToGrid w:val="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36BFE7EF">
        <w:tblPrEx>
          <w:tblCellMar>
            <w:top w:w="0" w:type="dxa"/>
            <w:left w:w="62" w:type="dxa"/>
            <w:bottom w:w="0" w:type="dxa"/>
            <w:right w:w="62" w:type="dxa"/>
          </w:tblCellMar>
        </w:tblPrEx>
        <w:trPr>
          <w:jc w:val="center"/>
        </w:trPr>
        <w:tc>
          <w:tcPr>
            <w:tcW w:w="6680" w:type="dxa"/>
            <w:gridSpan w:val="3"/>
            <w:vMerge w:val="restart"/>
            <w:tcBorders>
              <w:top w:val="nil"/>
              <w:left w:val="nil"/>
              <w:right w:val="nil"/>
            </w:tcBorders>
            <w:shd w:val="clear" w:color="auto" w:fill="auto"/>
            <w:noWrap/>
            <w:tcMar>
              <w:top w:w="15" w:type="dxa"/>
              <w:left w:w="15" w:type="dxa"/>
              <w:right w:w="15" w:type="dxa"/>
            </w:tcMar>
            <w:vAlign w:val="bottom"/>
          </w:tcPr>
          <w:p w14:paraId="3C7CCA52">
            <w:pPr>
              <w:snapToGrid w:val="0"/>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rPr>
              <w:t>重庆市七十九中学</w:t>
            </w:r>
          </w:p>
        </w:tc>
        <w:tc>
          <w:tcPr>
            <w:tcW w:w="1351" w:type="dxa"/>
            <w:tcBorders>
              <w:top w:val="nil"/>
              <w:left w:val="nil"/>
              <w:bottom w:val="nil"/>
              <w:right w:val="nil"/>
            </w:tcBorders>
            <w:shd w:val="clear" w:color="auto" w:fill="auto"/>
            <w:noWrap/>
            <w:tcMar>
              <w:top w:w="15" w:type="dxa"/>
              <w:left w:w="15" w:type="dxa"/>
              <w:right w:w="15" w:type="dxa"/>
            </w:tcMar>
            <w:vAlign w:val="bottom"/>
          </w:tcPr>
          <w:p w14:paraId="5987087F">
            <w:pPr>
              <w:snapToGrid w:val="0"/>
              <w:rPr>
                <w:rFonts w:hint="default" w:ascii="Times New Roman" w:hAnsi="Times New Roman" w:cs="Times New Roman"/>
                <w:color w:val="000000"/>
                <w:sz w:val="20"/>
                <w:szCs w:val="20"/>
              </w:rPr>
            </w:pPr>
          </w:p>
        </w:tc>
        <w:tc>
          <w:tcPr>
            <w:tcW w:w="1351" w:type="dxa"/>
            <w:tcBorders>
              <w:top w:val="nil"/>
              <w:left w:val="nil"/>
              <w:bottom w:val="nil"/>
              <w:right w:val="nil"/>
            </w:tcBorders>
            <w:shd w:val="clear" w:color="auto" w:fill="auto"/>
            <w:noWrap/>
            <w:tcMar>
              <w:top w:w="15" w:type="dxa"/>
              <w:left w:w="15" w:type="dxa"/>
              <w:right w:w="15" w:type="dxa"/>
            </w:tcMar>
            <w:vAlign w:val="bottom"/>
          </w:tcPr>
          <w:p w14:paraId="74D1ADEA">
            <w:pPr>
              <w:snapToGrid w:val="0"/>
              <w:rPr>
                <w:rFonts w:hint="default" w:ascii="Times New Roman" w:hAnsi="Times New Roman" w:cs="Times New Roman"/>
                <w:color w:val="000000"/>
                <w:sz w:val="20"/>
                <w:szCs w:val="20"/>
              </w:rPr>
            </w:pPr>
          </w:p>
        </w:tc>
        <w:tc>
          <w:tcPr>
            <w:tcW w:w="524" w:type="dxa"/>
            <w:tcBorders>
              <w:top w:val="nil"/>
              <w:left w:val="nil"/>
              <w:bottom w:val="nil"/>
              <w:right w:val="nil"/>
            </w:tcBorders>
            <w:shd w:val="clear" w:color="auto" w:fill="auto"/>
            <w:noWrap/>
            <w:tcMar>
              <w:top w:w="15" w:type="dxa"/>
              <w:left w:w="15" w:type="dxa"/>
              <w:right w:w="15" w:type="dxa"/>
            </w:tcMar>
            <w:vAlign w:val="bottom"/>
          </w:tcPr>
          <w:p w14:paraId="1D4B8F4C">
            <w:pPr>
              <w:snapToGrid w:val="0"/>
              <w:rPr>
                <w:rFonts w:hint="default" w:ascii="Times New Roman" w:hAnsi="Times New Roman" w:cs="Times New Roman"/>
                <w:color w:val="000000"/>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14:paraId="1CDF0452">
            <w:pPr>
              <w:snapToGrid w:val="0"/>
              <w:rPr>
                <w:rFonts w:hint="default" w:ascii="Times New Roman" w:hAnsi="Times New Roman" w:cs="Times New Roman"/>
                <w:color w:val="000000"/>
                <w:sz w:val="20"/>
                <w:szCs w:val="20"/>
              </w:rPr>
            </w:pPr>
          </w:p>
        </w:tc>
        <w:tc>
          <w:tcPr>
            <w:tcW w:w="910" w:type="dxa"/>
            <w:tcBorders>
              <w:top w:val="nil"/>
              <w:left w:val="nil"/>
              <w:bottom w:val="nil"/>
              <w:right w:val="nil"/>
            </w:tcBorders>
            <w:shd w:val="clear" w:color="auto" w:fill="auto"/>
            <w:noWrap/>
            <w:tcMar>
              <w:top w:w="15" w:type="dxa"/>
              <w:left w:w="15" w:type="dxa"/>
              <w:right w:w="15" w:type="dxa"/>
            </w:tcMar>
            <w:vAlign w:val="bottom"/>
          </w:tcPr>
          <w:p w14:paraId="408DBF4D">
            <w:pPr>
              <w:snapToGrid w:val="0"/>
              <w:rPr>
                <w:rFonts w:hint="default" w:ascii="Times New Roman" w:hAnsi="Times New Roman" w:cs="Times New Roman"/>
                <w:color w:val="000000"/>
                <w:sz w:val="20"/>
                <w:szCs w:val="20"/>
              </w:rPr>
            </w:pPr>
          </w:p>
        </w:tc>
        <w:tc>
          <w:tcPr>
            <w:tcW w:w="1790" w:type="dxa"/>
            <w:tcBorders>
              <w:top w:val="nil"/>
              <w:left w:val="nil"/>
              <w:bottom w:val="nil"/>
              <w:right w:val="nil"/>
            </w:tcBorders>
            <w:shd w:val="clear" w:color="auto" w:fill="auto"/>
            <w:noWrap/>
            <w:tcMar>
              <w:top w:w="15" w:type="dxa"/>
              <w:left w:w="15" w:type="dxa"/>
              <w:right w:w="15" w:type="dxa"/>
            </w:tcMar>
            <w:vAlign w:val="bottom"/>
          </w:tcPr>
          <w:p w14:paraId="13827873">
            <w:pPr>
              <w:snapToGrid w:val="0"/>
              <w:rPr>
                <w:rFonts w:hint="default" w:ascii="Times New Roman" w:hAnsi="Times New Roman" w:cs="Times New Roman"/>
                <w:color w:val="000000"/>
                <w:sz w:val="20"/>
                <w:szCs w:val="20"/>
              </w:rPr>
            </w:pPr>
          </w:p>
        </w:tc>
        <w:tc>
          <w:tcPr>
            <w:tcW w:w="1144" w:type="dxa"/>
            <w:tcBorders>
              <w:top w:val="nil"/>
              <w:left w:val="nil"/>
              <w:bottom w:val="nil"/>
              <w:right w:val="nil"/>
            </w:tcBorders>
            <w:shd w:val="clear" w:color="auto" w:fill="auto"/>
            <w:noWrap/>
            <w:tcMar>
              <w:top w:w="15" w:type="dxa"/>
              <w:left w:w="15" w:type="dxa"/>
              <w:right w:w="15" w:type="dxa"/>
            </w:tcMar>
            <w:vAlign w:val="bottom"/>
          </w:tcPr>
          <w:p w14:paraId="22F5CFFA">
            <w:pPr>
              <w:snapToGrid w:val="0"/>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09BD0F8E">
        <w:tblPrEx>
          <w:tblCellMar>
            <w:top w:w="0" w:type="dxa"/>
            <w:left w:w="62" w:type="dxa"/>
            <w:bottom w:w="0" w:type="dxa"/>
            <w:right w:w="62" w:type="dxa"/>
          </w:tblCellMar>
        </w:tblPrEx>
        <w:trPr>
          <w:jc w:val="center"/>
        </w:trPr>
        <w:tc>
          <w:tcPr>
            <w:tcW w:w="6680" w:type="dxa"/>
            <w:gridSpan w:val="3"/>
            <w:vMerge w:val="continue"/>
            <w:tcBorders>
              <w:left w:val="nil"/>
              <w:bottom w:val="nil"/>
              <w:right w:val="nil"/>
            </w:tcBorders>
            <w:shd w:val="clear" w:color="auto" w:fill="auto"/>
            <w:noWrap/>
            <w:tcMar>
              <w:top w:w="15" w:type="dxa"/>
              <w:left w:w="15" w:type="dxa"/>
              <w:right w:w="15" w:type="dxa"/>
            </w:tcMar>
            <w:vAlign w:val="bottom"/>
          </w:tcPr>
          <w:p w14:paraId="0CE3E2EC">
            <w:pPr>
              <w:snapToGrid w:val="0"/>
              <w:rPr>
                <w:rFonts w:hint="default" w:ascii="Times New Roman" w:hAnsi="Times New Roman" w:cs="Times New Roman"/>
                <w:color w:val="000000"/>
                <w:sz w:val="20"/>
                <w:szCs w:val="20"/>
              </w:rPr>
            </w:pPr>
          </w:p>
        </w:tc>
        <w:tc>
          <w:tcPr>
            <w:tcW w:w="1351" w:type="dxa"/>
            <w:tcBorders>
              <w:top w:val="nil"/>
              <w:left w:val="nil"/>
              <w:bottom w:val="nil"/>
              <w:right w:val="nil"/>
            </w:tcBorders>
            <w:shd w:val="clear" w:color="auto" w:fill="auto"/>
            <w:noWrap/>
            <w:tcMar>
              <w:top w:w="15" w:type="dxa"/>
              <w:left w:w="15" w:type="dxa"/>
              <w:right w:w="15" w:type="dxa"/>
            </w:tcMar>
            <w:vAlign w:val="bottom"/>
          </w:tcPr>
          <w:p w14:paraId="4C58819E">
            <w:pPr>
              <w:snapToGrid w:val="0"/>
              <w:rPr>
                <w:rFonts w:hint="default" w:ascii="Times New Roman" w:hAnsi="Times New Roman" w:cs="Times New Roman"/>
                <w:color w:val="000000"/>
                <w:sz w:val="20"/>
                <w:szCs w:val="20"/>
              </w:rPr>
            </w:pPr>
          </w:p>
        </w:tc>
        <w:tc>
          <w:tcPr>
            <w:tcW w:w="1351" w:type="dxa"/>
            <w:tcBorders>
              <w:top w:val="nil"/>
              <w:left w:val="nil"/>
              <w:bottom w:val="nil"/>
              <w:right w:val="nil"/>
            </w:tcBorders>
            <w:shd w:val="clear" w:color="auto" w:fill="auto"/>
            <w:noWrap/>
            <w:tcMar>
              <w:top w:w="15" w:type="dxa"/>
              <w:left w:w="15" w:type="dxa"/>
              <w:right w:w="15" w:type="dxa"/>
            </w:tcMar>
            <w:vAlign w:val="bottom"/>
          </w:tcPr>
          <w:p w14:paraId="2EFB5AA1">
            <w:pPr>
              <w:snapToGrid w:val="0"/>
              <w:rPr>
                <w:rFonts w:hint="default" w:ascii="Times New Roman" w:hAnsi="Times New Roman" w:cs="Times New Roman"/>
                <w:color w:val="000000"/>
                <w:sz w:val="20"/>
                <w:szCs w:val="20"/>
              </w:rPr>
            </w:pPr>
          </w:p>
        </w:tc>
        <w:tc>
          <w:tcPr>
            <w:tcW w:w="524" w:type="dxa"/>
            <w:tcBorders>
              <w:top w:val="nil"/>
              <w:left w:val="nil"/>
              <w:bottom w:val="nil"/>
              <w:right w:val="nil"/>
            </w:tcBorders>
            <w:shd w:val="clear" w:color="auto" w:fill="auto"/>
            <w:noWrap/>
            <w:tcMar>
              <w:top w:w="15" w:type="dxa"/>
              <w:left w:w="15" w:type="dxa"/>
              <w:right w:w="15" w:type="dxa"/>
            </w:tcMar>
            <w:vAlign w:val="bottom"/>
          </w:tcPr>
          <w:p w14:paraId="56F97B2E">
            <w:pPr>
              <w:snapToGrid w:val="0"/>
              <w:rPr>
                <w:rFonts w:hint="default" w:ascii="Times New Roman" w:hAnsi="Times New Roman" w:cs="Times New Roman"/>
                <w:color w:val="000000"/>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14:paraId="5E06B22A">
            <w:pPr>
              <w:snapToGrid w:val="0"/>
              <w:rPr>
                <w:rFonts w:hint="default" w:ascii="Times New Roman" w:hAnsi="Times New Roman" w:cs="Times New Roman"/>
                <w:color w:val="000000"/>
                <w:sz w:val="20"/>
                <w:szCs w:val="20"/>
              </w:rPr>
            </w:pPr>
          </w:p>
        </w:tc>
        <w:tc>
          <w:tcPr>
            <w:tcW w:w="910" w:type="dxa"/>
            <w:tcBorders>
              <w:top w:val="nil"/>
              <w:left w:val="nil"/>
              <w:bottom w:val="nil"/>
              <w:right w:val="nil"/>
            </w:tcBorders>
            <w:shd w:val="clear" w:color="auto" w:fill="auto"/>
            <w:noWrap/>
            <w:tcMar>
              <w:top w:w="15" w:type="dxa"/>
              <w:left w:w="15" w:type="dxa"/>
              <w:right w:w="15" w:type="dxa"/>
            </w:tcMar>
            <w:vAlign w:val="bottom"/>
          </w:tcPr>
          <w:p w14:paraId="30D8AF30">
            <w:pPr>
              <w:snapToGrid w:val="0"/>
              <w:rPr>
                <w:rFonts w:hint="default" w:ascii="Times New Roman" w:hAnsi="Times New Roman" w:cs="Times New Roman"/>
                <w:color w:val="000000"/>
                <w:sz w:val="20"/>
                <w:szCs w:val="20"/>
              </w:rPr>
            </w:pPr>
          </w:p>
        </w:tc>
        <w:tc>
          <w:tcPr>
            <w:tcW w:w="1790" w:type="dxa"/>
            <w:tcBorders>
              <w:top w:val="nil"/>
              <w:left w:val="nil"/>
              <w:bottom w:val="nil"/>
              <w:right w:val="nil"/>
            </w:tcBorders>
            <w:shd w:val="clear" w:color="auto" w:fill="auto"/>
            <w:noWrap/>
            <w:tcMar>
              <w:top w:w="15" w:type="dxa"/>
              <w:left w:w="15" w:type="dxa"/>
              <w:right w:w="15" w:type="dxa"/>
            </w:tcMar>
            <w:vAlign w:val="bottom"/>
          </w:tcPr>
          <w:p w14:paraId="235ADAAD">
            <w:pPr>
              <w:snapToGrid w:val="0"/>
              <w:rPr>
                <w:rFonts w:hint="default" w:ascii="Times New Roman" w:hAnsi="Times New Roman" w:cs="Times New Roman"/>
                <w:color w:val="000000"/>
                <w:sz w:val="20"/>
                <w:szCs w:val="20"/>
              </w:rPr>
            </w:pPr>
          </w:p>
        </w:tc>
        <w:tc>
          <w:tcPr>
            <w:tcW w:w="1144" w:type="dxa"/>
            <w:tcBorders>
              <w:top w:val="nil"/>
              <w:left w:val="nil"/>
              <w:bottom w:val="nil"/>
              <w:right w:val="nil"/>
            </w:tcBorders>
            <w:shd w:val="clear" w:color="auto" w:fill="auto"/>
            <w:noWrap/>
            <w:tcMar>
              <w:top w:w="15" w:type="dxa"/>
              <w:left w:w="15" w:type="dxa"/>
              <w:right w:w="15" w:type="dxa"/>
            </w:tcMar>
            <w:vAlign w:val="bottom"/>
          </w:tcPr>
          <w:p w14:paraId="20B06C43">
            <w:pPr>
              <w:snapToGrid w:val="0"/>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DBEE086">
        <w:tblPrEx>
          <w:tblCellMar>
            <w:top w:w="0" w:type="dxa"/>
            <w:left w:w="62" w:type="dxa"/>
            <w:bottom w:w="0" w:type="dxa"/>
            <w:right w:w="62" w:type="dxa"/>
          </w:tblCellMar>
        </w:tblPrEx>
        <w:trPr>
          <w:jc w:val="center"/>
        </w:trPr>
        <w:tc>
          <w:tcPr>
            <w:tcW w:w="532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67BEFA12">
            <w:pPr>
              <w:adjustRightInd w:val="0"/>
              <w:spacing w:before="100" w:beforeAutospacing="1" w:after="100" w:afterAutospacing="1"/>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3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CBBC2">
            <w:pPr>
              <w:adjustRightInd w:val="0"/>
              <w:spacing w:before="100" w:beforeAutospacing="1" w:after="100" w:afterAutospacing="1"/>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13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289D9">
            <w:pPr>
              <w:adjustRightInd w:val="0"/>
              <w:spacing w:before="100" w:beforeAutospacing="1" w:after="100" w:afterAutospacing="1"/>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13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6CE7D">
            <w:pPr>
              <w:adjustRightInd w:val="0"/>
              <w:spacing w:before="100" w:beforeAutospacing="1" w:after="100" w:afterAutospacing="1"/>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20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3701D9">
            <w:pPr>
              <w:adjustRightInd w:val="0"/>
              <w:spacing w:before="100" w:beforeAutospacing="1" w:after="100" w:afterAutospacing="1"/>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9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9CD31">
            <w:pPr>
              <w:adjustRightInd w:val="0"/>
              <w:spacing w:before="100" w:beforeAutospacing="1" w:after="100" w:afterAutospacing="1"/>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17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3C656">
            <w:pPr>
              <w:adjustRightInd w:val="0"/>
              <w:spacing w:before="100" w:beforeAutospacing="1" w:after="100" w:afterAutospacing="1"/>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11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A29C2">
            <w:pPr>
              <w:adjustRightInd w:val="0"/>
              <w:spacing w:before="100" w:beforeAutospacing="1" w:after="100" w:afterAutospacing="1"/>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1A4B1AC1">
        <w:tblPrEx>
          <w:tblCellMar>
            <w:top w:w="0" w:type="dxa"/>
            <w:left w:w="62" w:type="dxa"/>
            <w:bottom w:w="0" w:type="dxa"/>
            <w:right w:w="62" w:type="dxa"/>
          </w:tblCellMar>
        </w:tblPrEx>
        <w:trPr>
          <w:trHeight w:val="312" w:hRule="atLeast"/>
          <w:jc w:val="center"/>
        </w:trPr>
        <w:tc>
          <w:tcPr>
            <w:tcW w:w="179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92657">
            <w:pPr>
              <w:adjustRightInd w:val="0"/>
              <w:spacing w:before="100" w:beforeAutospacing="1" w:after="100" w:afterAutospacing="1"/>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53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A5A3E5F">
            <w:pPr>
              <w:adjustRightInd w:val="0"/>
              <w:spacing w:before="100" w:beforeAutospacing="1" w:after="100" w:afterAutospacing="1"/>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7B2EE">
            <w:pPr>
              <w:adjustRightInd w:val="0"/>
              <w:spacing w:before="100" w:beforeAutospacing="1" w:after="100" w:afterAutospacing="1"/>
              <w:jc w:val="center"/>
              <w:rPr>
                <w:rFonts w:hint="default" w:ascii="Times New Roman" w:hAnsi="Times New Roman" w:cs="Times New Roman"/>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956B6">
            <w:pPr>
              <w:adjustRightInd w:val="0"/>
              <w:spacing w:before="100" w:beforeAutospacing="1" w:after="100" w:afterAutospacing="1"/>
              <w:jc w:val="center"/>
              <w:rPr>
                <w:rFonts w:hint="default" w:ascii="Times New Roman" w:hAnsi="Times New Roman" w:cs="Times New Roman"/>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62772">
            <w:pPr>
              <w:adjustRightInd w:val="0"/>
              <w:spacing w:before="100" w:beforeAutospacing="1" w:after="100" w:afterAutospacing="1"/>
              <w:jc w:val="center"/>
              <w:rPr>
                <w:rFonts w:hint="default" w:ascii="Times New Roman" w:hAnsi="Times New Roman" w:cs="Times New Roman"/>
                <w:b/>
                <w:color w:val="000000"/>
                <w:sz w:val="20"/>
                <w:szCs w:val="20"/>
              </w:rPr>
            </w:pPr>
          </w:p>
        </w:tc>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56F1F">
            <w:pPr>
              <w:adjustRightInd w:val="0"/>
              <w:spacing w:before="100" w:beforeAutospacing="1" w:after="100" w:afterAutospacing="1"/>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D1A3D">
            <w:pPr>
              <w:adjustRightInd w:val="0"/>
              <w:spacing w:before="100" w:beforeAutospacing="1" w:after="100" w:afterAutospacing="1"/>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42B5B">
            <w:pPr>
              <w:adjustRightInd w:val="0"/>
              <w:spacing w:before="100" w:beforeAutospacing="1" w:after="100" w:afterAutospacing="1"/>
              <w:jc w:val="center"/>
              <w:rPr>
                <w:rFonts w:hint="default" w:ascii="Times New Roman" w:hAnsi="Times New Roman" w:cs="Times New Roman"/>
                <w:b/>
                <w:color w:val="000000"/>
                <w:sz w:val="20"/>
                <w:szCs w:val="20"/>
              </w:rPr>
            </w:pPr>
          </w:p>
        </w:tc>
        <w:tc>
          <w:tcPr>
            <w:tcW w:w="17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DA9FA">
            <w:pPr>
              <w:adjustRightInd w:val="0"/>
              <w:spacing w:before="100" w:beforeAutospacing="1" w:after="100" w:afterAutospacing="1"/>
              <w:jc w:val="center"/>
              <w:rPr>
                <w:rFonts w:hint="default" w:ascii="Times New Roman" w:hAnsi="Times New Roman" w:cs="Times New Roman"/>
                <w:b/>
                <w:color w:val="000000"/>
                <w:sz w:val="20"/>
                <w:szCs w:val="20"/>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5F85F">
            <w:pPr>
              <w:adjustRightInd w:val="0"/>
              <w:spacing w:before="100" w:beforeAutospacing="1" w:after="100" w:afterAutospacing="1"/>
              <w:jc w:val="center"/>
              <w:rPr>
                <w:rFonts w:hint="default" w:ascii="Times New Roman" w:hAnsi="Times New Roman" w:cs="Times New Roman"/>
                <w:b/>
                <w:color w:val="000000"/>
                <w:sz w:val="20"/>
                <w:szCs w:val="20"/>
              </w:rPr>
            </w:pPr>
          </w:p>
        </w:tc>
      </w:tr>
      <w:tr w14:paraId="7F3CD58D">
        <w:tblPrEx>
          <w:tblCellMar>
            <w:top w:w="0" w:type="dxa"/>
            <w:left w:w="62" w:type="dxa"/>
            <w:bottom w:w="0" w:type="dxa"/>
            <w:right w:w="62" w:type="dxa"/>
          </w:tblCellMar>
        </w:tblPrEx>
        <w:trPr>
          <w:trHeight w:val="312" w:hRule="atLeast"/>
          <w:jc w:val="center"/>
        </w:trPr>
        <w:tc>
          <w:tcPr>
            <w:tcW w:w="179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D065D">
            <w:pPr>
              <w:snapToGrid w:val="0"/>
              <w:jc w:val="center"/>
              <w:rPr>
                <w:rFonts w:hint="default" w:ascii="Times New Roman" w:hAnsi="Times New Roman" w:cs="Times New Roman"/>
                <w:b/>
                <w:color w:val="000000"/>
                <w:sz w:val="20"/>
                <w:szCs w:val="20"/>
              </w:rPr>
            </w:pPr>
          </w:p>
        </w:tc>
        <w:tc>
          <w:tcPr>
            <w:tcW w:w="353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233BE20">
            <w:pPr>
              <w:snapToGrid w:val="0"/>
              <w:jc w:val="center"/>
              <w:rPr>
                <w:rFonts w:hint="default" w:ascii="Times New Roman" w:hAnsi="Times New Roman" w:cs="Times New Roman"/>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7F509">
            <w:pPr>
              <w:snapToGrid w:val="0"/>
              <w:jc w:val="center"/>
              <w:rPr>
                <w:rFonts w:hint="default" w:ascii="Times New Roman" w:hAnsi="Times New Roman" w:cs="Times New Roman"/>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D26C6">
            <w:pPr>
              <w:snapToGrid w:val="0"/>
              <w:jc w:val="center"/>
              <w:rPr>
                <w:rFonts w:hint="default" w:ascii="Times New Roman" w:hAnsi="Times New Roman" w:cs="Times New Roman"/>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DDA04">
            <w:pPr>
              <w:snapToGrid w:val="0"/>
              <w:jc w:val="center"/>
              <w:rPr>
                <w:rFonts w:hint="default" w:ascii="Times New Roman" w:hAnsi="Times New Roman" w:cs="Times New Roman"/>
                <w:b/>
                <w:color w:val="000000"/>
                <w:sz w:val="20"/>
                <w:szCs w:val="20"/>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3A560">
            <w:pPr>
              <w:snapToGrid w:val="0"/>
              <w:jc w:val="center"/>
              <w:rPr>
                <w:rFonts w:hint="default" w:ascii="Times New Roman" w:hAnsi="Times New Roman" w:cs="Times New Roman"/>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3FEFD">
            <w:pPr>
              <w:snapToGrid w:val="0"/>
              <w:jc w:val="center"/>
              <w:rPr>
                <w:rFonts w:hint="default" w:ascii="Times New Roman" w:hAnsi="Times New Roman" w:cs="Times New Roman"/>
                <w:b/>
                <w:color w:val="000000"/>
                <w:sz w:val="20"/>
                <w:szCs w:val="20"/>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E37BD">
            <w:pPr>
              <w:snapToGrid w:val="0"/>
              <w:jc w:val="center"/>
              <w:rPr>
                <w:rFonts w:hint="default" w:ascii="Times New Roman" w:hAnsi="Times New Roman" w:cs="Times New Roman"/>
                <w:b/>
                <w:color w:val="000000"/>
                <w:sz w:val="20"/>
                <w:szCs w:val="20"/>
              </w:rPr>
            </w:pPr>
          </w:p>
        </w:tc>
        <w:tc>
          <w:tcPr>
            <w:tcW w:w="17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5EABE">
            <w:pPr>
              <w:snapToGrid w:val="0"/>
              <w:jc w:val="center"/>
              <w:rPr>
                <w:rFonts w:hint="default" w:ascii="Times New Roman" w:hAnsi="Times New Roman" w:cs="Times New Roman"/>
                <w:b/>
                <w:color w:val="000000"/>
                <w:sz w:val="20"/>
                <w:szCs w:val="20"/>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1B6AE">
            <w:pPr>
              <w:snapToGrid w:val="0"/>
              <w:jc w:val="center"/>
              <w:rPr>
                <w:rFonts w:hint="default" w:ascii="Times New Roman" w:hAnsi="Times New Roman" w:cs="Times New Roman"/>
                <w:b/>
                <w:color w:val="000000"/>
                <w:sz w:val="20"/>
                <w:szCs w:val="20"/>
              </w:rPr>
            </w:pPr>
          </w:p>
        </w:tc>
      </w:tr>
      <w:tr w14:paraId="0615E863">
        <w:tblPrEx>
          <w:tblCellMar>
            <w:top w:w="0" w:type="dxa"/>
            <w:left w:w="62" w:type="dxa"/>
            <w:bottom w:w="0" w:type="dxa"/>
            <w:right w:w="62" w:type="dxa"/>
          </w:tblCellMar>
        </w:tblPrEx>
        <w:trPr>
          <w:trHeight w:val="312" w:hRule="atLeast"/>
          <w:jc w:val="center"/>
        </w:trPr>
        <w:tc>
          <w:tcPr>
            <w:tcW w:w="179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C975A">
            <w:pPr>
              <w:snapToGrid w:val="0"/>
              <w:jc w:val="center"/>
              <w:rPr>
                <w:rFonts w:hint="default" w:ascii="Times New Roman" w:hAnsi="Times New Roman" w:cs="Times New Roman"/>
                <w:b/>
                <w:color w:val="000000"/>
                <w:sz w:val="20"/>
                <w:szCs w:val="20"/>
              </w:rPr>
            </w:pPr>
          </w:p>
        </w:tc>
        <w:tc>
          <w:tcPr>
            <w:tcW w:w="353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97CE3E4">
            <w:pPr>
              <w:snapToGrid w:val="0"/>
              <w:jc w:val="center"/>
              <w:rPr>
                <w:rFonts w:hint="default" w:ascii="Times New Roman" w:hAnsi="Times New Roman" w:cs="Times New Roman"/>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92095">
            <w:pPr>
              <w:snapToGrid w:val="0"/>
              <w:jc w:val="center"/>
              <w:rPr>
                <w:rFonts w:hint="default" w:ascii="Times New Roman" w:hAnsi="Times New Roman" w:cs="Times New Roman"/>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47085">
            <w:pPr>
              <w:snapToGrid w:val="0"/>
              <w:jc w:val="center"/>
              <w:rPr>
                <w:rFonts w:hint="default" w:ascii="Times New Roman" w:hAnsi="Times New Roman" w:cs="Times New Roman"/>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16331">
            <w:pPr>
              <w:snapToGrid w:val="0"/>
              <w:jc w:val="center"/>
              <w:rPr>
                <w:rFonts w:hint="default" w:ascii="Times New Roman" w:hAnsi="Times New Roman" w:cs="Times New Roman"/>
                <w:b/>
                <w:color w:val="000000"/>
                <w:sz w:val="20"/>
                <w:szCs w:val="20"/>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39C6D">
            <w:pPr>
              <w:snapToGrid w:val="0"/>
              <w:jc w:val="center"/>
              <w:rPr>
                <w:rFonts w:hint="default" w:ascii="Times New Roman" w:hAnsi="Times New Roman" w:cs="Times New Roman"/>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40496">
            <w:pPr>
              <w:snapToGrid w:val="0"/>
              <w:jc w:val="center"/>
              <w:rPr>
                <w:rFonts w:hint="default" w:ascii="Times New Roman" w:hAnsi="Times New Roman" w:cs="Times New Roman"/>
                <w:b/>
                <w:color w:val="000000"/>
                <w:sz w:val="20"/>
                <w:szCs w:val="20"/>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96A9B">
            <w:pPr>
              <w:snapToGrid w:val="0"/>
              <w:jc w:val="center"/>
              <w:rPr>
                <w:rFonts w:hint="default" w:ascii="Times New Roman" w:hAnsi="Times New Roman" w:cs="Times New Roman"/>
                <w:b/>
                <w:color w:val="000000"/>
                <w:sz w:val="20"/>
                <w:szCs w:val="20"/>
              </w:rPr>
            </w:pPr>
          </w:p>
        </w:tc>
        <w:tc>
          <w:tcPr>
            <w:tcW w:w="17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4EE62">
            <w:pPr>
              <w:snapToGrid w:val="0"/>
              <w:jc w:val="center"/>
              <w:rPr>
                <w:rFonts w:hint="default" w:ascii="Times New Roman" w:hAnsi="Times New Roman" w:cs="Times New Roman"/>
                <w:b/>
                <w:color w:val="000000"/>
                <w:sz w:val="20"/>
                <w:szCs w:val="20"/>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43DEF">
            <w:pPr>
              <w:snapToGrid w:val="0"/>
              <w:jc w:val="center"/>
              <w:rPr>
                <w:rFonts w:hint="default" w:ascii="Times New Roman" w:hAnsi="Times New Roman" w:cs="Times New Roman"/>
                <w:b/>
                <w:color w:val="000000"/>
                <w:sz w:val="20"/>
                <w:szCs w:val="20"/>
              </w:rPr>
            </w:pPr>
          </w:p>
        </w:tc>
      </w:tr>
      <w:tr w14:paraId="7A512647">
        <w:tblPrEx>
          <w:tblCellMar>
            <w:top w:w="0" w:type="dxa"/>
            <w:left w:w="62" w:type="dxa"/>
            <w:bottom w:w="0" w:type="dxa"/>
            <w:right w:w="62" w:type="dxa"/>
          </w:tblCellMar>
        </w:tblPrEx>
        <w:trPr>
          <w:trHeight w:val="312" w:hRule="atLeast"/>
          <w:jc w:val="center"/>
        </w:trPr>
        <w:tc>
          <w:tcPr>
            <w:tcW w:w="179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C4CD6">
            <w:pPr>
              <w:snapToGrid w:val="0"/>
              <w:jc w:val="center"/>
              <w:rPr>
                <w:rFonts w:hint="default" w:ascii="Times New Roman" w:hAnsi="Times New Roman" w:cs="Times New Roman"/>
                <w:b/>
                <w:color w:val="000000"/>
                <w:sz w:val="20"/>
                <w:szCs w:val="20"/>
              </w:rPr>
            </w:pPr>
          </w:p>
        </w:tc>
        <w:tc>
          <w:tcPr>
            <w:tcW w:w="353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B82E9D3">
            <w:pPr>
              <w:snapToGrid w:val="0"/>
              <w:jc w:val="center"/>
              <w:rPr>
                <w:rFonts w:hint="default" w:ascii="Times New Roman" w:hAnsi="Times New Roman" w:cs="Times New Roman"/>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82C22">
            <w:pPr>
              <w:snapToGrid w:val="0"/>
              <w:jc w:val="center"/>
              <w:rPr>
                <w:rFonts w:hint="default" w:ascii="Times New Roman" w:hAnsi="Times New Roman" w:cs="Times New Roman"/>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78602">
            <w:pPr>
              <w:snapToGrid w:val="0"/>
              <w:jc w:val="center"/>
              <w:rPr>
                <w:rFonts w:hint="default" w:ascii="Times New Roman" w:hAnsi="Times New Roman" w:cs="Times New Roman"/>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12B85">
            <w:pPr>
              <w:snapToGrid w:val="0"/>
              <w:jc w:val="center"/>
              <w:rPr>
                <w:rFonts w:hint="default" w:ascii="Times New Roman" w:hAnsi="Times New Roman" w:cs="Times New Roman"/>
                <w:b/>
                <w:color w:val="000000"/>
                <w:sz w:val="20"/>
                <w:szCs w:val="20"/>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8F92A">
            <w:pPr>
              <w:snapToGrid w:val="0"/>
              <w:jc w:val="center"/>
              <w:rPr>
                <w:rFonts w:hint="default" w:ascii="Times New Roman" w:hAnsi="Times New Roman" w:cs="Times New Roman"/>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CE905">
            <w:pPr>
              <w:snapToGrid w:val="0"/>
              <w:jc w:val="center"/>
              <w:rPr>
                <w:rFonts w:hint="default" w:ascii="Times New Roman" w:hAnsi="Times New Roman" w:cs="Times New Roman"/>
                <w:b/>
                <w:color w:val="000000"/>
                <w:sz w:val="20"/>
                <w:szCs w:val="20"/>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18878">
            <w:pPr>
              <w:snapToGrid w:val="0"/>
              <w:jc w:val="center"/>
              <w:rPr>
                <w:rFonts w:hint="default" w:ascii="Times New Roman" w:hAnsi="Times New Roman" w:cs="Times New Roman"/>
                <w:b/>
                <w:color w:val="000000"/>
                <w:sz w:val="20"/>
                <w:szCs w:val="20"/>
              </w:rPr>
            </w:pPr>
          </w:p>
        </w:tc>
        <w:tc>
          <w:tcPr>
            <w:tcW w:w="17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C2FDE">
            <w:pPr>
              <w:snapToGrid w:val="0"/>
              <w:jc w:val="center"/>
              <w:rPr>
                <w:rFonts w:hint="default" w:ascii="Times New Roman" w:hAnsi="Times New Roman" w:cs="Times New Roman"/>
                <w:b/>
                <w:color w:val="000000"/>
                <w:sz w:val="20"/>
                <w:szCs w:val="20"/>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6C19D">
            <w:pPr>
              <w:snapToGrid w:val="0"/>
              <w:jc w:val="center"/>
              <w:rPr>
                <w:rFonts w:hint="default" w:ascii="Times New Roman" w:hAnsi="Times New Roman" w:cs="Times New Roman"/>
                <w:b/>
                <w:color w:val="000000"/>
                <w:sz w:val="20"/>
                <w:szCs w:val="20"/>
              </w:rPr>
            </w:pPr>
          </w:p>
        </w:tc>
      </w:tr>
      <w:tr w14:paraId="13ABFE64">
        <w:tblPrEx>
          <w:tblCellMar>
            <w:top w:w="0" w:type="dxa"/>
            <w:left w:w="62" w:type="dxa"/>
            <w:bottom w:w="0" w:type="dxa"/>
            <w:right w:w="62" w:type="dxa"/>
          </w:tblCellMar>
        </w:tblPrEx>
        <w:trPr>
          <w:jc w:val="center"/>
        </w:trPr>
        <w:tc>
          <w:tcPr>
            <w:tcW w:w="53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3DB95">
            <w:pPr>
              <w:snapToGrid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3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4A9B8">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3,680.19</w:t>
            </w:r>
            <w:r>
              <w:rPr>
                <w:rFonts w:hint="default" w:ascii="Times New Roman" w:hAnsi="Times New Roman" w:cs="Times New Roman"/>
                <w:b/>
                <w:color w:val="000000"/>
                <w:sz w:val="20"/>
              </w:rPr>
              <w:t xml:space="preserve"> </w:t>
            </w:r>
          </w:p>
        </w:tc>
        <w:tc>
          <w:tcPr>
            <w:tcW w:w="13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CE276">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3,668.89</w:t>
            </w:r>
            <w:r>
              <w:rPr>
                <w:rFonts w:hint="default" w:ascii="Times New Roman" w:hAnsi="Times New Roman" w:cs="Times New Roman"/>
                <w:b/>
                <w:color w:val="000000"/>
                <w:sz w:val="20"/>
              </w:rPr>
              <w:t xml:space="preserve"> </w:t>
            </w:r>
          </w:p>
        </w:tc>
        <w:tc>
          <w:tcPr>
            <w:tcW w:w="13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1FCD4">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E60AA">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11.30</w:t>
            </w:r>
          </w:p>
        </w:tc>
        <w:tc>
          <w:tcPr>
            <w:tcW w:w="15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A4282">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11.30</w:t>
            </w:r>
            <w:r>
              <w:rPr>
                <w:rFonts w:hint="default" w:ascii="Times New Roman" w:hAnsi="Times New Roman" w:cs="Times New Roman"/>
                <w:b/>
                <w:color w:val="000000"/>
                <w:sz w:val="20"/>
              </w:rPr>
              <w:t xml:space="preserve"> </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7B49A">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7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A65CAF">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1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0DBB0">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09C2D5AA">
        <w:tblPrEx>
          <w:tblCellMar>
            <w:top w:w="0" w:type="dxa"/>
            <w:left w:w="62" w:type="dxa"/>
            <w:bottom w:w="0" w:type="dxa"/>
            <w:right w:w="62" w:type="dxa"/>
          </w:tblCellMar>
        </w:tblPrEx>
        <w:trPr>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107B2">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3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FFC7C">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5724C">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2,822.11</w:t>
            </w:r>
            <w:r>
              <w:rPr>
                <w:rFonts w:hint="default" w:ascii="Times New Roman" w:hAnsi="Times New Roman" w:cs="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67F94">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2,810.81</w:t>
            </w:r>
            <w:r>
              <w:rPr>
                <w:rFonts w:hint="default" w:ascii="Times New Roman" w:hAnsi="Times New Roman" w:cs="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0DC2D">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66242">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11.30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A68EF">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11.30</w:t>
            </w:r>
            <w:r>
              <w:rPr>
                <w:rFonts w:hint="default" w:ascii="Times New Roman" w:hAnsi="Times New Roman" w:cs="Times New Roman"/>
                <w:b/>
                <w:color w:val="000000"/>
                <w:sz w:val="20"/>
              </w:rPr>
              <w:t xml:space="preserve"> </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527A2">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66327">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1B7C0">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7B7A5C3">
        <w:tblPrEx>
          <w:tblCellMar>
            <w:top w:w="0" w:type="dxa"/>
            <w:left w:w="62" w:type="dxa"/>
            <w:bottom w:w="0" w:type="dxa"/>
            <w:right w:w="62" w:type="dxa"/>
          </w:tblCellMar>
        </w:tblPrEx>
        <w:trPr>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DF5AF">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3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26C64">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4B526">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2,822.11</w:t>
            </w:r>
            <w:r>
              <w:rPr>
                <w:rFonts w:hint="default" w:ascii="Times New Roman" w:hAnsi="Times New Roman" w:cs="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B7DF3">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2,810.81</w:t>
            </w:r>
            <w:r>
              <w:rPr>
                <w:rFonts w:hint="default" w:ascii="Times New Roman" w:hAnsi="Times New Roman" w:cs="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63200">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A0E1E">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11.30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69259">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11.30</w:t>
            </w:r>
            <w:r>
              <w:rPr>
                <w:rFonts w:hint="default" w:ascii="Times New Roman" w:hAnsi="Times New Roman" w:cs="Times New Roman"/>
                <w:b/>
                <w:color w:val="000000"/>
                <w:sz w:val="20"/>
              </w:rPr>
              <w:t xml:space="preserve"> </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DD268">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A9B52">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790FC">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98CE546">
        <w:tblPrEx>
          <w:tblCellMar>
            <w:top w:w="0" w:type="dxa"/>
            <w:left w:w="62" w:type="dxa"/>
            <w:bottom w:w="0" w:type="dxa"/>
            <w:right w:w="62" w:type="dxa"/>
          </w:tblCellMar>
        </w:tblPrEx>
        <w:trPr>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D386B">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3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E3EFB">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D7087">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1.66</w:t>
            </w:r>
            <w:r>
              <w:rPr>
                <w:rFonts w:hint="default" w:ascii="Times New Roman" w:hAnsi="Times New Roman" w:cs="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FAA92">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1.66</w:t>
            </w:r>
            <w:r>
              <w:rPr>
                <w:rFonts w:hint="default" w:ascii="Times New Roman" w:hAnsi="Times New Roman" w:cs="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76E9A">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81235">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17B7B">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4515D">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20CB0">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66EAD">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B7754D9">
        <w:tblPrEx>
          <w:tblCellMar>
            <w:top w:w="0" w:type="dxa"/>
            <w:left w:w="62" w:type="dxa"/>
            <w:bottom w:w="0" w:type="dxa"/>
            <w:right w:w="62" w:type="dxa"/>
          </w:tblCellMar>
        </w:tblPrEx>
        <w:trPr>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FB928">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2050203</w:t>
            </w:r>
          </w:p>
        </w:tc>
        <w:tc>
          <w:tcPr>
            <w:tcW w:w="3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0E167">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初中教育</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C79F9">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2,820.45</w:t>
            </w:r>
            <w:r>
              <w:rPr>
                <w:rFonts w:hint="default" w:ascii="Times New Roman" w:hAnsi="Times New Roman" w:cs="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F98A2">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2,809.15</w:t>
            </w:r>
            <w:r>
              <w:rPr>
                <w:rFonts w:hint="default" w:ascii="Times New Roman" w:hAnsi="Times New Roman" w:cs="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D139C">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5CA40">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11.30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D34FD">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11.30</w:t>
            </w:r>
            <w:r>
              <w:rPr>
                <w:rFonts w:hint="default" w:ascii="Times New Roman" w:hAnsi="Times New Roman" w:cs="Times New Roman"/>
                <w:color w:val="000000"/>
                <w:sz w:val="20"/>
              </w:rPr>
              <w:t xml:space="preserve"> </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68942">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3DF72">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56192">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BB71D51">
        <w:tblPrEx>
          <w:tblCellMar>
            <w:top w:w="0" w:type="dxa"/>
            <w:left w:w="62" w:type="dxa"/>
            <w:bottom w:w="0" w:type="dxa"/>
            <w:right w:w="62" w:type="dxa"/>
          </w:tblCellMar>
        </w:tblPrEx>
        <w:trPr>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8FDDD">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A68F1">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6BAEE">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536.79</w:t>
            </w:r>
            <w:r>
              <w:rPr>
                <w:rFonts w:hint="default" w:ascii="Times New Roman" w:hAnsi="Times New Roman" w:cs="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C6666">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536.79</w:t>
            </w:r>
            <w:r>
              <w:rPr>
                <w:rFonts w:hint="default" w:ascii="Times New Roman" w:hAnsi="Times New Roman" w:cs="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85BF0">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72EC9">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719CC">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77203">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41867">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85BD3">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A414717">
        <w:tblPrEx>
          <w:tblCellMar>
            <w:top w:w="0" w:type="dxa"/>
            <w:left w:w="62" w:type="dxa"/>
            <w:bottom w:w="0" w:type="dxa"/>
            <w:right w:w="62" w:type="dxa"/>
          </w:tblCellMar>
        </w:tblPrEx>
        <w:trPr>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A82C0">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F8632">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F151D">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513.57</w:t>
            </w:r>
            <w:r>
              <w:rPr>
                <w:rFonts w:hint="default" w:ascii="Times New Roman" w:hAnsi="Times New Roman" w:cs="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2D55A">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513.57</w:t>
            </w:r>
            <w:r>
              <w:rPr>
                <w:rFonts w:hint="default" w:ascii="Times New Roman" w:hAnsi="Times New Roman" w:cs="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74ED5">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52E8D">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7CC1B">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3B5EB">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DB2FA">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EA063">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33DDFB0">
        <w:tblPrEx>
          <w:tblCellMar>
            <w:top w:w="0" w:type="dxa"/>
            <w:left w:w="62" w:type="dxa"/>
            <w:bottom w:w="0" w:type="dxa"/>
            <w:right w:w="62" w:type="dxa"/>
          </w:tblCellMar>
        </w:tblPrEx>
        <w:trPr>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A7A47">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78944">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7C74A">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341.46</w:t>
            </w:r>
            <w:r>
              <w:rPr>
                <w:rFonts w:hint="default" w:ascii="Times New Roman" w:hAnsi="Times New Roman" w:cs="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6FA8B">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341.46</w:t>
            </w:r>
            <w:r>
              <w:rPr>
                <w:rFonts w:hint="default" w:ascii="Times New Roman" w:hAnsi="Times New Roman" w:cs="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BE6F4">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CAEA0">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74C39">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A2C49">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61B0A">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CCA41">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B8598FF">
        <w:tblPrEx>
          <w:tblCellMar>
            <w:top w:w="0" w:type="dxa"/>
            <w:left w:w="62" w:type="dxa"/>
            <w:bottom w:w="0" w:type="dxa"/>
            <w:right w:w="62" w:type="dxa"/>
          </w:tblCellMar>
        </w:tblPrEx>
        <w:trPr>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0D5B2">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321027">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F97EB">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161.12</w:t>
            </w:r>
            <w:r>
              <w:rPr>
                <w:rFonts w:hint="default" w:ascii="Times New Roman" w:hAnsi="Times New Roman" w:cs="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51BCA">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161.12</w:t>
            </w:r>
            <w:r>
              <w:rPr>
                <w:rFonts w:hint="default" w:ascii="Times New Roman" w:hAnsi="Times New Roman" w:cs="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6BEF5">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FB808">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BACB9">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D0FF0">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B98BD">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82F52">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7BECC87">
        <w:tblPrEx>
          <w:tblCellMar>
            <w:top w:w="0" w:type="dxa"/>
            <w:left w:w="62" w:type="dxa"/>
            <w:bottom w:w="0" w:type="dxa"/>
            <w:right w:w="62" w:type="dxa"/>
          </w:tblCellMar>
        </w:tblPrEx>
        <w:trPr>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6DA83">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3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84059">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2434A">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11.00</w:t>
            </w:r>
            <w:r>
              <w:rPr>
                <w:rFonts w:hint="default" w:ascii="Times New Roman" w:hAnsi="Times New Roman" w:cs="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4D64E">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11.00</w:t>
            </w:r>
            <w:r>
              <w:rPr>
                <w:rFonts w:hint="default" w:ascii="Times New Roman" w:hAnsi="Times New Roman" w:cs="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2CF63">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1CE62">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86FF8">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60491">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D1ABA">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C97C2">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AD65270">
        <w:tblPrEx>
          <w:tblCellMar>
            <w:top w:w="0" w:type="dxa"/>
            <w:left w:w="62" w:type="dxa"/>
            <w:bottom w:w="0" w:type="dxa"/>
            <w:right w:w="62" w:type="dxa"/>
          </w:tblCellMar>
        </w:tblPrEx>
        <w:trPr>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0552A">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3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6AAF3">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A2435">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23.22</w:t>
            </w:r>
            <w:r>
              <w:rPr>
                <w:rFonts w:hint="default" w:ascii="Times New Roman" w:hAnsi="Times New Roman" w:cs="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54AB4">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23.22</w:t>
            </w:r>
            <w:r>
              <w:rPr>
                <w:rFonts w:hint="default" w:ascii="Times New Roman" w:hAnsi="Times New Roman" w:cs="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D6755">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4D940">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18AAC">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F5250">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31D5C">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C62E6">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76ED442">
        <w:tblPrEx>
          <w:tblCellMar>
            <w:top w:w="0" w:type="dxa"/>
            <w:left w:w="62" w:type="dxa"/>
            <w:bottom w:w="0" w:type="dxa"/>
            <w:right w:w="62" w:type="dxa"/>
          </w:tblCellMar>
        </w:tblPrEx>
        <w:trPr>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6424F">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3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066FD">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B2031">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23.22</w:t>
            </w:r>
            <w:r>
              <w:rPr>
                <w:rFonts w:hint="default" w:ascii="Times New Roman" w:hAnsi="Times New Roman" w:cs="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2D9AC">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23.22</w:t>
            </w:r>
            <w:r>
              <w:rPr>
                <w:rFonts w:hint="default" w:ascii="Times New Roman" w:hAnsi="Times New Roman" w:cs="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71143">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28616">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A3265">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20D3F">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95DD0">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B5E89">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E2A72C0">
        <w:tblPrEx>
          <w:tblCellMar>
            <w:top w:w="0" w:type="dxa"/>
            <w:left w:w="62" w:type="dxa"/>
            <w:bottom w:w="0" w:type="dxa"/>
            <w:right w:w="62" w:type="dxa"/>
          </w:tblCellMar>
        </w:tblPrEx>
        <w:trPr>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4F084">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2F9B6">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73FFF">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130.54</w:t>
            </w:r>
            <w:r>
              <w:rPr>
                <w:rFonts w:hint="default" w:ascii="Times New Roman" w:hAnsi="Times New Roman" w:cs="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858E4">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130.54</w:t>
            </w:r>
            <w:r>
              <w:rPr>
                <w:rFonts w:hint="default" w:ascii="Times New Roman" w:hAnsi="Times New Roman" w:cs="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D64A1">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88099">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C7DAF">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FB783">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CF2DA">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ED965">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058F65E">
        <w:tblPrEx>
          <w:tblCellMar>
            <w:top w:w="0" w:type="dxa"/>
            <w:left w:w="62" w:type="dxa"/>
            <w:bottom w:w="0" w:type="dxa"/>
            <w:right w:w="62" w:type="dxa"/>
          </w:tblCellMar>
        </w:tblPrEx>
        <w:trPr>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303A2">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4F76C">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0FB2E">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130.54</w:t>
            </w:r>
            <w:r>
              <w:rPr>
                <w:rFonts w:hint="default" w:ascii="Times New Roman" w:hAnsi="Times New Roman" w:cs="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1344B">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130.54</w:t>
            </w:r>
            <w:r>
              <w:rPr>
                <w:rFonts w:hint="default" w:ascii="Times New Roman" w:hAnsi="Times New Roman" w:cs="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C66D8">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6E78E">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511E0">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6C907">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7C2D6">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A2764">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AD1A278">
        <w:tblPrEx>
          <w:tblCellMar>
            <w:top w:w="0" w:type="dxa"/>
            <w:left w:w="62" w:type="dxa"/>
            <w:bottom w:w="0" w:type="dxa"/>
            <w:right w:w="62" w:type="dxa"/>
          </w:tblCellMar>
        </w:tblPrEx>
        <w:trPr>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815DD">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5CCF4">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13667">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94.56</w:t>
            </w:r>
            <w:r>
              <w:rPr>
                <w:rFonts w:hint="default" w:ascii="Times New Roman" w:hAnsi="Times New Roman" w:cs="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1D69E">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94.56</w:t>
            </w:r>
            <w:r>
              <w:rPr>
                <w:rFonts w:hint="default" w:ascii="Times New Roman" w:hAnsi="Times New Roman" w:cs="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4AC2D">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FDD98">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16C6D">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FE851">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291FD">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4E934">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AA57583">
        <w:tblPrEx>
          <w:tblCellMar>
            <w:top w:w="0" w:type="dxa"/>
            <w:left w:w="62" w:type="dxa"/>
            <w:bottom w:w="0" w:type="dxa"/>
            <w:right w:w="62" w:type="dxa"/>
          </w:tblCellMar>
        </w:tblPrEx>
        <w:trPr>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0E681">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3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22091">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0B858">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35.98</w:t>
            </w:r>
            <w:r>
              <w:rPr>
                <w:rFonts w:hint="default" w:ascii="Times New Roman" w:hAnsi="Times New Roman" w:cs="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C0EF8">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35.98</w:t>
            </w:r>
            <w:r>
              <w:rPr>
                <w:rFonts w:hint="default" w:ascii="Times New Roman" w:hAnsi="Times New Roman" w:cs="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201F9">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FE5AC">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81BF0">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40E5F">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A68E3">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7EBF3">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1C69AB5">
        <w:tblPrEx>
          <w:tblCellMar>
            <w:top w:w="0" w:type="dxa"/>
            <w:left w:w="62" w:type="dxa"/>
            <w:bottom w:w="0" w:type="dxa"/>
            <w:right w:w="62" w:type="dxa"/>
          </w:tblCellMar>
        </w:tblPrEx>
        <w:trPr>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D738C">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43FF6C">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62364">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190.75</w:t>
            </w:r>
            <w:r>
              <w:rPr>
                <w:rFonts w:hint="default" w:ascii="Times New Roman" w:hAnsi="Times New Roman" w:cs="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D4D6E">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190.75</w:t>
            </w:r>
            <w:r>
              <w:rPr>
                <w:rFonts w:hint="default" w:ascii="Times New Roman" w:hAnsi="Times New Roman" w:cs="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A4E5B">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3BA91">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C6951">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AE294">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3612C">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1FEDB">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0E2B140">
        <w:tblPrEx>
          <w:tblCellMar>
            <w:top w:w="0" w:type="dxa"/>
            <w:left w:w="62" w:type="dxa"/>
            <w:bottom w:w="0" w:type="dxa"/>
            <w:right w:w="62" w:type="dxa"/>
          </w:tblCellMar>
        </w:tblPrEx>
        <w:trPr>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BCFBD">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04E11">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6E9D0">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190.75</w:t>
            </w:r>
            <w:r>
              <w:rPr>
                <w:rFonts w:hint="default" w:ascii="Times New Roman" w:hAnsi="Times New Roman" w:cs="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D7DC7">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190.75</w:t>
            </w:r>
            <w:r>
              <w:rPr>
                <w:rFonts w:hint="default" w:ascii="Times New Roman" w:hAnsi="Times New Roman" w:cs="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23FB7">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8AE71">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EB1CF">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EC7F3">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778C5">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FE116">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5D01918">
        <w:tblPrEx>
          <w:tblCellMar>
            <w:top w:w="0" w:type="dxa"/>
            <w:left w:w="62" w:type="dxa"/>
            <w:bottom w:w="0" w:type="dxa"/>
            <w:right w:w="62" w:type="dxa"/>
          </w:tblCellMar>
        </w:tblPrEx>
        <w:trPr>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0C891">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8D041">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F9F4F">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174.56</w:t>
            </w:r>
            <w:r>
              <w:rPr>
                <w:rFonts w:hint="default" w:ascii="Times New Roman" w:hAnsi="Times New Roman" w:cs="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07936">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174.56</w:t>
            </w:r>
            <w:r>
              <w:rPr>
                <w:rFonts w:hint="default" w:ascii="Times New Roman" w:hAnsi="Times New Roman" w:cs="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CAA19">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742DE">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E6914">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5000E">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BF6F7">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BF7AE">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7BC5EB0">
        <w:tblPrEx>
          <w:tblCellMar>
            <w:top w:w="0" w:type="dxa"/>
            <w:left w:w="62" w:type="dxa"/>
            <w:bottom w:w="0" w:type="dxa"/>
            <w:right w:w="62" w:type="dxa"/>
          </w:tblCellMar>
        </w:tblPrEx>
        <w:trPr>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1B63B">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3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BC903">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3CBCF">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16.19</w:t>
            </w:r>
            <w:r>
              <w:rPr>
                <w:rFonts w:hint="default" w:ascii="Times New Roman" w:hAnsi="Times New Roman" w:cs="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C1A05">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16.19</w:t>
            </w:r>
            <w:r>
              <w:rPr>
                <w:rFonts w:hint="default" w:ascii="Times New Roman" w:hAnsi="Times New Roman" w:cs="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FF1E8">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0A900">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A7E9C">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EF4B4">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F865A">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0F795">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73726D0F">
      <w:pPr>
        <w:keepNext/>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p>
    <w:p w14:paraId="03A5DB33">
      <w:pPr>
        <w:rPr>
          <w:rFonts w:hint="default" w:ascii="Times New Roman" w:hAnsi="Times New Roman" w:eastAsia="方正仿宋_GB2312" w:cs="Times New Roman"/>
          <w:sz w:val="21"/>
          <w:szCs w:val="21"/>
        </w:rPr>
      </w:pPr>
    </w:p>
    <w:p w14:paraId="149FB37C">
      <w:pPr>
        <w:pageBreakBefore/>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附件３</w:t>
      </w:r>
    </w:p>
    <w:tbl>
      <w:tblPr>
        <w:tblStyle w:val="9"/>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17DF5C1B">
        <w:tblPrEx>
          <w:tblCellMar>
            <w:top w:w="0" w:type="dxa"/>
            <w:left w:w="0" w:type="dxa"/>
            <w:bottom w:w="0" w:type="dxa"/>
            <w:right w:w="0" w:type="dxa"/>
          </w:tblCellMar>
        </w:tblPrEx>
        <w:trPr>
          <w:trHeight w:val="598" w:hRule="exac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27B3F95">
            <w:pPr>
              <w:jc w:val="center"/>
              <w:rPr>
                <w:rFonts w:hint="default" w:ascii="Times New Roman" w:hAnsi="Times New Roman" w:cs="Times New Roman"/>
                <w:b/>
                <w:color w:val="000000"/>
                <w:sz w:val="32"/>
                <w:szCs w:val="32"/>
              </w:rPr>
            </w:pPr>
            <w:r>
              <w:rPr>
                <w:rFonts w:hint="default" w:ascii="Times New Roman" w:hAnsi="Times New Roman" w:cs="Times New Roman"/>
                <w:sz w:val="20"/>
                <w:szCs w:val="20"/>
              </w:rPr>
              <w:br w:type="page"/>
            </w:r>
            <w:r>
              <w:rPr>
                <w:rFonts w:hint="default" w:ascii="Times New Roman" w:hAnsi="Times New Roman" w:cs="Times New Roman"/>
                <w:b/>
                <w:color w:val="000000"/>
                <w:sz w:val="32"/>
                <w:szCs w:val="32"/>
              </w:rPr>
              <w:t>支出决算表</w:t>
            </w:r>
          </w:p>
        </w:tc>
      </w:tr>
      <w:tr w14:paraId="22C9E739">
        <w:tblPrEx>
          <w:tblCellMar>
            <w:top w:w="0" w:type="dxa"/>
            <w:left w:w="0" w:type="dxa"/>
            <w:bottom w:w="0" w:type="dxa"/>
            <w:right w:w="0" w:type="dxa"/>
          </w:tblCellMar>
        </w:tblPrEx>
        <w:trPr>
          <w:trHeight w:val="283" w:hRule="exac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04F9C464">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 xml:space="preserve">重庆市七十九中学 </w:t>
            </w:r>
          </w:p>
        </w:tc>
        <w:tc>
          <w:tcPr>
            <w:tcW w:w="575" w:type="pct"/>
            <w:tcBorders>
              <w:top w:val="nil"/>
              <w:left w:val="nil"/>
              <w:bottom w:val="nil"/>
              <w:right w:val="nil"/>
            </w:tcBorders>
            <w:shd w:val="clear" w:color="auto" w:fill="auto"/>
            <w:noWrap/>
            <w:tcMar>
              <w:top w:w="15" w:type="dxa"/>
              <w:left w:w="15" w:type="dxa"/>
              <w:right w:w="15" w:type="dxa"/>
            </w:tcMar>
            <w:vAlign w:val="bottom"/>
          </w:tcPr>
          <w:p w14:paraId="5BE7EBDC">
            <w:pPr>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08D7AEA">
            <w:pPr>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6A14FEA3">
            <w:pPr>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1EDD0ECC">
            <w:pPr>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20CF91DB">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55FD1234">
        <w:tblPrEx>
          <w:tblCellMar>
            <w:top w:w="0" w:type="dxa"/>
            <w:left w:w="0" w:type="dxa"/>
            <w:bottom w:w="0" w:type="dxa"/>
            <w:right w:w="0" w:type="dxa"/>
          </w:tblCellMar>
        </w:tblPrEx>
        <w:trPr>
          <w:trHeight w:val="283" w:hRule="exac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36D570C8">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AE4AFF0">
            <w:pPr>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12A6899B">
            <w:pPr>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0AE4446C">
            <w:pPr>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0CFAEA5">
            <w:pPr>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56B054E3">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0FD6FDE">
        <w:tblPrEx>
          <w:tblCellMar>
            <w:top w:w="0" w:type="dxa"/>
            <w:left w:w="0" w:type="dxa"/>
            <w:bottom w:w="0" w:type="dxa"/>
            <w:right w:w="0" w:type="dxa"/>
          </w:tblCellMar>
        </w:tblPrEx>
        <w:trPr>
          <w:trHeight w:val="283" w:hRule="exac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EA7814">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AD89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34CF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4EE6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D212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A56A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BBD8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0F5B0D00">
        <w:tblPrEx>
          <w:tblCellMar>
            <w:top w:w="0" w:type="dxa"/>
            <w:left w:w="0" w:type="dxa"/>
            <w:bottom w:w="0" w:type="dxa"/>
            <w:right w:w="0" w:type="dxa"/>
          </w:tblCellMar>
        </w:tblPrEx>
        <w:trPr>
          <w:trHeight w:val="312" w:hRule="exac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1E3B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F97B78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107EF">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324B6">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E173C">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DFD2E">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C4046">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122E8">
            <w:pPr>
              <w:jc w:val="center"/>
              <w:rPr>
                <w:rFonts w:hint="default" w:ascii="Times New Roman" w:hAnsi="Times New Roman" w:cs="Times New Roman"/>
                <w:b/>
                <w:color w:val="000000"/>
                <w:sz w:val="20"/>
                <w:szCs w:val="20"/>
              </w:rPr>
            </w:pPr>
          </w:p>
        </w:tc>
      </w:tr>
      <w:tr w14:paraId="6392418F">
        <w:tblPrEx>
          <w:tblCellMar>
            <w:top w:w="0" w:type="dxa"/>
            <w:left w:w="0" w:type="dxa"/>
            <w:bottom w:w="0" w:type="dxa"/>
            <w:right w:w="0" w:type="dxa"/>
          </w:tblCellMar>
        </w:tblPrEx>
        <w:trPr>
          <w:trHeight w:val="312" w:hRule="exac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27546">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25819E3">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EC129">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D2429">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8FCA8">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95560">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7390A">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6BBA0">
            <w:pPr>
              <w:jc w:val="center"/>
              <w:rPr>
                <w:rFonts w:hint="default" w:ascii="Times New Roman" w:hAnsi="Times New Roman" w:cs="Times New Roman"/>
                <w:b/>
                <w:color w:val="000000"/>
                <w:sz w:val="20"/>
                <w:szCs w:val="20"/>
              </w:rPr>
            </w:pPr>
          </w:p>
        </w:tc>
      </w:tr>
      <w:tr w14:paraId="3B7C8B81">
        <w:tblPrEx>
          <w:tblCellMar>
            <w:top w:w="0" w:type="dxa"/>
            <w:left w:w="0" w:type="dxa"/>
            <w:bottom w:w="0" w:type="dxa"/>
            <w:right w:w="0" w:type="dxa"/>
          </w:tblCellMar>
        </w:tblPrEx>
        <w:trPr>
          <w:trHeight w:val="312" w:hRule="exac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BB377">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AD06B74">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B3E94">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1913F">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63266">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CC921">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6B5A9">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190A7">
            <w:pPr>
              <w:jc w:val="center"/>
              <w:rPr>
                <w:rFonts w:hint="default" w:ascii="Times New Roman" w:hAnsi="Times New Roman" w:cs="Times New Roman"/>
                <w:b/>
                <w:color w:val="000000"/>
                <w:sz w:val="20"/>
                <w:szCs w:val="20"/>
              </w:rPr>
            </w:pPr>
          </w:p>
        </w:tc>
      </w:tr>
      <w:tr w14:paraId="5DEAF2E5">
        <w:tblPrEx>
          <w:tblCellMar>
            <w:top w:w="0" w:type="dxa"/>
            <w:left w:w="0" w:type="dxa"/>
            <w:bottom w:w="0" w:type="dxa"/>
            <w:right w:w="0" w:type="dxa"/>
          </w:tblCellMar>
        </w:tblPrEx>
        <w:trPr>
          <w:trHeight w:val="312" w:hRule="exac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DDB02">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A67C446">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0BD81">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0026C">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E15EA">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4D89E">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70A58">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19159">
            <w:pPr>
              <w:jc w:val="center"/>
              <w:rPr>
                <w:rFonts w:hint="default" w:ascii="Times New Roman" w:hAnsi="Times New Roman" w:cs="Times New Roman"/>
                <w:b/>
                <w:color w:val="000000"/>
                <w:sz w:val="20"/>
                <w:szCs w:val="20"/>
              </w:rPr>
            </w:pPr>
          </w:p>
        </w:tc>
      </w:tr>
      <w:tr w14:paraId="636CD223">
        <w:tblPrEx>
          <w:tblCellMar>
            <w:top w:w="0" w:type="dxa"/>
            <w:left w:w="0" w:type="dxa"/>
            <w:bottom w:w="0" w:type="dxa"/>
            <w:right w:w="0" w:type="dxa"/>
          </w:tblCellMar>
        </w:tblPrEx>
        <w:trPr>
          <w:trHeight w:val="283" w:hRule="exac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0AE8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45C4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3,680.19</w:t>
            </w:r>
            <w:r>
              <w:rPr>
                <w:rFonts w:hint="default" w:ascii="Times New Roman" w:hAnsi="Times New Roman" w:cs="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9B6D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3,086.57</w:t>
            </w:r>
            <w:r>
              <w:rPr>
                <w:rFonts w:hint="default" w:ascii="Times New Roman" w:hAnsi="Times New Roman" w:cs="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0EC7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593.63</w:t>
            </w:r>
            <w:r>
              <w:rPr>
                <w:rFonts w:hint="default" w:ascii="Times New Roman" w:hAnsi="Times New Roman" w:cs="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A7EC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D970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4916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5B781F97">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D69F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B82F8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AAE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2,822.11</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87F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2,228.48</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46C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593.63</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46B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BBB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88C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691ED58">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4733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3684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889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2,822.11</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8D3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2,228.48</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CD1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593.63</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FD3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005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192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B3E6B82">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5B74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E8F8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13D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1.66</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3E0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0E3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1.66</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216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B4C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A02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80843E8">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2BAE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0D1D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初中教育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9E8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2,820.45</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1E2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2,228.48</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5BD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591.97</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146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F31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A8F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B2ADE19">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A364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7FFF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D83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536.79</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D8D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536.79</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8FF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06B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17A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C47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77473A0">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16F3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D2C6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753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513.57</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9B5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513.57</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DF0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A5E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E25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411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8A9BED6">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B259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A270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854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341.46</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D9F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341.46</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351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CFE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B9D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4AE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1B58685">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0F48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E8A1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2A3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161.12</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DBC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161.12</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97B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1F1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728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BA8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B63603B">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B39E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D843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AD0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11.00</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D38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11.00</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F2F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77D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371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F11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38B68EE">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BCEB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B78B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01E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23.22</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910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23.22</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A57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D8D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3D7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ACB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98239EA">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2F9D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E935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E17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23.22</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9F5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23.22</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855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958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387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F86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79D6026">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59EF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D623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BF9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130.54</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849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130.54</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7AB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03E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174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E5F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DE87AA5">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DD16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3C59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AF2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130.54</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0BB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130.54</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03E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DA2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F23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22B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9458D65">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9AB2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BB07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C0A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94.56</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7BF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94.56</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D4C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448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98A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88E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4AF1CF1">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D774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A006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E81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35.98</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6E2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35.98</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F21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16C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360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2CE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9BF3747">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A916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10B7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C6C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190.75</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830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190.75</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380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C75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612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0A3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A38F3B2">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5018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0362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A7B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190.75</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874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190.75</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A08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062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2F1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7DB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111D953">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88FD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12B2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B0A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174.56</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991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174.56</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7EF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DFF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B26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743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76164AD">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243E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CFF3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443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16.19</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9AB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16.19</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20F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DDD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231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EB1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3625E8D5">
      <w:pPr>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p>
    <w:p w14:paraId="54158452">
      <w:pPr>
        <w:keepNext/>
        <w:pageBreakBefore/>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附件4</w:t>
      </w:r>
    </w:p>
    <w:tbl>
      <w:tblPr>
        <w:tblStyle w:val="9"/>
        <w:tblW w:w="4788" w:type="pct"/>
        <w:tblInd w:w="0" w:type="dxa"/>
        <w:tblLayout w:type="autofit"/>
        <w:tblCellMar>
          <w:top w:w="0" w:type="dxa"/>
          <w:left w:w="0" w:type="dxa"/>
          <w:bottom w:w="0" w:type="dxa"/>
          <w:right w:w="0" w:type="dxa"/>
        </w:tblCellMar>
      </w:tblPr>
      <w:tblGrid>
        <w:gridCol w:w="2967"/>
        <w:gridCol w:w="1520"/>
        <w:gridCol w:w="3178"/>
        <w:gridCol w:w="1693"/>
        <w:gridCol w:w="1693"/>
        <w:gridCol w:w="1693"/>
        <w:gridCol w:w="1928"/>
      </w:tblGrid>
      <w:tr w14:paraId="3D562A86">
        <w:tblPrEx>
          <w:tblCellMar>
            <w:top w:w="0" w:type="dxa"/>
            <w:left w:w="0" w:type="dxa"/>
            <w:bottom w:w="0" w:type="dxa"/>
            <w:right w:w="0" w:type="dxa"/>
          </w:tblCellMar>
        </w:tblPrEx>
        <w:trPr>
          <w:trHeight w:val="565" w:hRule="atLeast"/>
        </w:trPr>
        <w:tc>
          <w:tcPr>
            <w:tcW w:w="5000" w:type="pct"/>
            <w:gridSpan w:val="7"/>
            <w:tcBorders>
              <w:top w:val="nil"/>
              <w:left w:val="nil"/>
              <w:bottom w:val="nil"/>
              <w:right w:val="nil"/>
            </w:tcBorders>
            <w:shd w:val="clear" w:color="auto" w:fill="auto"/>
            <w:noWrap/>
            <w:tcMar>
              <w:top w:w="15" w:type="dxa"/>
              <w:left w:w="15" w:type="dxa"/>
              <w:right w:w="15" w:type="dxa"/>
            </w:tcMar>
            <w:vAlign w:val="center"/>
          </w:tcPr>
          <w:p w14:paraId="7D87CA0E">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0046B0B4">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675B9F81">
            <w:pPr>
              <w:spacing w:line="28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重庆市七十九中学</w:t>
            </w:r>
          </w:p>
        </w:tc>
        <w:tc>
          <w:tcPr>
            <w:tcW w:w="577" w:type="pct"/>
            <w:tcBorders>
              <w:top w:val="nil"/>
              <w:left w:val="nil"/>
              <w:bottom w:val="nil"/>
              <w:right w:val="nil"/>
            </w:tcBorders>
            <w:shd w:val="clear" w:color="auto" w:fill="auto"/>
            <w:noWrap/>
            <w:tcMar>
              <w:top w:w="15" w:type="dxa"/>
              <w:left w:w="15" w:type="dxa"/>
              <w:right w:w="15" w:type="dxa"/>
            </w:tcMar>
            <w:vAlign w:val="bottom"/>
          </w:tcPr>
          <w:p w14:paraId="78BD8C9E">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6583FC8">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F6587CB">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D833EE8">
            <w:pPr>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47CB2803">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6B6D1851">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313AE6C">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40623E4">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3B85BAB">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5A738F6">
            <w:pPr>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E90BE7B">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091B0">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D05C9">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2A30910C">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564D3">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56B7D">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D9E150">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CB090">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33D65780">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4647F">
            <w:pPr>
              <w:spacing w:line="200" w:lineRule="exact"/>
              <w:jc w:val="center"/>
              <w:rPr>
                <w:rFonts w:hint="default" w:ascii="Times New Roman" w:hAnsi="Times New Roman" w:cs="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F88AC">
            <w:pPr>
              <w:spacing w:line="200" w:lineRule="exact"/>
              <w:jc w:val="center"/>
              <w:rPr>
                <w:rFonts w:hint="default" w:ascii="Times New Roman" w:hAnsi="Times New Roman" w:cs="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439AED">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0E42C">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E185E">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E423F">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5E9B4">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6B5FF78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72A1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2F2E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3,668.89</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7112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0394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2E3C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36D8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D551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2C5B62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2360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BE50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1A09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B874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47F1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92D6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5490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15E65B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CB31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9F2F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C961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197E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03C3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5AEB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7607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28284B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B04C1">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4E6263">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0758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E4F9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69AA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834A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BA31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69D366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108C0">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EAAF93">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0FD9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77CF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2,810.81</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6D72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2,810.81</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8E0F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72B7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909002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7AFEE">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965930">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9B3D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CF66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920B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D81F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385C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B8B1B5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D8FC1">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6FDFD7">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67D3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BB2D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CF88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603B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C522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749518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CCE93">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8618EB">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8D09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1A65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536.79</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0C3D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536.79</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91A2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06D7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5B06BA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9FD1B">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091926">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F346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BB72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130.54</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E2A5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130.54</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A520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2CB3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3C5E23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5712D">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357E9">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4A54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5A69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AA6F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6D04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AC19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C58524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DC339">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46163">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24F4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3385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FFD7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20E2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EBC2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15A594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1E070">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4E200">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2463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E287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3FB1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558C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C87C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419828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91DB1">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D937D">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4C26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D891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A299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59A3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EB7A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1E3D9B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81A6C">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B9374">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5135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6C3A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02FD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AB08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A4B8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66BF61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81926">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AE17E">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1DC7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2FA6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F7E5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764F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2321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83FB8E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755DA">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0FED5">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D45D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1488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14ED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C1C9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8B47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82B40B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9BC1E">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D0824">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F883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0F04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A691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33A8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D973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4C5145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AC1D7">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29382">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0AF1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D585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C4BB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9A6B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29F0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704EDA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37C34">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98EC5">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351D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9918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190.75</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68C8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190.75</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02B9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0D50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4BA415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1DC71">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AE069">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39EE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414F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3649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D216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C622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531350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05C4B">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1AA2C">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B0F4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6C9E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FF4A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AB3D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8EC5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E0D4B6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AE289">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9C3AD">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E156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9788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97AF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7CE8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C820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58C39B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15206">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CCBDE">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02F3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AF01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DE54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B30B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CE29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A4CC99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175B75">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7F1D9">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2746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5E12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F93E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8B90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CC84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15779E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E2A722">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FA094">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DDCB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82BF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7AB4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3010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87CC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54E187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6477AE">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FDCF7">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0287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8E64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ABFF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B61C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30C6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63C644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72A8A">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F109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3,668.89</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495B8">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1290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3,668.89</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FD99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3,668.89</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D39B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5D58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7FDC55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39AF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1D39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94AC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3187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ABB8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9A8A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7A12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1ED3B2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CE1D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A278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7E95A4">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D5B859">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70B464">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42280A">
            <w:pPr>
              <w:spacing w:line="200" w:lineRule="exac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3DFB1A">
            <w:pPr>
              <w:spacing w:line="200" w:lineRule="exact"/>
              <w:rPr>
                <w:rFonts w:hint="default" w:ascii="Times New Roman" w:hAnsi="Times New Roman" w:cs="Times New Roman"/>
                <w:color w:val="000000"/>
                <w:sz w:val="18"/>
                <w:szCs w:val="18"/>
              </w:rPr>
            </w:pPr>
          </w:p>
        </w:tc>
      </w:tr>
      <w:tr w14:paraId="42890F3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8C83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A4B2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AA49A">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611CF">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91F39">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24810">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5376E">
            <w:pPr>
              <w:spacing w:line="200" w:lineRule="exact"/>
              <w:jc w:val="right"/>
              <w:rPr>
                <w:rFonts w:hint="default" w:ascii="Times New Roman" w:hAnsi="Times New Roman" w:cs="Times New Roman"/>
                <w:color w:val="000000"/>
                <w:sz w:val="18"/>
                <w:szCs w:val="18"/>
              </w:rPr>
            </w:pPr>
          </w:p>
        </w:tc>
      </w:tr>
      <w:tr w14:paraId="2DF768F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0355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3F21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57FC0">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35ECB">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696FD">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3B97B">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FBE28">
            <w:pPr>
              <w:spacing w:line="200" w:lineRule="exact"/>
              <w:jc w:val="right"/>
              <w:rPr>
                <w:rFonts w:hint="default" w:ascii="Times New Roman" w:hAnsi="Times New Roman" w:cs="Times New Roman"/>
                <w:color w:val="000000"/>
                <w:sz w:val="18"/>
                <w:szCs w:val="18"/>
              </w:rPr>
            </w:pPr>
          </w:p>
        </w:tc>
      </w:tr>
      <w:tr w14:paraId="17929F8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D9AAA">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D639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3,668.89</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7B39E">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0369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3,668.89</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7FBA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3,668.89</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BE4C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AA91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bl>
    <w:p w14:paraId="4C090EFF">
      <w:pPr>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p>
    <w:p w14:paraId="32E7599E">
      <w:pPr>
        <w:pageBreakBefore/>
        <w:rPr>
          <w:rFonts w:hint="default" w:ascii="Times New Roman" w:hAnsi="Times New Roman" w:cs="Times New Roman"/>
          <w:sz w:val="20"/>
          <w:szCs w:val="20"/>
        </w:rPr>
      </w:pPr>
      <w:r>
        <w:rPr>
          <w:rFonts w:hint="default" w:ascii="Times New Roman" w:hAnsi="Times New Roman" w:eastAsia="方正仿宋_GB2312" w:cs="Times New Roman"/>
          <w:sz w:val="21"/>
          <w:szCs w:val="21"/>
        </w:rPr>
        <w:t>附件５</w:t>
      </w:r>
    </w:p>
    <w:tbl>
      <w:tblPr>
        <w:tblStyle w:val="9"/>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032BB067">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074CA8AA">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2DD9E1D2">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2CC41C5C">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重庆市七十九中学</w:t>
            </w:r>
          </w:p>
        </w:tc>
        <w:tc>
          <w:tcPr>
            <w:tcW w:w="1076" w:type="pct"/>
            <w:tcBorders>
              <w:top w:val="nil"/>
              <w:left w:val="nil"/>
              <w:bottom w:val="nil"/>
              <w:right w:val="nil"/>
            </w:tcBorders>
            <w:shd w:val="clear" w:color="auto" w:fill="auto"/>
            <w:noWrap/>
            <w:tcMar>
              <w:top w:w="15" w:type="dxa"/>
              <w:left w:w="15" w:type="dxa"/>
              <w:right w:w="15" w:type="dxa"/>
            </w:tcMar>
            <w:vAlign w:val="bottom"/>
          </w:tcPr>
          <w:p w14:paraId="6731545D">
            <w:pPr>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28FC7512">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19FEF8E4">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2E743833">
            <w:pPr>
              <w:rPr>
                <w:rFonts w:hint="default" w:ascii="Times New Roman" w:hAnsi="Times New Roman" w:cs="Times New Roman"/>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4A0FEF6A">
            <w:pPr>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3B38545">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60D5DB7">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3D7C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8C6D71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7C2EEC13">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EE51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7CA5F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B86C0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2FADA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3D725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1257B8DB">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8E4CA">
            <w:pPr>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220832">
            <w:pP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D8F95D">
            <w:pPr>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807153">
            <w:pPr>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C09CBF">
            <w:pPr>
              <w:jc w:val="center"/>
              <w:rPr>
                <w:rFonts w:hint="default" w:ascii="Times New Roman" w:hAnsi="Times New Roman" w:cs="Times New Roman"/>
                <w:b/>
                <w:color w:val="000000"/>
                <w:sz w:val="20"/>
                <w:szCs w:val="20"/>
              </w:rPr>
            </w:pPr>
          </w:p>
        </w:tc>
      </w:tr>
      <w:tr w14:paraId="22DB9389">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EA2C1">
            <w:pPr>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FECF06">
            <w:pP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B47401">
            <w:pPr>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E6BCC0">
            <w:pPr>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0C35EE">
            <w:pPr>
              <w:jc w:val="center"/>
              <w:rPr>
                <w:rFonts w:hint="default" w:ascii="Times New Roman" w:hAnsi="Times New Roman" w:cs="Times New Roman"/>
                <w:b/>
                <w:color w:val="000000"/>
                <w:sz w:val="20"/>
                <w:szCs w:val="20"/>
              </w:rPr>
            </w:pPr>
          </w:p>
        </w:tc>
      </w:tr>
      <w:tr w14:paraId="150B2F6C">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B2AC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E309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3,668.89</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5C99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3,086.57</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9BE5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582.33</w:t>
            </w:r>
            <w:r>
              <w:rPr>
                <w:rFonts w:hint="default" w:ascii="Times New Roman" w:hAnsi="Times New Roman" w:cs="Times New Roman"/>
                <w:b/>
                <w:color w:val="000000"/>
                <w:sz w:val="20"/>
              </w:rPr>
              <w:t xml:space="preserve"> </w:t>
            </w:r>
          </w:p>
        </w:tc>
      </w:tr>
      <w:tr w14:paraId="229A4DC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8698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3DCF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0358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2,810.81</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AFA6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2,228.48</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EC20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582.33</w:t>
            </w:r>
            <w:r>
              <w:rPr>
                <w:rFonts w:hint="default" w:ascii="Times New Roman" w:hAnsi="Times New Roman" w:cs="Times New Roman"/>
                <w:b/>
                <w:color w:val="000000"/>
                <w:sz w:val="20"/>
              </w:rPr>
              <w:t xml:space="preserve"> </w:t>
            </w:r>
          </w:p>
        </w:tc>
      </w:tr>
      <w:tr w14:paraId="1CB25C0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53C7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A6DD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4078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2,810.81</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74E3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2,228.48</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D2A8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582.33</w:t>
            </w:r>
            <w:r>
              <w:rPr>
                <w:rFonts w:hint="default" w:ascii="Times New Roman" w:hAnsi="Times New Roman" w:cs="Times New Roman"/>
                <w:b/>
                <w:color w:val="000000"/>
                <w:sz w:val="20"/>
              </w:rPr>
              <w:t xml:space="preserve"> </w:t>
            </w:r>
          </w:p>
        </w:tc>
      </w:tr>
      <w:tr w14:paraId="573AF7E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7DC9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992D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001B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1.66</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A5FA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00C8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1.66</w:t>
            </w:r>
            <w:r>
              <w:rPr>
                <w:rFonts w:hint="default" w:ascii="Times New Roman" w:hAnsi="Times New Roman" w:cs="Times New Roman"/>
                <w:color w:val="000000"/>
                <w:sz w:val="20"/>
              </w:rPr>
              <w:t xml:space="preserve"> </w:t>
            </w:r>
          </w:p>
        </w:tc>
      </w:tr>
      <w:tr w14:paraId="77B90C2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89C1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DFB6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初中教育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4247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2,809.15</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FC2E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2,228.48</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BF30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580.67</w:t>
            </w:r>
            <w:r>
              <w:rPr>
                <w:rFonts w:hint="default" w:ascii="Times New Roman" w:hAnsi="Times New Roman" w:cs="Times New Roman"/>
                <w:color w:val="000000"/>
                <w:sz w:val="20"/>
              </w:rPr>
              <w:t xml:space="preserve"> </w:t>
            </w:r>
          </w:p>
        </w:tc>
      </w:tr>
      <w:tr w14:paraId="2BDE33A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3BE1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7E47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BF2D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536.79</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75B8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536.79</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0554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33B17A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7B7A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027F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63A7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513.57</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05F1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513.57</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D21F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418FBB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CFC8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BAC8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F65F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341.46</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4048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341.46</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EBF5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478CE3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129B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100F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C477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161.12</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21D4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161.12</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000A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25CB2E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5F1B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690E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942E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11.00</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9BCB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4F41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BA80E4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2011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6161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A812D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23.22</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0FBD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23.22</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E95C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D29588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678C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A594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5770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23.22</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B11B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23.22</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B733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E7EBD4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CCC8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E3CF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8C75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130.54</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EAB2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130.54</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F5F6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DBCA61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07BA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C24D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13C3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130.54</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5669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130.54</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040C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48A463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BFD4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085C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177F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94.56</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A718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94.56</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4DB2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A4B9EC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77D1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55E1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5BF9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35.98</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A067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35.98</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7548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74C69B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539D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AAFB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E216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190.75</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3EB8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190.75</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94E1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920FD6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5040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944F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3C21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190.75</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A699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190.75</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D0D9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8545A9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7CC7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2A4A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B1FD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174.56</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91D1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174.56</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501F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38069E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8E1C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6500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C193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16.19</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3CFB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16.19</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3B89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4B4CEA6B">
      <w:pPr>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p>
    <w:p w14:paraId="62BC36CF">
      <w:pPr>
        <w:rPr>
          <w:rFonts w:hint="default" w:ascii="Times New Roman" w:hAnsi="Times New Roman" w:cs="Times New Roman"/>
          <w:sz w:val="20"/>
          <w:szCs w:val="20"/>
        </w:rPr>
      </w:pPr>
    </w:p>
    <w:p w14:paraId="6A2C6CE1">
      <w:pPr>
        <w:pageBreakBefore/>
        <w:rPr>
          <w:rFonts w:hint="default" w:ascii="Times New Roman" w:hAnsi="Times New Roman" w:cs="Times New Roman"/>
          <w:sz w:val="21"/>
          <w:szCs w:val="21"/>
        </w:rPr>
      </w:pPr>
      <w:r>
        <w:rPr>
          <w:rFonts w:hint="default" w:ascii="Times New Roman" w:hAnsi="Times New Roman" w:eastAsia="方正仿宋_GB2312" w:cs="Times New Roman"/>
          <w:sz w:val="21"/>
          <w:szCs w:val="21"/>
        </w:rPr>
        <w:t>附件６</w:t>
      </w:r>
    </w:p>
    <w:tbl>
      <w:tblPr>
        <w:tblStyle w:val="9"/>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5C520C68">
        <w:tblPrEx>
          <w:tblCellMar>
            <w:top w:w="0" w:type="dxa"/>
            <w:left w:w="0" w:type="dxa"/>
            <w:bottom w:w="0" w:type="dxa"/>
            <w:right w:w="0" w:type="dxa"/>
          </w:tblCellMar>
        </w:tblPrEx>
        <w:trPr>
          <w:trHeight w:val="515" w:hRule="atLeast"/>
        </w:trPr>
        <w:tc>
          <w:tcPr>
            <w:tcW w:w="5000" w:type="pct"/>
            <w:gridSpan w:val="9"/>
            <w:tcBorders>
              <w:top w:val="nil"/>
              <w:left w:val="nil"/>
              <w:bottom w:val="nil"/>
              <w:right w:val="nil"/>
            </w:tcBorders>
            <w:shd w:val="clear" w:color="auto" w:fill="auto"/>
            <w:noWrap/>
            <w:tcMar>
              <w:top w:w="15" w:type="dxa"/>
              <w:left w:w="15" w:type="dxa"/>
              <w:right w:w="15" w:type="dxa"/>
            </w:tcMar>
            <w:vAlign w:val="center"/>
          </w:tcPr>
          <w:p w14:paraId="59A118C5">
            <w:pPr>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05E289A6">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73F5E6DB">
            <w:pPr>
              <w:spacing w:line="28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重庆市七十九中学</w:t>
            </w:r>
          </w:p>
        </w:tc>
        <w:tc>
          <w:tcPr>
            <w:tcW w:w="463" w:type="pct"/>
            <w:tcBorders>
              <w:top w:val="nil"/>
              <w:left w:val="nil"/>
              <w:bottom w:val="nil"/>
              <w:right w:val="nil"/>
            </w:tcBorders>
            <w:shd w:val="clear" w:color="auto" w:fill="auto"/>
            <w:noWrap/>
            <w:tcMar>
              <w:top w:w="15" w:type="dxa"/>
              <w:left w:w="15" w:type="dxa"/>
              <w:right w:w="15" w:type="dxa"/>
            </w:tcMar>
            <w:vAlign w:val="bottom"/>
          </w:tcPr>
          <w:p w14:paraId="14D1E685">
            <w:pPr>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D31572D">
            <w:pPr>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334B4C7">
            <w:pPr>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56B0F0E">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6F9B5C43">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2D8943D0">
            <w:pPr>
              <w:spacing w:line="200" w:lineRule="exact"/>
              <w:rPr>
                <w:rFonts w:hint="default" w:ascii="Times New Roman" w:hAnsi="Times New Roman" w:cs="Times New Roman"/>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DA76A1D">
            <w:pPr>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39CC82CB">
            <w:pPr>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2E9D56A">
            <w:pPr>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E9AC0C1">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CD63072">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59EE5">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9B8D51E">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09D54EC5">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28F25">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817B84">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2193E6">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4E1B5">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274736">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872F5E">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0BE61">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DE0018">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BFA49B">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15A22BB8">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AE188">
            <w:pPr>
              <w:spacing w:line="192" w:lineRule="exact"/>
              <w:jc w:val="center"/>
              <w:rPr>
                <w:rFonts w:hint="default" w:ascii="Times New Roman" w:hAnsi="Times New Roman" w:cs="Times New Roman"/>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158212">
            <w:pPr>
              <w:spacing w:line="192" w:lineRule="exact"/>
              <w:jc w:val="center"/>
              <w:rPr>
                <w:rFonts w:hint="default" w:ascii="Times New Roman" w:hAnsi="Times New Roman" w:cs="Times New Roman"/>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03A10D">
            <w:pPr>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E8E2C">
            <w:pPr>
              <w:spacing w:line="192" w:lineRule="exact"/>
              <w:jc w:val="center"/>
              <w:rPr>
                <w:rFonts w:hint="default" w:ascii="Times New Roman" w:hAnsi="Times New Roman" w:cs="Times New Roman"/>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35E810">
            <w:pPr>
              <w:spacing w:line="192" w:lineRule="exact"/>
              <w:jc w:val="center"/>
              <w:rPr>
                <w:rFonts w:hint="default" w:ascii="Times New Roman" w:hAnsi="Times New Roman" w:cs="Times New Roman"/>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0E7CAF">
            <w:pPr>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05A11">
            <w:pPr>
              <w:spacing w:line="192" w:lineRule="exact"/>
              <w:jc w:val="center"/>
              <w:rPr>
                <w:rFonts w:hint="default" w:ascii="Times New Roman" w:hAnsi="Times New Roman" w:cs="Times New Roman"/>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775494">
            <w:pPr>
              <w:spacing w:line="192" w:lineRule="exact"/>
              <w:jc w:val="center"/>
              <w:rPr>
                <w:rFonts w:hint="default" w:ascii="Times New Roman" w:hAnsi="Times New Roman" w:cs="Times New Roman"/>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510FDC">
            <w:pPr>
              <w:spacing w:line="192" w:lineRule="exact"/>
              <w:jc w:val="center"/>
              <w:rPr>
                <w:rFonts w:hint="default" w:ascii="Times New Roman" w:hAnsi="Times New Roman" w:cs="Times New Roman"/>
                <w:b/>
                <w:color w:val="000000"/>
                <w:sz w:val="18"/>
                <w:szCs w:val="18"/>
              </w:rPr>
            </w:pPr>
          </w:p>
        </w:tc>
      </w:tr>
      <w:tr w14:paraId="0297FB5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43AF4">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7B0B3">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A338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2,339.54</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62A49">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BBD60">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F889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320.53</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33E62">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9D832">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E568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12.28</w:t>
            </w:r>
            <w:r>
              <w:rPr>
                <w:rFonts w:hint="default" w:ascii="Times New Roman" w:hAnsi="Times New Roman" w:cs="Times New Roman"/>
                <w:color w:val="000000"/>
                <w:sz w:val="18"/>
              </w:rPr>
              <w:t xml:space="preserve"> </w:t>
            </w:r>
          </w:p>
        </w:tc>
      </w:tr>
      <w:tr w14:paraId="7D54430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BF27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6797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7AE6C">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539.00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FAD6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740F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916FC">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0.62</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5C2E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2D82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3CC8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9B260B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A56D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2CE6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D7F0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32.40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C17E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0C55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B030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B5B9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CDCB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0ABD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12.28</w:t>
            </w:r>
            <w:r>
              <w:rPr>
                <w:rFonts w:hint="default" w:ascii="Times New Roman" w:hAnsi="Times New Roman" w:cs="Times New Roman"/>
                <w:color w:val="000000"/>
                <w:sz w:val="18"/>
              </w:rPr>
              <w:t xml:space="preserve"> </w:t>
            </w:r>
          </w:p>
        </w:tc>
      </w:tr>
      <w:tr w14:paraId="1D000F2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B06D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C85A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10FDC">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8594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B426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7F49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C5DB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B874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5E5F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1045FA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9760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74D1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4A95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3F10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2A04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C524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74CF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DE3D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41A3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784B97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C1CF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1EDF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DDA0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969.98</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FA03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B182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7E74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0.04</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B956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BE9F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9EF3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1D8E73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7205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BD5A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0BF3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341.46</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76D3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5084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5186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0.13</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0006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BED7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0B8B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F4FF2A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E3EE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4AA4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764C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161.12</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A5A8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B47D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DB85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24.73</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D550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C859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099C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EAB57C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8E6C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7527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123F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93.18</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CB67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354F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9BE8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832C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A312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4BA4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BEDD9A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E8F0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B177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8456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E38B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ECDD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5EDC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4.44</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8ABF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C9D2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782B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BBF846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7E26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8115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A7A9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4.65</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E40D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3D99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05D9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0.82</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6E9F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5F4E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22B5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9C2756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030B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D7C7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100EC">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174.56</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213E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15DA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DA09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7FC0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113C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E788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4D0B00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41E6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B9E2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0646C">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23.20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34C7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5277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F849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10.47</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C1C8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6D21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9107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980599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8507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DCBE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58DA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578D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EC7C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2871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1A9A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DE21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608E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D1FECD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145D8">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C3772">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9C9F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414.21</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FA31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907A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051A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8DC1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161D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A696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84D6F3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B497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5EF2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CA77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B67E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042E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E56B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17.71</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6A41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1321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7C4A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6DFD02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FEC7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6FE5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1FC7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9916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ABA5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5249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3EB5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7947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1A3F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8DE7CF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FE33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64B8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2FB8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2500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6EE0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37A8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5.13</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C58AD">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B853C">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F056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690D8F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B0B2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AEA3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CE99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23.22</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AE60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75FB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CE84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E9E5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D968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784F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508FEA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7785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BD24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88E7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360.11</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0FC0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B39A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3567C">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8791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606B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A463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DED6AC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6CFA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542F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F038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26D6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2BF1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5859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133.46</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50B0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2500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4D5E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35BA06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ACF2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19F7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FAA1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30.88</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00CF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0001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911C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7DEB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2C63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7914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A4D339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A780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1421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699E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5102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E6DC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2087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67.05</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939B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307E0">
            <w:pPr>
              <w:spacing w:line="192"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BBB3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6CEDCD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9ACA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21CA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25C9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73C0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51DE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A881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19.20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9B5C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5FBA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5563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AA153D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0F3E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5B24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3F1CC">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E4B9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DC18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B29B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7856D">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9CBD7">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733B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19FA37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C982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E0FE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657C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FE75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6CF3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22C6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714A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C989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36AD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22B775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0E35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B7A9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7834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807D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F79E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A9AC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F704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0AD2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C6BB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79F7D9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00DAE">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4AC17">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B85646">
            <w:pP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A718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B0BF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373F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35.43</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7D30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7077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EAC1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AEE13C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E9B1A">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4A85D">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0DF2FA">
            <w:pP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1CD75">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E30FF">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692D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CCDD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15FC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3F98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370B35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E0AD1">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FFDA5">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F6867F">
            <w:pP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8106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4D46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49B4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598C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A08D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C634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E25AF1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FACE2">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485DA">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218232">
            <w:pP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8F42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E779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BBAB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F5033">
            <w:pPr>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7C2D0">
            <w:pPr>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42DFA">
            <w:pPr>
              <w:spacing w:line="192" w:lineRule="exact"/>
              <w:jc w:val="right"/>
              <w:rPr>
                <w:rFonts w:hint="default" w:ascii="Times New Roman" w:hAnsi="Times New Roman" w:cs="Times New Roman"/>
                <w:color w:val="000000"/>
                <w:sz w:val="18"/>
                <w:szCs w:val="18"/>
              </w:rPr>
            </w:pPr>
          </w:p>
        </w:tc>
      </w:tr>
      <w:tr w14:paraId="330E758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822A8">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8036F">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43084F">
            <w:pP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0801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B878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E819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477F7">
            <w:pPr>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98966">
            <w:pPr>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A1839">
            <w:pPr>
              <w:spacing w:line="192" w:lineRule="exact"/>
              <w:jc w:val="right"/>
              <w:rPr>
                <w:rFonts w:hint="default" w:ascii="Times New Roman" w:hAnsi="Times New Roman" w:cs="Times New Roman"/>
                <w:color w:val="000000"/>
                <w:sz w:val="18"/>
                <w:szCs w:val="18"/>
              </w:rPr>
            </w:pPr>
          </w:p>
        </w:tc>
      </w:tr>
      <w:tr w14:paraId="7460B21A">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6762B">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F9C58">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6C4D5F">
            <w:pP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7416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5EF9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0B27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34A04">
            <w:pPr>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D08BA">
            <w:pPr>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D01BD">
            <w:pPr>
              <w:spacing w:line="192" w:lineRule="exact"/>
              <w:jc w:val="right"/>
              <w:rPr>
                <w:rFonts w:hint="default" w:ascii="Times New Roman" w:hAnsi="Times New Roman" w:cs="Times New Roman"/>
                <w:color w:val="000000"/>
                <w:sz w:val="18"/>
                <w:szCs w:val="18"/>
              </w:rPr>
            </w:pPr>
          </w:p>
        </w:tc>
      </w:tr>
      <w:tr w14:paraId="603712A1">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6A725">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21BE46">
            <w:pPr>
              <w:spacing w:line="192"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2,753.75</w:t>
            </w:r>
            <w:r>
              <w:rPr>
                <w:rFonts w:hint="default" w:ascii="Times New Roman" w:hAnsi="Times New Roman" w:cs="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964EA">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06E2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332.81</w:t>
            </w:r>
            <w:r>
              <w:rPr>
                <w:rFonts w:hint="default" w:ascii="Times New Roman" w:hAnsi="Times New Roman" w:cs="Times New Roman"/>
                <w:color w:val="000000"/>
                <w:sz w:val="18"/>
              </w:rPr>
              <w:t xml:space="preserve"> </w:t>
            </w:r>
          </w:p>
        </w:tc>
      </w:tr>
    </w:tbl>
    <w:p w14:paraId="2F0C64AE">
      <w:pPr>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p>
    <w:p w14:paraId="4BC7A488">
      <w:pPr>
        <w:keepNext/>
        <w:pageBreakBefore/>
        <w:rPr>
          <w:rFonts w:hint="default" w:ascii="Times New Roman" w:hAnsi="Times New Roman" w:cs="Times New Roman"/>
          <w:sz w:val="20"/>
          <w:szCs w:val="20"/>
        </w:rPr>
      </w:pPr>
      <w:r>
        <w:rPr>
          <w:rFonts w:hint="default" w:ascii="Times New Roman" w:hAnsi="Times New Roman" w:eastAsia="方正仿宋_GB2312" w:cs="Times New Roman"/>
          <w:sz w:val="21"/>
          <w:szCs w:val="21"/>
        </w:rPr>
        <w:t>附件７</w:t>
      </w:r>
    </w:p>
    <w:tbl>
      <w:tblPr>
        <w:tblStyle w:val="9"/>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65C51A74">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34A0FF6">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4DC39E05">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5C264721">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重庆市七十九中学</w:t>
            </w:r>
          </w:p>
        </w:tc>
        <w:tc>
          <w:tcPr>
            <w:tcW w:w="555" w:type="pct"/>
            <w:tcBorders>
              <w:top w:val="nil"/>
              <w:left w:val="nil"/>
              <w:bottom w:val="nil"/>
              <w:right w:val="nil"/>
            </w:tcBorders>
            <w:shd w:val="clear" w:color="auto" w:fill="auto"/>
            <w:noWrap/>
            <w:tcMar>
              <w:top w:w="15" w:type="dxa"/>
              <w:left w:w="15" w:type="dxa"/>
              <w:right w:w="15" w:type="dxa"/>
            </w:tcMar>
            <w:vAlign w:val="bottom"/>
          </w:tcPr>
          <w:p w14:paraId="37BE7DF2">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DE03C1F">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DCC9C95">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8E9AA53">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4FB39771">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61F87C49">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3B5956C1">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5A17642">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5B75EE2">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B78C7B5">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95E3FDB">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58AC254">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A3125B6">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5EB9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B8CBAA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DF1F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DB864F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3A2D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4541B279">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EC4A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80B2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12BADBC">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4C868">
            <w:pPr>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579D1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831AC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C0477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C0F4A">
            <w:pPr>
              <w:jc w:val="center"/>
              <w:rPr>
                <w:rFonts w:hint="default" w:ascii="Times New Roman" w:hAnsi="Times New Roman" w:cs="Times New Roman"/>
                <w:b/>
                <w:color w:val="000000"/>
                <w:sz w:val="20"/>
                <w:szCs w:val="20"/>
              </w:rPr>
            </w:pPr>
          </w:p>
        </w:tc>
      </w:tr>
      <w:tr w14:paraId="5C97DCFB">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91559">
            <w:pPr>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51F9D">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07A26FB">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8F50D">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6F946A">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A44B3F">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EA249D">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A1883">
            <w:pPr>
              <w:jc w:val="center"/>
              <w:rPr>
                <w:rFonts w:hint="default" w:ascii="Times New Roman" w:hAnsi="Times New Roman" w:cs="Times New Roman"/>
                <w:b/>
                <w:color w:val="000000"/>
                <w:sz w:val="20"/>
                <w:szCs w:val="20"/>
              </w:rPr>
            </w:pPr>
          </w:p>
        </w:tc>
      </w:tr>
      <w:tr w14:paraId="1B33DCB1">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2D6E1">
            <w:pPr>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9894D">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BC32DF5">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16C2D">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5C2EFC">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E20FF7">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E42AFA">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74909">
            <w:pPr>
              <w:jc w:val="center"/>
              <w:rPr>
                <w:rFonts w:hint="default" w:ascii="Times New Roman" w:hAnsi="Times New Roman" w:cs="Times New Roman"/>
                <w:b/>
                <w:color w:val="000000"/>
                <w:sz w:val="20"/>
                <w:szCs w:val="20"/>
              </w:rPr>
            </w:pPr>
          </w:p>
        </w:tc>
      </w:tr>
      <w:tr w14:paraId="663246BE">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771A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D5AA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725A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C0B6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E8B6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7D4C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6F5C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755C3FDA">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0244A">
            <w:pPr>
              <w:jc w:val="both"/>
              <w:textAlignment w:val="center"/>
              <w:rPr>
                <w:rFonts w:hint="default" w:ascii="Times New Roman" w:hAnsi="Times New Roman" w:cs="Times New Roman"/>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BD9EB">
            <w:pPr>
              <w:jc w:val="both"/>
              <w:textAlignment w:val="center"/>
              <w:rPr>
                <w:rFonts w:hint="default" w:ascii="Times New Roman" w:hAnsi="Times New Roman" w:cs="Times New Roman"/>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9CCF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960E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458D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F3AA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0289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DEC8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07554A77">
      <w:pPr>
        <w:rPr>
          <w:rFonts w:hint="default" w:ascii="Times New Roman" w:hAnsi="Times New Roman" w:cs="Times New Roman"/>
          <w:sz w:val="20"/>
          <w:szCs w:val="20"/>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p>
    <w:p w14:paraId="0D1AC795">
      <w:pPr>
        <w:rPr>
          <w:rFonts w:hint="default" w:ascii="Times New Roman" w:hAnsi="Times New Roman" w:cs="Times New Roman"/>
          <w:sz w:val="20"/>
          <w:szCs w:val="20"/>
        </w:rPr>
      </w:pPr>
    </w:p>
    <w:p w14:paraId="12869C72">
      <w:pPr>
        <w:keepNext/>
        <w:pageBreakBefore/>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附件８</w:t>
      </w:r>
    </w:p>
    <w:tbl>
      <w:tblPr>
        <w:tblStyle w:val="9"/>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507B014D">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2305A83">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5BEAB990">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144787DF">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重庆市七十九中学</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5B96B1B">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4FFAF06F">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0DE4B75C">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25C7A7D8">
            <w:pPr>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1254083">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0E4AD1E9">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9B837C6">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D67B92">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B34DDC">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7273330B">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4D48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4DE3E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18F8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D3044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2647F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437DED2C">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47A0B">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2B5D62">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D1AF6">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EFE739">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EAEFA0">
            <w:pPr>
              <w:jc w:val="center"/>
              <w:rPr>
                <w:rFonts w:hint="default" w:ascii="Times New Roman" w:hAnsi="Times New Roman" w:cs="Times New Roman"/>
                <w:b/>
                <w:color w:val="000000"/>
                <w:sz w:val="20"/>
                <w:szCs w:val="20"/>
              </w:rPr>
            </w:pPr>
          </w:p>
        </w:tc>
      </w:tr>
      <w:tr w14:paraId="7AE48137">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7A490">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59D4B1">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C2738">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FC5898">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0DCF2F">
            <w:pPr>
              <w:jc w:val="center"/>
              <w:rPr>
                <w:rFonts w:hint="default" w:ascii="Times New Roman" w:hAnsi="Times New Roman" w:cs="Times New Roman"/>
                <w:b/>
                <w:color w:val="000000"/>
                <w:sz w:val="20"/>
                <w:szCs w:val="20"/>
              </w:rPr>
            </w:pPr>
          </w:p>
        </w:tc>
      </w:tr>
      <w:tr w14:paraId="5D8B898D">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371F3">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F1A0CB">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5F585">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219EEE">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3C294B">
            <w:pPr>
              <w:jc w:val="center"/>
              <w:rPr>
                <w:rFonts w:hint="default" w:ascii="Times New Roman" w:hAnsi="Times New Roman" w:cs="Times New Roman"/>
                <w:b/>
                <w:color w:val="000000"/>
                <w:sz w:val="20"/>
                <w:szCs w:val="20"/>
              </w:rPr>
            </w:pPr>
          </w:p>
        </w:tc>
      </w:tr>
      <w:tr w14:paraId="39EE6D6B">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D25C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F614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1E95F">
            <w:pP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DEDF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59CE2492">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1FCA3">
            <w:pPr>
              <w:textAlignment w:val="center"/>
              <w:rPr>
                <w:rFonts w:hint="default" w:ascii="Times New Roman" w:hAnsi="Times New Roman" w:cs="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54D91">
            <w:pPr>
              <w:textAlignment w:val="center"/>
              <w:rPr>
                <w:rFonts w:hint="default" w:ascii="Times New Roman" w:hAnsi="Times New Roman"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640D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4C058A">
            <w:pP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B8ED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7B9EECDD">
      <w:pPr>
        <w:rPr>
          <w:rFonts w:hint="default" w:ascii="Times New Roman" w:hAnsi="Times New Roman" w:cs="Times New Roman"/>
          <w:sz w:val="20"/>
          <w:szCs w:val="20"/>
        </w:rPr>
      </w:pPr>
      <w:r>
        <w:rPr>
          <w:rFonts w:hint="default" w:ascii="Times New Roman" w:hAnsi="Times New Roman" w:cs="Times New Roman"/>
          <w:sz w:val="20"/>
          <w:szCs w:val="20"/>
        </w:rPr>
        <w:t>备注：本表反映单位本年度国有资本经营预算财政拨款支出情况。本单位无国有资本经营收支，故本表无数据。</w:t>
      </w:r>
    </w:p>
    <w:p w14:paraId="53178D87">
      <w:pPr>
        <w:keepNext/>
        <w:pageBreakBefore/>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附件９</w:t>
      </w:r>
    </w:p>
    <w:tbl>
      <w:tblPr>
        <w:tblStyle w:val="9"/>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78C7055B">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262810CF">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426859C7">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06884BB6">
            <w:pPr>
              <w:spacing w:line="280" w:lineRule="exact"/>
              <w:rPr>
                <w:rFonts w:hint="default" w:ascii="Times New Roman" w:hAnsi="Times New Roman" w:cs="Times New Roman"/>
                <w:color w:val="000000"/>
                <w:kern w:val="2"/>
                <w:sz w:val="20"/>
                <w:szCs w:val="20"/>
              </w:rPr>
            </w:pPr>
          </w:p>
        </w:tc>
        <w:tc>
          <w:tcPr>
            <w:tcW w:w="854" w:type="pct"/>
            <w:shd w:val="clear" w:color="auto" w:fill="auto"/>
            <w:noWrap/>
            <w:tcMar>
              <w:top w:w="15" w:type="dxa"/>
              <w:left w:w="15" w:type="dxa"/>
              <w:right w:w="15" w:type="dxa"/>
            </w:tcMar>
            <w:vAlign w:val="bottom"/>
          </w:tcPr>
          <w:p w14:paraId="05DB61B5">
            <w:pPr>
              <w:spacing w:line="280" w:lineRule="exact"/>
              <w:jc w:val="center"/>
              <w:rPr>
                <w:rFonts w:hint="default" w:ascii="Times New Roman" w:hAnsi="Times New Roman" w:cs="Times New Roman"/>
                <w:color w:val="000000"/>
                <w:kern w:val="2"/>
                <w:sz w:val="20"/>
                <w:szCs w:val="20"/>
              </w:rPr>
            </w:pPr>
          </w:p>
        </w:tc>
        <w:tc>
          <w:tcPr>
            <w:tcW w:w="840" w:type="pct"/>
            <w:shd w:val="clear" w:color="auto" w:fill="auto"/>
            <w:noWrap/>
            <w:tcMar>
              <w:top w:w="15" w:type="dxa"/>
              <w:left w:w="15" w:type="dxa"/>
              <w:right w:w="15" w:type="dxa"/>
            </w:tcMar>
            <w:vAlign w:val="bottom"/>
          </w:tcPr>
          <w:p w14:paraId="4C986C26">
            <w:pPr>
              <w:spacing w:line="280" w:lineRule="exact"/>
              <w:jc w:val="right"/>
              <w:rPr>
                <w:rFonts w:hint="default" w:ascii="Times New Roman" w:hAnsi="Times New Roman" w:cs="Times New Roman"/>
                <w:color w:val="000000"/>
                <w:kern w:val="2"/>
                <w:sz w:val="20"/>
                <w:szCs w:val="20"/>
              </w:rPr>
            </w:pPr>
          </w:p>
        </w:tc>
        <w:tc>
          <w:tcPr>
            <w:tcW w:w="1299" w:type="pct"/>
            <w:shd w:val="clear" w:color="auto" w:fill="auto"/>
            <w:noWrap/>
            <w:tcMar>
              <w:top w:w="15" w:type="dxa"/>
              <w:left w:w="15" w:type="dxa"/>
              <w:right w:w="15" w:type="dxa"/>
            </w:tcMar>
            <w:vAlign w:val="bottom"/>
          </w:tcPr>
          <w:p w14:paraId="001B999C">
            <w:pPr>
              <w:spacing w:line="280" w:lineRule="exact"/>
              <w:rPr>
                <w:rFonts w:hint="default" w:ascii="Times New Roman" w:hAnsi="Times New Roman" w:cs="Times New Roman"/>
                <w:color w:val="000000"/>
                <w:kern w:val="2"/>
                <w:sz w:val="20"/>
                <w:szCs w:val="20"/>
              </w:rPr>
            </w:pPr>
          </w:p>
        </w:tc>
        <w:tc>
          <w:tcPr>
            <w:tcW w:w="879" w:type="pct"/>
            <w:shd w:val="clear" w:color="auto" w:fill="auto"/>
            <w:noWrap/>
            <w:tcMar>
              <w:top w:w="15" w:type="dxa"/>
              <w:left w:w="15" w:type="dxa"/>
              <w:right w:w="15" w:type="dxa"/>
            </w:tcMar>
            <w:vAlign w:val="bottom"/>
          </w:tcPr>
          <w:p w14:paraId="6DC3BAA9">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43ECE5C2">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5AC00570">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rPr>
              <w:t>重庆市七十九中学</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27FE857C">
            <w:pPr>
              <w:spacing w:line="280" w:lineRule="exact"/>
              <w:jc w:val="right"/>
              <w:rPr>
                <w:rFonts w:hint="default" w:ascii="Times New Roman" w:hAnsi="Times New Roman" w:cs="Times New Roman"/>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7FA504F7">
            <w:pPr>
              <w:spacing w:line="280" w:lineRule="exact"/>
              <w:rPr>
                <w:rFonts w:hint="default" w:ascii="Times New Roman" w:hAnsi="Times New Roman" w:cs="Times New Roman"/>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22B6E04F">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50D43A96">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D81B9C">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EFDBAC">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4DF1FF">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B2A507">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A6C42E">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53BA8C8C">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7E27B1">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三公</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BDF29A">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8C0DDC">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F7AAED">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2A1F8E">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8CAA31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139715">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EB3438">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1.30</w:t>
            </w: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4AC939">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1.30</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81ADCA">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737FBA">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91E1F4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E5843A">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DEC491">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F6D22A">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D06DB1">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02ED3F">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0AB89B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7EB9A2">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AFA5B5">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1.30</w:t>
            </w: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DAE94B">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1.30</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04D5D4">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F7A3A0">
            <w:pPr>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6A7A02A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FF986B">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B6F675">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A70F7B">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A54D9D">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6664A9">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rPr>
              <w:t xml:space="preserve"> </w:t>
            </w:r>
          </w:p>
        </w:tc>
      </w:tr>
      <w:tr w14:paraId="6EE31AA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7256A4">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E2F0D3">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1.30</w:t>
            </w: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34FD6E">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1.30</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C14D90">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FFBEC0">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8421D2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C31A74">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09FC9E">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D51C13">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499B16">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045F31">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76B7E2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309914">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0679D1">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D7571B">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87A93C">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02F8A1">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D33750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F8AC15">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4AFBC0">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AD6136">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F38171">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8DA1D1">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rPr>
              <w:t xml:space="preserve"> </w:t>
            </w:r>
          </w:p>
        </w:tc>
      </w:tr>
      <w:tr w14:paraId="1D8814C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A4F731">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DE4D02">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375FC2">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88C041">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345E7F">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A64445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D80EDE">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5716EC">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2D9BBF">
            <w:pPr>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EDB478">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3DA940">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76E5DA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90C7B5">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0AD821">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671ED4">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3A285A">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6009CB">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14D50D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687AE4">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2E0974">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B14972">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230920">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34FA51">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342036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32FE04">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264EE7">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63DD76">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EF9D16">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CBE052">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C6EACB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1A230F">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21DCD2">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CF63C7">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16A4FF">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E4A86B">
            <w:pPr>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791A31E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50BCCE">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2DCA7A">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3E1724">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696B33">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A984A8">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3.96</w:t>
            </w:r>
            <w:r>
              <w:rPr>
                <w:rFonts w:hint="default" w:ascii="Times New Roman" w:hAnsi="Times New Roman" w:cs="Times New Roman"/>
                <w:color w:val="000000"/>
                <w:sz w:val="18"/>
              </w:rPr>
              <w:t xml:space="preserve"> </w:t>
            </w:r>
          </w:p>
        </w:tc>
      </w:tr>
      <w:tr w14:paraId="7315D6C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51A290">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E4CA00">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B79DAC">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A42494">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A04700">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3.96</w:t>
            </w:r>
            <w:r>
              <w:rPr>
                <w:rFonts w:hint="default" w:ascii="Times New Roman" w:hAnsi="Times New Roman" w:cs="Times New Roman"/>
                <w:color w:val="000000"/>
                <w:sz w:val="18"/>
              </w:rPr>
              <w:t xml:space="preserve"> </w:t>
            </w:r>
          </w:p>
        </w:tc>
      </w:tr>
      <w:tr w14:paraId="366B80E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364AD3">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8E7B61">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70BA28">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582E0C">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10A725">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7F7C65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98B8C9">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088A6D">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704F99">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37AD9C">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0F4CDA">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096A13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C6A0C1">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417E70">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1620C4">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4771C1">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A0D461">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3.96</w:t>
            </w:r>
            <w:r>
              <w:rPr>
                <w:rFonts w:hint="default" w:ascii="Times New Roman" w:hAnsi="Times New Roman" w:cs="Times New Roman"/>
                <w:color w:val="000000"/>
                <w:sz w:val="18"/>
              </w:rPr>
              <w:t xml:space="preserve"> </w:t>
            </w:r>
          </w:p>
        </w:tc>
      </w:tr>
      <w:tr w14:paraId="5B14F3E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363335">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D7C3D8">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CC146F">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8A7219">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DD3AA6">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3.96</w:t>
            </w:r>
            <w:r>
              <w:rPr>
                <w:rFonts w:hint="default" w:ascii="Times New Roman" w:hAnsi="Times New Roman" w:cs="Times New Roman"/>
                <w:color w:val="000000"/>
                <w:sz w:val="18"/>
              </w:rPr>
              <w:t xml:space="preserve"> </w:t>
            </w:r>
          </w:p>
        </w:tc>
      </w:tr>
      <w:tr w14:paraId="69AC11F6">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C127F1">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9BC97B">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0C386C">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F30236">
            <w:pPr>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86C084">
            <w:pPr>
              <w:spacing w:line="280" w:lineRule="exact"/>
              <w:jc w:val="right"/>
              <w:rPr>
                <w:rFonts w:hint="default" w:ascii="Times New Roman" w:hAnsi="Times New Roman" w:cs="Times New Roman"/>
                <w:color w:val="000000"/>
                <w:kern w:val="2"/>
                <w:sz w:val="16"/>
                <w:szCs w:val="16"/>
              </w:rPr>
            </w:pPr>
          </w:p>
        </w:tc>
      </w:tr>
      <w:tr w14:paraId="409B1E1C">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D0372E">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7690F8">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75E251">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33.71</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ECF660">
            <w:pPr>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703CE2">
            <w:pPr>
              <w:spacing w:line="280" w:lineRule="exact"/>
              <w:jc w:val="right"/>
              <w:rPr>
                <w:rFonts w:hint="default" w:ascii="Times New Roman" w:hAnsi="Times New Roman" w:cs="Times New Roman"/>
                <w:color w:val="000000"/>
                <w:kern w:val="2"/>
                <w:sz w:val="16"/>
                <w:szCs w:val="16"/>
              </w:rPr>
            </w:pPr>
          </w:p>
        </w:tc>
      </w:tr>
      <w:tr w14:paraId="2A56F16E">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CF8457">
            <w:pPr>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605D1A">
            <w:pPr>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D425F1">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7.82</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BFF145">
            <w:pPr>
              <w:spacing w:line="280" w:lineRule="exact"/>
              <w:rPr>
                <w:rFonts w:hint="default" w:ascii="Times New Roman" w:hAnsi="Times New Roman" w:cs="Times New Roman"/>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5D65A6">
            <w:pPr>
              <w:spacing w:line="280" w:lineRule="exact"/>
              <w:jc w:val="right"/>
              <w:rPr>
                <w:rFonts w:hint="default" w:ascii="Times New Roman" w:hAnsi="Times New Roman" w:cs="Times New Roman"/>
                <w:color w:val="000000"/>
                <w:sz w:val="16"/>
                <w:szCs w:val="16"/>
              </w:rPr>
            </w:pPr>
          </w:p>
        </w:tc>
      </w:tr>
    </w:tbl>
    <w:p w14:paraId="0FF90CC1">
      <w:pPr>
        <w:rPr>
          <w:rFonts w:hint="default" w:ascii="Times New Roman" w:hAnsi="Times New Roman" w:eastAsia="方正仿宋_GBK" w:cs="Times New Roman"/>
          <w:sz w:val="32"/>
          <w:szCs w:val="32"/>
          <w:shd w:val="clear" w:color="auto" w:fill="FFFFFF"/>
        </w:rPr>
      </w:pPr>
      <w:r>
        <w:rPr>
          <w:rFonts w:hint="default" w:ascii="Times New Roman" w:hAnsi="Times New Roman" w:cs="Times New Roman"/>
          <w:sz w:val="18"/>
          <w:szCs w:val="18"/>
        </w:rPr>
        <w:t>备注：1.本表反映单位本年度财政拨款</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经费支出预决算情况。其中，预算数为</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821A917-AFC1-4C29-9E9F-1FD4C594274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8BD625A9-4240-4C8B-A384-5D9DD6B6E3AC}"/>
  </w:font>
  <w:font w:name="方正黑体_GBK">
    <w:panose1 w:val="02010600010101010101"/>
    <w:charset w:val="86"/>
    <w:family w:val="script"/>
    <w:pitch w:val="default"/>
    <w:sig w:usb0="00000001" w:usb1="080E0000" w:usb2="00000000" w:usb3="00000000" w:csb0="00040000" w:csb1="00000000"/>
    <w:embedRegular r:id="rId3" w:fontKey="{F45D748E-98B3-4F49-848B-5B4928B29C9F}"/>
  </w:font>
  <w:font w:name="方正楷体_GBK">
    <w:panose1 w:val="02000000000000000000"/>
    <w:charset w:val="86"/>
    <w:family w:val="script"/>
    <w:pitch w:val="default"/>
    <w:sig w:usb0="800002BF" w:usb1="38CF7CFA" w:usb2="00000016" w:usb3="00000000" w:csb0="00040000" w:csb1="00000000"/>
    <w:embedRegular r:id="rId4" w:fontKey="{80E07CD1-949A-4573-9CB1-344C1B1B8EF9}"/>
  </w:font>
  <w:font w:name="方正仿宋_GBK">
    <w:panose1 w:val="03000509000000000000"/>
    <w:charset w:val="86"/>
    <w:family w:val="script"/>
    <w:pitch w:val="default"/>
    <w:sig w:usb0="00000001" w:usb1="080E0000" w:usb2="00000000" w:usb3="00000000" w:csb0="00040000" w:csb1="00000000"/>
    <w:embedRegular r:id="rId5" w:fontKey="{1552846C-6C84-4D77-84E2-6DA11C71F832}"/>
  </w:font>
  <w:font w:name="方正仿宋_GB2312">
    <w:altName w:val="仿宋"/>
    <w:panose1 w:val="00000000000000000000"/>
    <w:charset w:val="86"/>
    <w:family w:val="auto"/>
    <w:pitch w:val="default"/>
    <w:sig w:usb0="00000000" w:usb1="00000000" w:usb2="00000012" w:usb3="00000000" w:csb0="00040001" w:csb1="00000000"/>
    <w:embedRegular r:id="rId6" w:fontKey="{60C5587F-EED5-4CB7-99E7-66025964AE01}"/>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C7A22">
    <w:pPr>
      <w:pStyle w:val="4"/>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1FF196B">
                          <w:pPr>
                            <w:pStyle w:val="4"/>
                            <w:rPr>
                              <w:rFonts w:hint="default"/>
                            </w:rPr>
                          </w:pPr>
                          <w:r>
                            <w:fldChar w:fldCharType="begin"/>
                          </w:r>
                          <w:r>
                            <w:instrText xml:space="preserve"> PAGE  \* MERGEFORMAT </w:instrText>
                          </w:r>
                          <w:r>
                            <w:fldChar w:fldCharType="separate"/>
                          </w:r>
                          <w:r>
                            <w:rPr>
                              <w:rFonts w:hint="default"/>
                            </w:rPr>
                            <w:t>- 9 -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61FF196B">
                    <w:pPr>
                      <w:pStyle w:val="4"/>
                      <w:rPr>
                        <w:rFonts w:hint="default"/>
                      </w:rPr>
                    </w:pPr>
                    <w:r>
                      <w:fldChar w:fldCharType="begin"/>
                    </w:r>
                    <w:r>
                      <w:instrText xml:space="preserve"> PAGE  \* MERGEFORMAT </w:instrText>
                    </w:r>
                    <w:r>
                      <w:fldChar w:fldCharType="separate"/>
                    </w:r>
                    <w:r>
                      <w:rPr>
                        <w:rFonts w:hint="default"/>
                      </w:rPr>
                      <w:t>- 9 -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6F881">
    <w:pPr>
      <w:pStyle w:val="4"/>
      <w:jc w:val="both"/>
      <w:rPr>
        <w:rFonts w:hint="default"/>
      </w:rPr>
    </w:pPr>
    <w: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1832445">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1832445">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v:textbox>
            </v:shape>
          </w:pict>
        </mc:Fallback>
      </mc:AlternateContent>
    </w: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1C7B95F">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51C7B95F">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4E8A3">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63"/>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DExMmU1MWUxYzMyMTJmOGZmYTcxOGEzMDM5YTcifQ=="/>
  </w:docVars>
  <w:rsids>
    <w:rsidRoot w:val="00B03CCD"/>
    <w:rsid w:val="00047953"/>
    <w:rsid w:val="000C0AE3"/>
    <w:rsid w:val="000C6467"/>
    <w:rsid w:val="000D7BCC"/>
    <w:rsid w:val="000F38FA"/>
    <w:rsid w:val="001B3068"/>
    <w:rsid w:val="001E5693"/>
    <w:rsid w:val="002A2220"/>
    <w:rsid w:val="003817A5"/>
    <w:rsid w:val="004B37A4"/>
    <w:rsid w:val="00550ABE"/>
    <w:rsid w:val="005A4D14"/>
    <w:rsid w:val="007B419D"/>
    <w:rsid w:val="008628B7"/>
    <w:rsid w:val="00873183"/>
    <w:rsid w:val="008A19C5"/>
    <w:rsid w:val="008C397D"/>
    <w:rsid w:val="009B67B8"/>
    <w:rsid w:val="009D2219"/>
    <w:rsid w:val="00AB4429"/>
    <w:rsid w:val="00B03CCD"/>
    <w:rsid w:val="00CA11F4"/>
    <w:rsid w:val="00D00350"/>
    <w:rsid w:val="00D65F1B"/>
    <w:rsid w:val="00DD43A4"/>
    <w:rsid w:val="00ED3D3E"/>
    <w:rsid w:val="00FA6381"/>
    <w:rsid w:val="01474EBF"/>
    <w:rsid w:val="019020B1"/>
    <w:rsid w:val="01F3521E"/>
    <w:rsid w:val="02056D00"/>
    <w:rsid w:val="03A52548"/>
    <w:rsid w:val="03E3214F"/>
    <w:rsid w:val="04446191"/>
    <w:rsid w:val="044C50BA"/>
    <w:rsid w:val="0536621F"/>
    <w:rsid w:val="05E71467"/>
    <w:rsid w:val="06247E33"/>
    <w:rsid w:val="06A2550B"/>
    <w:rsid w:val="06F80EE2"/>
    <w:rsid w:val="07001CCA"/>
    <w:rsid w:val="075321D2"/>
    <w:rsid w:val="075678DB"/>
    <w:rsid w:val="07932335"/>
    <w:rsid w:val="07A5586E"/>
    <w:rsid w:val="08051BCA"/>
    <w:rsid w:val="080A21BB"/>
    <w:rsid w:val="08BA052C"/>
    <w:rsid w:val="08DB07BA"/>
    <w:rsid w:val="092211F1"/>
    <w:rsid w:val="095F02C9"/>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25DDB"/>
    <w:rsid w:val="0DDA54E4"/>
    <w:rsid w:val="0E3A5F83"/>
    <w:rsid w:val="0E9478E1"/>
    <w:rsid w:val="0F836721"/>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580711B"/>
    <w:rsid w:val="16D80EBF"/>
    <w:rsid w:val="173430B1"/>
    <w:rsid w:val="189B0D0B"/>
    <w:rsid w:val="18E03A42"/>
    <w:rsid w:val="19313430"/>
    <w:rsid w:val="194A1770"/>
    <w:rsid w:val="19B906A4"/>
    <w:rsid w:val="19BC4734"/>
    <w:rsid w:val="1A1F744B"/>
    <w:rsid w:val="1AB10093"/>
    <w:rsid w:val="1B501DE7"/>
    <w:rsid w:val="1B6F15B6"/>
    <w:rsid w:val="1B7966EB"/>
    <w:rsid w:val="1BAA2EDC"/>
    <w:rsid w:val="1BC027C5"/>
    <w:rsid w:val="1CC57360"/>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4AF1021"/>
    <w:rsid w:val="24B92327"/>
    <w:rsid w:val="24D3717D"/>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4104F9"/>
    <w:rsid w:val="2B8209DE"/>
    <w:rsid w:val="2C6762A3"/>
    <w:rsid w:val="2D5F4C37"/>
    <w:rsid w:val="2D8D7A26"/>
    <w:rsid w:val="2ECF09C9"/>
    <w:rsid w:val="2FE029D7"/>
    <w:rsid w:val="2FF06E00"/>
    <w:rsid w:val="315F0B22"/>
    <w:rsid w:val="31BE24D6"/>
    <w:rsid w:val="31D84415"/>
    <w:rsid w:val="32285F6F"/>
    <w:rsid w:val="32770556"/>
    <w:rsid w:val="329C0913"/>
    <w:rsid w:val="3337290D"/>
    <w:rsid w:val="334B0167"/>
    <w:rsid w:val="35076329"/>
    <w:rsid w:val="352930DB"/>
    <w:rsid w:val="35573069"/>
    <w:rsid w:val="358C217E"/>
    <w:rsid w:val="359E7284"/>
    <w:rsid w:val="359F188C"/>
    <w:rsid w:val="36C9128A"/>
    <w:rsid w:val="37841E99"/>
    <w:rsid w:val="379C594F"/>
    <w:rsid w:val="37BF1123"/>
    <w:rsid w:val="37C85E36"/>
    <w:rsid w:val="38BC1135"/>
    <w:rsid w:val="38BE4696"/>
    <w:rsid w:val="39B82A39"/>
    <w:rsid w:val="39F33306"/>
    <w:rsid w:val="3ADC3D9A"/>
    <w:rsid w:val="3B1705E5"/>
    <w:rsid w:val="3B18334B"/>
    <w:rsid w:val="3B36794F"/>
    <w:rsid w:val="3B544954"/>
    <w:rsid w:val="3B793FF0"/>
    <w:rsid w:val="3B97076E"/>
    <w:rsid w:val="3B9F72A2"/>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7BE6D02"/>
    <w:rsid w:val="48225EF7"/>
    <w:rsid w:val="48A36D47"/>
    <w:rsid w:val="495C4A24"/>
    <w:rsid w:val="49A21DF3"/>
    <w:rsid w:val="49C811E4"/>
    <w:rsid w:val="4A216E30"/>
    <w:rsid w:val="4B7951CB"/>
    <w:rsid w:val="4B7C315C"/>
    <w:rsid w:val="4B9300D7"/>
    <w:rsid w:val="4B99567B"/>
    <w:rsid w:val="4BAB7F90"/>
    <w:rsid w:val="4BD53EDA"/>
    <w:rsid w:val="4BE11807"/>
    <w:rsid w:val="4C484CE5"/>
    <w:rsid w:val="4DAC4ACA"/>
    <w:rsid w:val="4DD06F63"/>
    <w:rsid w:val="4E043596"/>
    <w:rsid w:val="4E7C3473"/>
    <w:rsid w:val="4E9B0C57"/>
    <w:rsid w:val="4EA8523F"/>
    <w:rsid w:val="4F186D58"/>
    <w:rsid w:val="4F224836"/>
    <w:rsid w:val="4F231B40"/>
    <w:rsid w:val="51760217"/>
    <w:rsid w:val="51E36677"/>
    <w:rsid w:val="51F01F7D"/>
    <w:rsid w:val="522F6E0C"/>
    <w:rsid w:val="52463BA1"/>
    <w:rsid w:val="529F078E"/>
    <w:rsid w:val="53990623"/>
    <w:rsid w:val="53C0244D"/>
    <w:rsid w:val="53DD4D4E"/>
    <w:rsid w:val="53E578CE"/>
    <w:rsid w:val="53EA10F5"/>
    <w:rsid w:val="541768A0"/>
    <w:rsid w:val="543B029D"/>
    <w:rsid w:val="54977029"/>
    <w:rsid w:val="55472C03"/>
    <w:rsid w:val="554E5773"/>
    <w:rsid w:val="555A3CBC"/>
    <w:rsid w:val="557650C0"/>
    <w:rsid w:val="55EF4EA6"/>
    <w:rsid w:val="56530F5D"/>
    <w:rsid w:val="56EE372E"/>
    <w:rsid w:val="570D735E"/>
    <w:rsid w:val="5842572D"/>
    <w:rsid w:val="598A28E2"/>
    <w:rsid w:val="5A6279C1"/>
    <w:rsid w:val="5AD563E4"/>
    <w:rsid w:val="5C1336B7"/>
    <w:rsid w:val="5C263CE4"/>
    <w:rsid w:val="5C5D2777"/>
    <w:rsid w:val="5C722D7F"/>
    <w:rsid w:val="5D290C69"/>
    <w:rsid w:val="5DC17CC6"/>
    <w:rsid w:val="5EFA176D"/>
    <w:rsid w:val="5F0247F9"/>
    <w:rsid w:val="5F2D4A41"/>
    <w:rsid w:val="601C34ED"/>
    <w:rsid w:val="60A511FB"/>
    <w:rsid w:val="61025A59"/>
    <w:rsid w:val="613D5BBC"/>
    <w:rsid w:val="61536C39"/>
    <w:rsid w:val="616D60F9"/>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0737CC"/>
    <w:rsid w:val="6C560CAE"/>
    <w:rsid w:val="6CD15296"/>
    <w:rsid w:val="6D903FF5"/>
    <w:rsid w:val="6DA955B8"/>
    <w:rsid w:val="6DE346AB"/>
    <w:rsid w:val="6FFB2E76"/>
    <w:rsid w:val="70AB70D6"/>
    <w:rsid w:val="70DE5507"/>
    <w:rsid w:val="71C34D91"/>
    <w:rsid w:val="71ED38AA"/>
    <w:rsid w:val="723F3B65"/>
    <w:rsid w:val="72DB435C"/>
    <w:rsid w:val="72EC69DC"/>
    <w:rsid w:val="738549F4"/>
    <w:rsid w:val="74ED1B1B"/>
    <w:rsid w:val="750837F0"/>
    <w:rsid w:val="762A73EF"/>
    <w:rsid w:val="7631412E"/>
    <w:rsid w:val="764F62AB"/>
    <w:rsid w:val="765C45EC"/>
    <w:rsid w:val="768A7619"/>
    <w:rsid w:val="7714640F"/>
    <w:rsid w:val="77EA362A"/>
    <w:rsid w:val="77F35CA4"/>
    <w:rsid w:val="780E2ADE"/>
    <w:rsid w:val="7875383E"/>
    <w:rsid w:val="796D60A4"/>
    <w:rsid w:val="79A031D5"/>
    <w:rsid w:val="79A52681"/>
    <w:rsid w:val="7A1525F7"/>
    <w:rsid w:val="7A3E6CB6"/>
    <w:rsid w:val="7A99799F"/>
    <w:rsid w:val="7AAB4252"/>
    <w:rsid w:val="7AC40138"/>
    <w:rsid w:val="7B420052"/>
    <w:rsid w:val="7B7D43A1"/>
    <w:rsid w:val="7BD06A28"/>
    <w:rsid w:val="7C0C5586"/>
    <w:rsid w:val="7C1E4CD7"/>
    <w:rsid w:val="7C3A7C0B"/>
    <w:rsid w:val="7C5248E4"/>
    <w:rsid w:val="7C566698"/>
    <w:rsid w:val="7CE56AF6"/>
    <w:rsid w:val="7CF02E5B"/>
    <w:rsid w:val="7D213FB2"/>
    <w:rsid w:val="7D9615AC"/>
    <w:rsid w:val="7DAC0360"/>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cs="宋体"/>
    </w:rPr>
  </w:style>
  <w:style w:type="paragraph" w:styleId="3">
    <w:name w:val="Body Text First Indent 2"/>
    <w:basedOn w:val="2"/>
    <w:next w:val="1"/>
    <w:unhideWhenUsed/>
    <w:qFormat/>
    <w:uiPriority w:val="99"/>
    <w:pPr>
      <w:ind w:firstLine="420" w:firstLineChars="200"/>
    </w:pPr>
  </w:style>
  <w:style w:type="paragraph" w:styleId="4">
    <w:name w:val="footer"/>
    <w:basedOn w:val="1"/>
    <w:autoRedefine/>
    <w:qFormat/>
    <w:uiPriority w:val="0"/>
    <w:pPr>
      <w:tabs>
        <w:tab w:val="center" w:pos="4153"/>
        <w:tab w:val="right" w:pos="8306"/>
      </w:tabs>
      <w:snapToGrid w:val="0"/>
    </w:pPr>
    <w:rPr>
      <w:sz w:val="18"/>
      <w:szCs w:val="18"/>
    </w:rPr>
  </w:style>
  <w:style w:type="paragraph" w:styleId="5">
    <w:name w:val="header"/>
    <w:basedOn w:val="1"/>
    <w:autoRedefine/>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pPr>
    <w:rPr>
      <w:sz w:val="18"/>
      <w:szCs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autoRedefine/>
    <w:unhideWhenUsed/>
    <w:qFormat/>
    <w:uiPriority w:val="0"/>
    <w:pPr>
      <w:spacing w:before="100" w:beforeAutospacing="1" w:after="100" w:afterAutospacing="1"/>
    </w:pPr>
  </w:style>
  <w:style w:type="character" w:styleId="11">
    <w:name w:val="Strong"/>
    <w:autoRedefine/>
    <w:qFormat/>
    <w:uiPriority w:val="0"/>
    <w:rPr>
      <w:b/>
    </w:rPr>
  </w:style>
  <w:style w:type="paragraph" w:customStyle="1" w:styleId="12">
    <w:name w:val="列出段落1"/>
    <w:basedOn w:val="1"/>
    <w:autoRedefine/>
    <w:qFormat/>
    <w:uiPriority w:val="99"/>
    <w:pPr>
      <w:ind w:firstLine="420" w:firstLineChars="200"/>
    </w:pPr>
    <w:rPr>
      <w:rFonts w:hint="default"/>
    </w:rPr>
  </w:style>
  <w:style w:type="paragraph" w:customStyle="1" w:styleId="13">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autoRedefine/>
    <w:qFormat/>
    <w:uiPriority w:val="0"/>
    <w:rPr>
      <w:rFonts w:hint="default" w:ascii="Wingdings" w:hAnsi="Wingdings" w:cs="Wingdings"/>
      <w:b/>
      <w:bCs/>
    </w:rPr>
  </w:style>
  <w:style w:type="paragraph" w:customStyle="1" w:styleId="15">
    <w:name w:val="列出段落2"/>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5792</Words>
  <Characters>7074</Characters>
  <Lines>113</Lines>
  <Paragraphs>31</Paragraphs>
  <TotalTime>19</TotalTime>
  <ScaleCrop>false</ScaleCrop>
  <LinksUpToDate>false</LinksUpToDate>
  <CharactersWithSpaces>7286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silence</cp:lastModifiedBy>
  <cp:lastPrinted>2025-10-22T02:35:00Z</cp:lastPrinted>
  <dcterms:modified xsi:type="dcterms:W3CDTF">2025-11-12T06:46:17Z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BB46EABDBB2749749395447164B066B3_12</vt:lpwstr>
  </property>
  <property fmtid="{D5CDD505-2E9C-101B-9397-08002B2CF9AE}" pid="4" name="KSOTemplateDocerSaveRecord">
    <vt:lpwstr>eyJoZGlkIjoiZjRmYWUxOWJhMWE5OGFmZGQyNzA0NjBkZTNhOGRjMDEiLCJ1c2VySWQiOiIyNDg4ODMzNzUifQ==</vt:lpwstr>
  </property>
</Properties>
</file>