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77AF5">
      <w:pPr>
        <w:adjustRightInd w:val="0"/>
        <w:snapToGrid w:val="0"/>
        <w:spacing w:line="600" w:lineRule="exact"/>
        <w:jc w:val="center"/>
        <w:rPr>
          <w:rFonts w:hint="eastAsia" w:eastAsia="方正小标宋_GBK" w:cs="华文中宋"/>
          <w:color w:val="auto"/>
          <w:sz w:val="44"/>
          <w:szCs w:val="44"/>
          <w:highlight w:val="none"/>
        </w:rPr>
      </w:pPr>
      <w:r>
        <w:rPr>
          <w:rFonts w:hint="eastAsia" w:eastAsia="方正小标宋_GBK" w:cs="华文中宋"/>
          <w:color w:val="auto"/>
          <w:sz w:val="44"/>
          <w:szCs w:val="44"/>
          <w:highlight w:val="none"/>
          <w:lang w:eastAsia="zh-CN"/>
        </w:rPr>
        <w:t>重庆市九龙坡区渝州路街道办事处</w:t>
      </w:r>
      <w:r>
        <w:rPr>
          <w:rFonts w:hint="eastAsia" w:eastAsia="方正小标宋_GBK" w:cs="华文中宋"/>
          <w:color w:val="auto"/>
          <w:sz w:val="44"/>
          <w:szCs w:val="44"/>
          <w:highlight w:val="none"/>
        </w:rPr>
        <w:t>2025年单位预算情况说明</w:t>
      </w:r>
    </w:p>
    <w:p w14:paraId="77854483">
      <w:pPr>
        <w:adjustRightInd w:val="0"/>
        <w:snapToGrid w:val="0"/>
        <w:spacing w:line="600" w:lineRule="exact"/>
        <w:ind w:firstLine="880" w:firstLineChars="200"/>
        <w:jc w:val="center"/>
        <w:rPr>
          <w:rFonts w:hint="eastAsia" w:eastAsia="华文中宋" w:cs="华文中宋"/>
          <w:color w:val="auto"/>
          <w:sz w:val="44"/>
          <w:szCs w:val="44"/>
          <w:highlight w:val="none"/>
        </w:rPr>
      </w:pPr>
    </w:p>
    <w:p w14:paraId="62988E4E">
      <w:pPr>
        <w:adjustRightInd w:val="0"/>
        <w:snapToGrid w:val="0"/>
        <w:spacing w:line="600" w:lineRule="exact"/>
        <w:ind w:firstLine="640" w:firstLineChars="200"/>
        <w:rPr>
          <w:rFonts w:hint="eastAsia" w:ascii="方正黑体_GBK" w:eastAsia="方正黑体_GBK" w:cs="仿宋_GB2312"/>
          <w:color w:val="auto"/>
          <w:highlight w:val="none"/>
        </w:rPr>
      </w:pPr>
      <w:r>
        <w:rPr>
          <w:rFonts w:hint="eastAsia" w:ascii="方正黑体_GBK" w:eastAsia="方正黑体_GBK" w:cs="仿宋_GB2312"/>
          <w:color w:val="auto"/>
          <w:highlight w:val="none"/>
        </w:rPr>
        <w:t>一、单位基本情况</w:t>
      </w:r>
    </w:p>
    <w:p w14:paraId="75801A2F">
      <w:pPr>
        <w:adjustRightInd w:val="0"/>
        <w:snapToGrid w:val="0"/>
        <w:spacing w:line="600" w:lineRule="exact"/>
        <w:ind w:firstLine="640" w:firstLineChars="200"/>
        <w:rPr>
          <w:rFonts w:hint="eastAsia" w:ascii="方正楷体_GBK" w:eastAsia="方正楷体_GBK" w:cs="仿宋_GB2312"/>
          <w:color w:val="auto"/>
          <w:highlight w:val="none"/>
        </w:rPr>
      </w:pPr>
      <w:r>
        <w:rPr>
          <w:rFonts w:hint="eastAsia" w:ascii="方正楷体_GBK" w:eastAsia="方正楷体_GBK" w:cs="仿宋_GB2312"/>
          <w:color w:val="auto"/>
          <w:highlight w:val="none"/>
        </w:rPr>
        <w:t>（一）职能职责</w:t>
      </w:r>
    </w:p>
    <w:p w14:paraId="2BCA66A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宣传贯彻执行党的路线、方针、政策，国家的法律、法规和区委、区政府的有关决定、命令、指标；负责辖区基层党组织和群团组织建设和精神文明建设以及纪检、监察工作；负责制定和实施辖区的社区建设发展规划，努力发展社区服务，开展社区教育；负责指导辖区社区居委会的组织建设及各项工作，帮助解决社区居委会的困难、问题，向上级政府反映社区居委会的意见和要求；负责城市管理工作，努力宣传普及全民健康教育，组织社会单位和居民开展爱国卫生运动；负责常住人口与流动人口的计划生育宣传、教育、管理和服务工作；负责辖区的社会治安综合治理工作；指导、协调辖区内的物业管理工作；负责做好拥军优属、优待抚恤、社会救济、社会保障及社区文化、科普等工作；负责辖区失业、下岗人员的管理、培训和指导就业等工作；承办民兵预备役、征兵、人民防空等工作；与司法行政部门共同做好司法行政、人民调解工作，实施普法教育；办理人民群众的来信、来访，及时向市、区人民政府反映群众的意见和要求；配合有关部门做好国土、防火、防震、抢险救灾、安全生产、食品药品监管等工作；负责人大、政协地区联络组工作，协助办理人大代表和政协委员的意见、建议，组织开展地区人大代表、政协委员的各项活动；维护老年人、妇女、未成年人和残疾人的合法权益，尊重少数民族的风俗习惯，保障少数民族的权益；承办区委、区政府交办的其他事项。 </w:t>
      </w:r>
    </w:p>
    <w:p w14:paraId="7369446C">
      <w:pPr>
        <w:adjustRightInd w:val="0"/>
        <w:snapToGrid w:val="0"/>
        <w:spacing w:line="600" w:lineRule="exact"/>
        <w:ind w:firstLine="640" w:firstLineChars="200"/>
        <w:rPr>
          <w:rFonts w:hint="eastAsia" w:ascii="方正楷体_GBK" w:eastAsia="方正楷体_GBK" w:cs="仿宋_GB2312"/>
          <w:color w:val="auto"/>
          <w:highlight w:val="none"/>
        </w:rPr>
      </w:pPr>
      <w:r>
        <w:rPr>
          <w:rFonts w:hint="eastAsia" w:ascii="方正楷体_GBK" w:eastAsia="方正楷体_GBK" w:cs="仿宋_GB2312"/>
          <w:color w:val="auto"/>
          <w:highlight w:val="none"/>
        </w:rPr>
        <w:t>（二）单位构成</w:t>
      </w:r>
    </w:p>
    <w:p w14:paraId="7E163C77">
      <w:pPr>
        <w:pStyle w:val="2"/>
        <w:keepNext w:val="0"/>
        <w:keepLines w:val="0"/>
        <w:pageBreakBefore w:val="0"/>
        <w:widowControl w:val="0"/>
        <w:kinsoku/>
        <w:wordWrap/>
        <w:overflowPunct/>
        <w:topLinePunct w:val="0"/>
        <w:autoSpaceDE/>
        <w:autoSpaceDN/>
        <w:bidi w:val="0"/>
        <w:adjustRightInd/>
        <w:snapToGrid w:val="0"/>
        <w:spacing w:line="600" w:lineRule="exact"/>
        <w:ind w:firstLine="641"/>
        <w:jc w:val="left"/>
        <w:textAlignment w:val="auto"/>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方正仿宋_GBK" w:cs="Times New Roman"/>
          <w:color w:val="auto"/>
          <w:kern w:val="2"/>
          <w:sz w:val="32"/>
          <w:szCs w:val="22"/>
          <w:highlight w:val="none"/>
          <w:lang w:val="en-US" w:eastAsia="zh-CN" w:bidi="ar-SA"/>
        </w:rPr>
        <w:t>重庆市九龙坡区渝州路街道办事处</w:t>
      </w:r>
      <w:r>
        <w:rPr>
          <w:rFonts w:hint="eastAsia" w:ascii="Times New Roman" w:hAnsi="Times New Roman" w:eastAsia="方正仿宋_GBK" w:cs="Times New Roman"/>
          <w:color w:val="auto"/>
          <w:kern w:val="2"/>
          <w:sz w:val="32"/>
          <w:szCs w:val="22"/>
          <w:highlight w:val="none"/>
          <w:lang w:val="en-US" w:eastAsia="zh-CN" w:bidi="ar-SA"/>
        </w:rPr>
        <w:t>下设基层治理综合指挥室、党的建设办公室、经济发展办公室、民生服务办公室、平安法治办公室、便民服务中心、综合行政执法大队、新时代文明实践服务中心、社区事务服务中心、物业服务中心10个内设机构及司法所、城市管理综合行政执法大队、市场监管所3个派驻单位</w:t>
      </w:r>
      <w:r>
        <w:rPr>
          <w:rFonts w:hint="eastAsia" w:eastAsia="方正仿宋_GBK" w:cs="Times New Roman"/>
          <w:color w:val="auto"/>
          <w:kern w:val="2"/>
          <w:sz w:val="32"/>
          <w:szCs w:val="22"/>
          <w:highlight w:val="none"/>
          <w:lang w:val="en-US" w:eastAsia="zh-CN" w:bidi="ar-SA"/>
        </w:rPr>
        <w:t>。</w:t>
      </w:r>
      <w:bookmarkStart w:id="0" w:name="_GoBack"/>
      <w:bookmarkEnd w:id="0"/>
    </w:p>
    <w:p w14:paraId="0F4C1FE1">
      <w:pPr>
        <w:pStyle w:val="6"/>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下属</w:t>
      </w:r>
      <w:r>
        <w:rPr>
          <w:rFonts w:hint="eastAsia" w:ascii="Times New Roman" w:hAnsi="Times New Roman" w:eastAsia="方正仿宋_GBK" w:cs="Times New Roman"/>
          <w:color w:val="auto"/>
          <w:sz w:val="32"/>
          <w:highlight w:val="none"/>
          <w:lang w:val="en-US" w:eastAsia="zh-CN"/>
        </w:rPr>
        <w:t>7个</w:t>
      </w:r>
      <w:r>
        <w:rPr>
          <w:rFonts w:hint="default" w:ascii="Times New Roman" w:hAnsi="Times New Roman" w:eastAsia="方正仿宋_GBK" w:cs="Times New Roman"/>
          <w:color w:val="auto"/>
          <w:sz w:val="32"/>
          <w:highlight w:val="none"/>
        </w:rPr>
        <w:t>二级预算单位</w:t>
      </w:r>
      <w:r>
        <w:rPr>
          <w:rFonts w:hint="default" w:ascii="Times New Roman" w:hAnsi="Times New Roman" w:eastAsia="方正仿宋_GBK" w:cs="Times New Roman"/>
          <w:color w:val="auto"/>
          <w:sz w:val="32"/>
          <w:highlight w:val="none"/>
          <w:lang w:eastAsia="zh-CN"/>
        </w:rPr>
        <w:t>，分别是</w:t>
      </w:r>
      <w:r>
        <w:rPr>
          <w:rFonts w:hint="default" w:ascii="Times New Roman" w:hAnsi="Times New Roman" w:eastAsia="方正仿宋_GBK" w:cs="Times New Roman"/>
          <w:color w:val="auto"/>
          <w:sz w:val="32"/>
          <w:highlight w:val="none"/>
          <w:lang w:val="en-US" w:eastAsia="zh-CN"/>
        </w:rPr>
        <w:t>渝州路街道办事处（本级）、区城市管理综合行政执法支队渝州路街道大队（参公）、渝州路街道社区事务服务中心、渝州路街道</w:t>
      </w:r>
      <w:r>
        <w:rPr>
          <w:rFonts w:hint="default" w:ascii="Times New Roman" w:hAnsi="Times New Roman" w:eastAsia="方正仿宋_GBK" w:cs="Times New Roman"/>
          <w:color w:val="auto"/>
          <w:sz w:val="32"/>
          <w:highlight w:val="none"/>
        </w:rPr>
        <w:t xml:space="preserve">新时代文明实践服务中心 </w:t>
      </w:r>
      <w:r>
        <w:rPr>
          <w:rFonts w:hint="default" w:ascii="Times New Roman" w:hAnsi="Times New Roman" w:eastAsia="方正仿宋_GBK" w:cs="Times New Roman"/>
          <w:color w:val="auto"/>
          <w:sz w:val="32"/>
          <w:highlight w:val="none"/>
          <w:lang w:val="en-US" w:eastAsia="zh-CN"/>
        </w:rPr>
        <w:t>、渝州路街道</w:t>
      </w:r>
      <w:r>
        <w:rPr>
          <w:rFonts w:hint="default" w:ascii="Times New Roman" w:hAnsi="Times New Roman" w:eastAsia="方正仿宋_GBK" w:cs="Times New Roman"/>
          <w:color w:val="auto"/>
          <w:sz w:val="32"/>
          <w:highlight w:val="none"/>
        </w:rPr>
        <w:t>便民服务中心（退役军人服务站）</w:t>
      </w:r>
      <w:r>
        <w:rPr>
          <w:rFonts w:hint="default" w:ascii="Times New Roman" w:hAnsi="Times New Roman" w:eastAsia="方正仿宋_GBK" w:cs="Times New Roman"/>
          <w:color w:val="auto"/>
          <w:sz w:val="32"/>
          <w:highlight w:val="none"/>
          <w:lang w:eastAsia="zh-CN"/>
        </w:rPr>
        <w:t>、</w:t>
      </w:r>
      <w:r>
        <w:rPr>
          <w:rFonts w:hint="default" w:ascii="Times New Roman" w:hAnsi="Times New Roman" w:eastAsia="方正仿宋_GBK" w:cs="Times New Roman"/>
          <w:color w:val="auto"/>
          <w:sz w:val="32"/>
          <w:highlight w:val="none"/>
          <w:lang w:val="en-US" w:eastAsia="zh-CN"/>
        </w:rPr>
        <w:t>渝州路街道</w:t>
      </w:r>
      <w:r>
        <w:rPr>
          <w:rFonts w:hint="default" w:ascii="Times New Roman" w:hAnsi="Times New Roman" w:eastAsia="方正仿宋_GBK" w:cs="Times New Roman"/>
          <w:color w:val="auto"/>
          <w:sz w:val="32"/>
          <w:highlight w:val="none"/>
        </w:rPr>
        <w:t>物业服务中心</w:t>
      </w:r>
      <w:r>
        <w:rPr>
          <w:rFonts w:hint="default" w:ascii="Times New Roman" w:hAnsi="Times New Roman" w:eastAsia="方正仿宋_GBK" w:cs="Times New Roman"/>
          <w:color w:val="auto"/>
          <w:sz w:val="32"/>
          <w:highlight w:val="none"/>
          <w:lang w:val="en-US" w:eastAsia="zh-CN"/>
        </w:rPr>
        <w:t>、渝州路街道</w:t>
      </w:r>
      <w:r>
        <w:rPr>
          <w:rFonts w:hint="default" w:ascii="Times New Roman" w:hAnsi="Times New Roman" w:eastAsia="方正仿宋_GBK" w:cs="Times New Roman"/>
          <w:color w:val="auto"/>
          <w:sz w:val="32"/>
          <w:highlight w:val="none"/>
        </w:rPr>
        <w:t>综合行政执法大队</w:t>
      </w:r>
      <w:r>
        <w:rPr>
          <w:rFonts w:hint="default" w:ascii="Times New Roman" w:hAnsi="Times New Roman" w:eastAsia="方正仿宋_GBK" w:cs="Times New Roman"/>
          <w:color w:val="auto"/>
          <w:sz w:val="32"/>
          <w:highlight w:val="none"/>
          <w:lang w:val="en-US" w:eastAsia="zh-CN"/>
        </w:rPr>
        <w:t>等1个行政单位、1个参公单位和5个事业单位。</w:t>
      </w:r>
    </w:p>
    <w:p w14:paraId="129900A6">
      <w:pPr>
        <w:adjustRightInd w:val="0"/>
        <w:snapToGrid w:val="0"/>
        <w:spacing w:line="600" w:lineRule="exact"/>
        <w:ind w:firstLine="640" w:firstLineChars="200"/>
        <w:rPr>
          <w:rFonts w:hint="eastAsia" w:ascii="方正黑体_GBK" w:eastAsia="方正黑体_GBK" w:cs="仿宋_GB2312"/>
          <w:color w:val="auto"/>
          <w:highlight w:val="none"/>
        </w:rPr>
      </w:pPr>
      <w:r>
        <w:rPr>
          <w:rFonts w:hint="eastAsia" w:ascii="方正黑体_GBK" w:eastAsia="方正黑体_GBK" w:cs="仿宋_GB2312"/>
          <w:color w:val="auto"/>
          <w:highlight w:val="none"/>
        </w:rPr>
        <w:t>二、单位收支总体情况</w:t>
      </w:r>
    </w:p>
    <w:p w14:paraId="2328DCCC">
      <w:pPr>
        <w:adjustRightInd w:val="0"/>
        <w:snapToGrid w:val="0"/>
        <w:spacing w:line="600" w:lineRule="exact"/>
        <w:ind w:firstLine="640" w:firstLineChars="200"/>
        <w:rPr>
          <w:rFonts w:hint="default" w:eastAsia="方正仿宋_GBK" w:cs="仿宋_GB2312"/>
          <w:color w:val="auto"/>
          <w:highlight w:val="none"/>
          <w:lang w:val="en-US" w:eastAsia="zh-CN"/>
        </w:rPr>
      </w:pPr>
      <w:r>
        <w:rPr>
          <w:rFonts w:hint="eastAsia" w:ascii="方正楷体_GBK" w:eastAsia="方正楷体_GBK" w:cs="仿宋_GB2312"/>
          <w:color w:val="auto"/>
          <w:highlight w:val="none"/>
        </w:rPr>
        <w:t>（一）收入预算：</w:t>
      </w:r>
      <w:r>
        <w:rPr>
          <w:rFonts w:hint="eastAsia" w:cs="仿宋_GB2312"/>
          <w:color w:val="auto"/>
          <w:highlight w:val="none"/>
        </w:rPr>
        <w:t>2025年年初预算数</w:t>
      </w:r>
      <w:r>
        <w:rPr>
          <w:rFonts w:hint="eastAsia" w:cs="仿宋_GB2312"/>
          <w:color w:val="auto"/>
          <w:highlight w:val="none"/>
          <w:lang w:val="en-US" w:eastAsia="zh-CN"/>
        </w:rPr>
        <w:t>6422.17</w:t>
      </w:r>
      <w:r>
        <w:rPr>
          <w:rFonts w:hint="eastAsia" w:cs="仿宋_GB2312"/>
          <w:color w:val="auto"/>
          <w:highlight w:val="none"/>
        </w:rPr>
        <w:t>万元，其中：一般公共预算拨款6324.74万元，</w:t>
      </w:r>
      <w:r>
        <w:rPr>
          <w:rFonts w:hint="eastAsia" w:cs="仿宋_GB2312"/>
          <w:color w:val="auto"/>
          <w:highlight w:val="none"/>
          <w:lang w:val="en-US" w:eastAsia="zh-CN"/>
        </w:rPr>
        <w:t>上年结转资金97.43万元，</w:t>
      </w:r>
      <w:r>
        <w:rPr>
          <w:rFonts w:hint="eastAsia" w:cs="仿宋_GB2312"/>
          <w:color w:val="auto"/>
          <w:highlight w:val="none"/>
        </w:rPr>
        <w:t>政府性基金预算拨款</w:t>
      </w:r>
      <w:r>
        <w:rPr>
          <w:rFonts w:hint="eastAsia" w:cs="仿宋_GB2312"/>
          <w:color w:val="auto"/>
          <w:highlight w:val="none"/>
          <w:lang w:val="en-US" w:eastAsia="zh-CN"/>
        </w:rPr>
        <w:t>0</w:t>
      </w:r>
      <w:r>
        <w:rPr>
          <w:rFonts w:hint="eastAsia" w:cs="仿宋_GB2312"/>
          <w:color w:val="auto"/>
          <w:highlight w:val="none"/>
        </w:rPr>
        <w:t>万元，国有资本经营预算收入</w:t>
      </w:r>
      <w:r>
        <w:rPr>
          <w:rFonts w:hint="eastAsia" w:cs="仿宋_GB2312"/>
          <w:color w:val="auto"/>
          <w:highlight w:val="none"/>
          <w:lang w:val="en-US" w:eastAsia="zh-CN"/>
        </w:rPr>
        <w:t>0</w:t>
      </w:r>
      <w:r>
        <w:rPr>
          <w:rFonts w:hint="eastAsia" w:cs="仿宋_GB2312"/>
          <w:color w:val="auto"/>
          <w:highlight w:val="none"/>
        </w:rPr>
        <w:t>万元，事业收入</w:t>
      </w:r>
      <w:r>
        <w:rPr>
          <w:rFonts w:hint="eastAsia" w:cs="仿宋_GB2312"/>
          <w:color w:val="auto"/>
          <w:highlight w:val="none"/>
          <w:lang w:val="en-US" w:eastAsia="zh-CN"/>
        </w:rPr>
        <w:t>0</w:t>
      </w:r>
      <w:r>
        <w:rPr>
          <w:rFonts w:hint="eastAsia" w:cs="仿宋_GB2312"/>
          <w:color w:val="auto"/>
          <w:highlight w:val="none"/>
        </w:rPr>
        <w:t>万元，事业单位经营收入</w:t>
      </w:r>
      <w:r>
        <w:rPr>
          <w:rFonts w:hint="eastAsia" w:cs="仿宋_GB2312"/>
          <w:color w:val="auto"/>
          <w:highlight w:val="none"/>
          <w:lang w:val="en-US" w:eastAsia="zh-CN"/>
        </w:rPr>
        <w:t>0</w:t>
      </w:r>
      <w:r>
        <w:rPr>
          <w:rFonts w:hint="eastAsia" w:cs="仿宋_GB2312"/>
          <w:color w:val="auto"/>
          <w:highlight w:val="none"/>
        </w:rPr>
        <w:t>万元，其他收入</w:t>
      </w:r>
      <w:r>
        <w:rPr>
          <w:rFonts w:hint="eastAsia" w:cs="仿宋_GB2312"/>
          <w:color w:val="auto"/>
          <w:highlight w:val="none"/>
          <w:lang w:val="en-US" w:eastAsia="zh-CN"/>
        </w:rPr>
        <w:t>0</w:t>
      </w:r>
      <w:r>
        <w:rPr>
          <w:rFonts w:hint="eastAsia" w:cs="仿宋_GB2312"/>
          <w:color w:val="auto"/>
          <w:highlight w:val="none"/>
        </w:rPr>
        <w:t>万元。收入较2024年</w:t>
      </w:r>
      <w:r>
        <w:rPr>
          <w:rFonts w:hint="eastAsia" w:cs="仿宋_GB2312"/>
          <w:color w:val="auto"/>
          <w:highlight w:val="none"/>
          <w:lang w:val="en-US" w:eastAsia="zh-CN"/>
        </w:rPr>
        <w:t>减少514.98</w:t>
      </w:r>
      <w:r>
        <w:rPr>
          <w:rFonts w:hint="eastAsia" w:cs="仿宋_GB2312"/>
          <w:color w:val="auto"/>
          <w:highlight w:val="none"/>
        </w:rPr>
        <w:t>万元，主要是</w:t>
      </w:r>
      <w:r>
        <w:rPr>
          <w:rFonts w:hint="eastAsia" w:cs="仿宋_GB2312"/>
          <w:color w:val="auto"/>
          <w:highlight w:val="none"/>
          <w:lang w:val="en-US" w:eastAsia="zh-CN"/>
        </w:rPr>
        <w:t>减少职业年金、基本养老保险等人员经费，公用经费定额预算标准下调，职业教育经费、工会经费等公用费用减少；缩减聘用人员经费。</w:t>
      </w:r>
    </w:p>
    <w:p w14:paraId="40ED4E8D">
      <w:pPr>
        <w:adjustRightInd w:val="0"/>
        <w:snapToGrid w:val="0"/>
        <w:spacing w:line="600" w:lineRule="exact"/>
        <w:ind w:firstLine="640" w:firstLineChars="200"/>
        <w:rPr>
          <w:rFonts w:hint="eastAsia" w:cs="仿宋_GB2312"/>
          <w:color w:val="auto"/>
          <w:highlight w:val="none"/>
        </w:rPr>
      </w:pPr>
      <w:r>
        <w:rPr>
          <w:rFonts w:hint="eastAsia" w:ascii="方正楷体_GBK" w:eastAsia="方正楷体_GBK" w:cs="仿宋_GB2312"/>
          <w:color w:val="auto"/>
          <w:highlight w:val="none"/>
        </w:rPr>
        <w:t>（二）支出预算：</w:t>
      </w:r>
      <w:r>
        <w:rPr>
          <w:rFonts w:hint="eastAsia" w:cs="仿宋_GB2312"/>
          <w:color w:val="auto"/>
          <w:highlight w:val="none"/>
        </w:rPr>
        <w:t>2025年年初预算数</w:t>
      </w:r>
      <w:r>
        <w:rPr>
          <w:rFonts w:hint="eastAsia" w:cs="仿宋_GB2312"/>
          <w:color w:val="auto"/>
          <w:highlight w:val="none"/>
          <w:lang w:val="en-US" w:eastAsia="zh-CN"/>
        </w:rPr>
        <w:t>6422.17</w:t>
      </w:r>
      <w:r>
        <w:rPr>
          <w:rFonts w:hint="eastAsia" w:cs="仿宋_GB2312"/>
          <w:color w:val="auto"/>
          <w:highlight w:val="none"/>
        </w:rPr>
        <w:t>万元，其中：一般公共服务支出预算2982.61万元，国防支出预算1万元，公共安全支出</w:t>
      </w:r>
      <w:r>
        <w:rPr>
          <w:rFonts w:hint="eastAsia" w:cs="仿宋_GB2312"/>
          <w:color w:val="auto"/>
          <w:highlight w:val="none"/>
          <w:lang w:val="en-US" w:eastAsia="zh-CN"/>
        </w:rPr>
        <w:t>预算</w:t>
      </w:r>
      <w:r>
        <w:rPr>
          <w:rFonts w:hint="eastAsia" w:cs="仿宋_GB2312"/>
          <w:color w:val="auto"/>
          <w:highlight w:val="none"/>
        </w:rPr>
        <w:t>2</w:t>
      </w:r>
      <w:r>
        <w:rPr>
          <w:rFonts w:hint="eastAsia" w:cs="仿宋_GB2312"/>
          <w:color w:val="auto"/>
          <w:highlight w:val="none"/>
          <w:lang w:val="en-US" w:eastAsia="zh-CN"/>
        </w:rPr>
        <w:t>万元，文化旅游体育与传媒支出预算7万元，</w:t>
      </w:r>
      <w:r>
        <w:rPr>
          <w:rFonts w:hint="eastAsia" w:cs="仿宋_GB2312"/>
          <w:color w:val="auto"/>
          <w:highlight w:val="none"/>
        </w:rPr>
        <w:t>社会保障和就业支出预算1385.93万元，卫生健康支出预算61.41万元，城乡社区支出</w:t>
      </w:r>
      <w:r>
        <w:rPr>
          <w:rFonts w:hint="eastAsia" w:cs="仿宋_GB2312"/>
          <w:color w:val="auto"/>
          <w:highlight w:val="none"/>
          <w:lang w:val="en-US" w:eastAsia="zh-CN"/>
        </w:rPr>
        <w:t>预算1773.44万元，资源勘探工业信息等支出预算30万元，金融支出预算5万元，</w:t>
      </w:r>
      <w:r>
        <w:rPr>
          <w:rFonts w:hint="eastAsia" w:cs="仿宋_GB2312"/>
          <w:color w:val="auto"/>
          <w:highlight w:val="none"/>
        </w:rPr>
        <w:t>住房保障支出预算73.79万元</w:t>
      </w:r>
      <w:r>
        <w:rPr>
          <w:rFonts w:hint="eastAsia" w:cs="仿宋_GB2312"/>
          <w:color w:val="auto"/>
          <w:highlight w:val="none"/>
          <w:lang w:eastAsia="zh-CN"/>
        </w:rPr>
        <w:t>，灾害防治及应急管理支出100</w:t>
      </w:r>
      <w:r>
        <w:rPr>
          <w:rFonts w:hint="eastAsia" w:cs="仿宋_GB2312"/>
          <w:color w:val="auto"/>
          <w:highlight w:val="none"/>
          <w:lang w:val="en-US" w:eastAsia="zh-CN"/>
        </w:rPr>
        <w:t>万元</w:t>
      </w:r>
      <w:r>
        <w:rPr>
          <w:rFonts w:hint="eastAsia" w:cs="仿宋_GB2312"/>
          <w:color w:val="auto"/>
          <w:highlight w:val="none"/>
        </w:rPr>
        <w:t>。支出预算较2024年</w:t>
      </w:r>
      <w:r>
        <w:rPr>
          <w:rFonts w:hint="eastAsia" w:cs="仿宋_GB2312"/>
          <w:color w:val="auto"/>
          <w:highlight w:val="none"/>
          <w:lang w:val="en-US" w:eastAsia="zh-CN"/>
        </w:rPr>
        <w:t>减少514.98</w:t>
      </w:r>
      <w:r>
        <w:rPr>
          <w:rFonts w:hint="eastAsia" w:cs="仿宋_GB2312"/>
          <w:color w:val="auto"/>
          <w:highlight w:val="none"/>
        </w:rPr>
        <w:t>万元，主要是基本支出预算</w:t>
      </w:r>
      <w:r>
        <w:rPr>
          <w:rFonts w:hint="eastAsia" w:cs="仿宋_GB2312"/>
          <w:color w:val="auto"/>
          <w:highlight w:val="none"/>
          <w:lang w:val="en-US" w:eastAsia="zh-CN"/>
        </w:rPr>
        <w:t>减少42.16</w:t>
      </w:r>
      <w:r>
        <w:rPr>
          <w:rFonts w:hint="eastAsia" w:cs="仿宋_GB2312"/>
          <w:color w:val="auto"/>
          <w:highlight w:val="none"/>
        </w:rPr>
        <w:t>万元，项目支出预算</w:t>
      </w:r>
      <w:r>
        <w:rPr>
          <w:rFonts w:hint="eastAsia" w:cs="仿宋_GB2312"/>
          <w:color w:val="auto"/>
          <w:highlight w:val="none"/>
          <w:lang w:val="en-US" w:eastAsia="zh-CN"/>
        </w:rPr>
        <w:t>减少472.82</w:t>
      </w:r>
      <w:r>
        <w:rPr>
          <w:rFonts w:hint="eastAsia" w:cs="仿宋_GB2312"/>
          <w:color w:val="auto"/>
          <w:highlight w:val="none"/>
        </w:rPr>
        <w:t>万元。</w:t>
      </w:r>
    </w:p>
    <w:p w14:paraId="170EAA22">
      <w:pPr>
        <w:adjustRightInd w:val="0"/>
        <w:snapToGrid w:val="0"/>
        <w:spacing w:line="600" w:lineRule="exact"/>
        <w:ind w:firstLine="640" w:firstLineChars="200"/>
        <w:rPr>
          <w:rFonts w:hint="eastAsia" w:ascii="方正黑体_GBK" w:eastAsia="方正黑体_GBK" w:cs="仿宋_GB2312"/>
          <w:color w:val="auto"/>
          <w:highlight w:val="none"/>
        </w:rPr>
      </w:pPr>
      <w:r>
        <w:rPr>
          <w:rFonts w:hint="eastAsia" w:ascii="方正黑体_GBK" w:eastAsia="方正黑体_GBK" w:cs="仿宋_GB2312"/>
          <w:color w:val="auto"/>
          <w:highlight w:val="none"/>
        </w:rPr>
        <w:t>三、单位预算情况说明</w:t>
      </w:r>
    </w:p>
    <w:p w14:paraId="1912917A">
      <w:pPr>
        <w:adjustRightInd w:val="0"/>
        <w:snapToGrid w:val="0"/>
        <w:spacing w:line="600" w:lineRule="exact"/>
        <w:ind w:firstLine="640" w:firstLineChars="200"/>
        <w:rPr>
          <w:rFonts w:hint="eastAsia" w:eastAsia="方正仿宋_GBK" w:cs="仿宋_GB2312"/>
          <w:color w:val="auto"/>
          <w:highlight w:val="none"/>
          <w:lang w:val="en-US" w:eastAsia="zh-CN"/>
        </w:rPr>
      </w:pPr>
      <w:r>
        <w:rPr>
          <w:rFonts w:hint="eastAsia" w:cs="仿宋_GB2312"/>
          <w:color w:val="auto"/>
          <w:highlight w:val="none"/>
        </w:rPr>
        <w:t>2025年一般公共预算财政拨款收入</w:t>
      </w:r>
      <w:r>
        <w:rPr>
          <w:rFonts w:hint="eastAsia" w:cs="仿宋_GB2312"/>
          <w:color w:val="auto"/>
          <w:highlight w:val="none"/>
          <w:lang w:val="en-US" w:eastAsia="zh-CN"/>
        </w:rPr>
        <w:t>6422.17</w:t>
      </w:r>
      <w:r>
        <w:rPr>
          <w:rFonts w:hint="eastAsia" w:cs="仿宋_GB2312"/>
          <w:color w:val="auto"/>
          <w:highlight w:val="none"/>
        </w:rPr>
        <w:t>万元，</w:t>
      </w:r>
      <w:r>
        <w:rPr>
          <w:rFonts w:hint="eastAsia" w:cs="仿宋_GB2312"/>
          <w:color w:val="auto"/>
          <w:highlight w:val="none"/>
          <w:lang w:val="en-US" w:eastAsia="zh-CN"/>
        </w:rPr>
        <w:t>其中</w:t>
      </w:r>
      <w:r>
        <w:rPr>
          <w:rFonts w:hint="eastAsia" w:cs="仿宋_GB2312"/>
          <w:color w:val="auto"/>
          <w:highlight w:val="none"/>
        </w:rPr>
        <w:t>一般公共预算财政拨款</w:t>
      </w:r>
      <w:r>
        <w:rPr>
          <w:rFonts w:hint="eastAsia" w:cs="仿宋_GB2312"/>
          <w:color w:val="auto"/>
          <w:highlight w:val="none"/>
          <w:lang w:val="en-US" w:eastAsia="zh-CN"/>
        </w:rPr>
        <w:t>收入6324.74</w:t>
      </w:r>
      <w:r>
        <w:rPr>
          <w:rFonts w:hint="eastAsia" w:cs="仿宋_GB2312"/>
          <w:color w:val="auto"/>
          <w:highlight w:val="none"/>
        </w:rPr>
        <w:t>万元</w:t>
      </w:r>
      <w:r>
        <w:rPr>
          <w:rFonts w:hint="eastAsia" w:cs="仿宋_GB2312"/>
          <w:color w:val="auto"/>
          <w:highlight w:val="none"/>
          <w:lang w:eastAsia="zh-CN"/>
        </w:rPr>
        <w:t>，</w:t>
      </w:r>
      <w:r>
        <w:rPr>
          <w:rFonts w:hint="eastAsia" w:cs="仿宋_GB2312"/>
          <w:color w:val="auto"/>
          <w:highlight w:val="none"/>
          <w:lang w:val="en-US" w:eastAsia="zh-CN"/>
        </w:rPr>
        <w:t>上年结转资金97.43万元。</w:t>
      </w:r>
    </w:p>
    <w:p w14:paraId="2286A5F3">
      <w:pPr>
        <w:adjustRightInd w:val="0"/>
        <w:snapToGrid w:val="0"/>
        <w:spacing w:line="600" w:lineRule="exact"/>
        <w:ind w:firstLine="640" w:firstLineChars="200"/>
        <w:rPr>
          <w:rFonts w:hint="default" w:cs="仿宋_GB2312"/>
          <w:color w:val="auto"/>
          <w:highlight w:val="none"/>
          <w:lang w:val="en-US" w:eastAsia="zh-CN"/>
        </w:rPr>
      </w:pPr>
      <w:r>
        <w:rPr>
          <w:rFonts w:hint="eastAsia" w:cs="仿宋_GB2312"/>
          <w:color w:val="auto"/>
          <w:highlight w:val="none"/>
        </w:rPr>
        <w:t>一般公共预算财政拨款支出</w:t>
      </w:r>
      <w:r>
        <w:rPr>
          <w:rFonts w:hint="eastAsia" w:cs="仿宋_GB2312"/>
          <w:color w:val="auto"/>
          <w:highlight w:val="none"/>
          <w:lang w:val="en-US" w:eastAsia="zh-CN"/>
        </w:rPr>
        <w:t>6422.17</w:t>
      </w:r>
      <w:r>
        <w:rPr>
          <w:rFonts w:hint="eastAsia" w:cs="仿宋_GB2312"/>
          <w:color w:val="auto"/>
          <w:highlight w:val="none"/>
        </w:rPr>
        <w:t>万元，比2024年</w:t>
      </w:r>
      <w:r>
        <w:rPr>
          <w:rFonts w:hint="eastAsia" w:cs="仿宋_GB2312"/>
          <w:color w:val="auto"/>
          <w:highlight w:val="none"/>
          <w:lang w:val="en-US" w:eastAsia="zh-CN"/>
        </w:rPr>
        <w:t>减少514.98</w:t>
      </w:r>
      <w:r>
        <w:rPr>
          <w:rFonts w:hint="eastAsia" w:cs="仿宋_GB2312"/>
          <w:color w:val="auto"/>
          <w:highlight w:val="none"/>
        </w:rPr>
        <w:t>万元。其中：基本支出</w:t>
      </w:r>
      <w:r>
        <w:rPr>
          <w:rFonts w:hint="eastAsia" w:cs="仿宋_GB2312"/>
          <w:color w:val="auto"/>
          <w:highlight w:val="none"/>
          <w:lang w:val="en-US" w:eastAsia="zh-CN"/>
        </w:rPr>
        <w:t>1153.91</w:t>
      </w:r>
      <w:r>
        <w:rPr>
          <w:rFonts w:hint="eastAsia" w:cs="仿宋_GB2312"/>
          <w:color w:val="auto"/>
          <w:highlight w:val="none"/>
        </w:rPr>
        <w:t>万元，比2024年减少</w:t>
      </w:r>
      <w:r>
        <w:rPr>
          <w:rFonts w:hint="eastAsia" w:cs="仿宋_GB2312"/>
          <w:color w:val="auto"/>
          <w:highlight w:val="none"/>
          <w:lang w:val="en-US" w:eastAsia="zh-CN"/>
        </w:rPr>
        <w:t>42.16</w:t>
      </w:r>
      <w:r>
        <w:rPr>
          <w:rFonts w:hint="eastAsia" w:cs="仿宋_GB2312"/>
          <w:color w:val="auto"/>
          <w:highlight w:val="none"/>
        </w:rPr>
        <w:t>万元，主要原因是</w:t>
      </w:r>
      <w:r>
        <w:rPr>
          <w:rFonts w:hint="eastAsia" w:cs="仿宋_GB2312"/>
          <w:color w:val="auto"/>
          <w:highlight w:val="none"/>
          <w:lang w:val="en-US" w:eastAsia="zh-CN"/>
        </w:rPr>
        <w:t>减少职业年金、基本养老保险等人员经费，公用经费定额预算标准下调，职业教育经费、工会经费等公用费用减少</w:t>
      </w:r>
      <w:r>
        <w:rPr>
          <w:rFonts w:hint="eastAsia" w:cs="仿宋_GB2312"/>
          <w:color w:val="auto"/>
          <w:highlight w:val="none"/>
        </w:rPr>
        <w:t>等，主要用于保障在职人员工资福利及社会保险缴费，离休人员离休费，退休人员补助等，保障单位正常运转的各项商品服务支出；项目支出</w:t>
      </w:r>
      <w:r>
        <w:rPr>
          <w:rFonts w:hint="eastAsia" w:cs="仿宋_GB2312"/>
          <w:color w:val="auto"/>
          <w:highlight w:val="none"/>
          <w:lang w:val="en-US" w:eastAsia="zh-CN"/>
        </w:rPr>
        <w:t>5268.26</w:t>
      </w:r>
      <w:r>
        <w:rPr>
          <w:rFonts w:hint="eastAsia" w:cs="仿宋_GB2312"/>
          <w:color w:val="auto"/>
          <w:highlight w:val="none"/>
        </w:rPr>
        <w:t>万元，比2024年</w:t>
      </w:r>
      <w:r>
        <w:rPr>
          <w:rFonts w:hint="eastAsia" w:cs="仿宋_GB2312"/>
          <w:color w:val="auto"/>
          <w:highlight w:val="none"/>
          <w:lang w:val="en-US" w:eastAsia="zh-CN"/>
        </w:rPr>
        <w:t>减少472.82</w:t>
      </w:r>
      <w:r>
        <w:rPr>
          <w:rFonts w:hint="eastAsia" w:cs="仿宋_GB2312"/>
          <w:color w:val="auto"/>
          <w:highlight w:val="none"/>
        </w:rPr>
        <w:t>万元，主要原因是</w:t>
      </w:r>
      <w:r>
        <w:rPr>
          <w:rFonts w:hint="eastAsia" w:cs="仿宋_GB2312"/>
          <w:color w:val="auto"/>
          <w:highlight w:val="none"/>
          <w:lang w:val="en-US" w:eastAsia="zh-CN"/>
        </w:rPr>
        <w:t>缩减聘用人员经费。</w:t>
      </w:r>
    </w:p>
    <w:p w14:paraId="50767D20">
      <w:pPr>
        <w:adjustRightInd w:val="0"/>
        <w:snapToGrid w:val="0"/>
        <w:spacing w:line="600" w:lineRule="exact"/>
        <w:ind w:firstLine="640" w:firstLineChars="200"/>
        <w:rPr>
          <w:rFonts w:hint="eastAsia" w:cs="仿宋_GB2312"/>
          <w:color w:val="auto"/>
          <w:highlight w:val="none"/>
          <w:lang w:eastAsia="zh-CN"/>
        </w:rPr>
      </w:pPr>
      <w:r>
        <w:rPr>
          <w:rFonts w:hint="eastAsia" w:cs="仿宋_GB2312"/>
          <w:color w:val="auto"/>
          <w:highlight w:val="none"/>
        </w:rPr>
        <w:t>2025年政府性基金预算收入</w:t>
      </w:r>
      <w:r>
        <w:rPr>
          <w:rFonts w:hint="eastAsia" w:cs="仿宋_GB2312"/>
          <w:color w:val="auto"/>
          <w:highlight w:val="none"/>
          <w:lang w:val="en-US" w:eastAsia="zh-CN"/>
        </w:rPr>
        <w:t>0</w:t>
      </w:r>
      <w:r>
        <w:rPr>
          <w:rFonts w:hint="eastAsia" w:cs="仿宋_GB2312"/>
          <w:color w:val="auto"/>
          <w:highlight w:val="none"/>
        </w:rPr>
        <w:t>万元，政府性基金预算支出</w:t>
      </w:r>
      <w:r>
        <w:rPr>
          <w:rFonts w:hint="eastAsia" w:cs="仿宋_GB2312"/>
          <w:color w:val="auto"/>
          <w:highlight w:val="none"/>
          <w:lang w:val="en-US" w:eastAsia="zh-CN"/>
        </w:rPr>
        <w:t>0</w:t>
      </w:r>
      <w:r>
        <w:rPr>
          <w:rFonts w:hint="eastAsia" w:cs="仿宋_GB2312"/>
          <w:color w:val="auto"/>
          <w:highlight w:val="none"/>
        </w:rPr>
        <w:t>万元，比2024年增加</w:t>
      </w:r>
      <w:r>
        <w:rPr>
          <w:rFonts w:hint="eastAsia" w:cs="仿宋_GB2312"/>
          <w:color w:val="auto"/>
          <w:highlight w:val="none"/>
          <w:lang w:val="en-US" w:eastAsia="zh-CN"/>
        </w:rPr>
        <w:t>0</w:t>
      </w:r>
      <w:r>
        <w:rPr>
          <w:rFonts w:hint="eastAsia" w:cs="仿宋_GB2312"/>
          <w:color w:val="auto"/>
          <w:highlight w:val="none"/>
        </w:rPr>
        <w:t>万元，主要原</w:t>
      </w:r>
      <w:r>
        <w:rPr>
          <w:rFonts w:hint="eastAsia" w:ascii="Times New Roman" w:hAnsi="Times New Roman" w:cs="仿宋_GB2312"/>
          <w:color w:val="auto"/>
          <w:szCs w:val="22"/>
          <w:highlight w:val="none"/>
        </w:rPr>
        <w:t>因是</w:t>
      </w:r>
      <w:r>
        <w:rPr>
          <w:rFonts w:hint="eastAsia" w:cs="仿宋_GB2312"/>
          <w:color w:val="auto"/>
          <w:highlight w:val="none"/>
          <w:lang w:eastAsia="zh-CN"/>
        </w:rPr>
        <w:t>渝州路街道办事处</w:t>
      </w:r>
      <w:r>
        <w:rPr>
          <w:rFonts w:hint="eastAsia" w:cs="仿宋_GB2312"/>
          <w:color w:val="auto"/>
          <w:highlight w:val="none"/>
        </w:rPr>
        <w:t>202</w:t>
      </w:r>
      <w:r>
        <w:rPr>
          <w:rFonts w:hint="eastAsia" w:cs="仿宋_GB2312"/>
          <w:color w:val="auto"/>
          <w:highlight w:val="none"/>
          <w:lang w:val="en-US" w:eastAsia="zh-CN"/>
        </w:rPr>
        <w:t>5</w:t>
      </w:r>
      <w:r>
        <w:rPr>
          <w:rFonts w:hint="eastAsia" w:cs="仿宋_GB2312"/>
          <w:color w:val="auto"/>
          <w:highlight w:val="none"/>
        </w:rPr>
        <w:t>年无使用政府性基金预算拨款安排的支出</w:t>
      </w:r>
      <w:r>
        <w:rPr>
          <w:rFonts w:hint="eastAsia" w:cs="仿宋_GB2312"/>
          <w:color w:val="auto"/>
          <w:highlight w:val="none"/>
          <w:lang w:eastAsia="zh-CN"/>
        </w:rPr>
        <w:t>。</w:t>
      </w:r>
    </w:p>
    <w:p w14:paraId="333FEC44">
      <w:pPr>
        <w:adjustRightInd w:val="0"/>
        <w:snapToGrid w:val="0"/>
        <w:spacing w:line="600" w:lineRule="exact"/>
        <w:ind w:firstLine="640" w:firstLineChars="200"/>
        <w:rPr>
          <w:rFonts w:hint="eastAsia" w:ascii="方正黑体_GBK" w:eastAsia="方正黑体_GBK" w:cs="仿宋_GB2312"/>
          <w:color w:val="auto"/>
          <w:highlight w:val="none"/>
        </w:rPr>
      </w:pPr>
      <w:r>
        <w:rPr>
          <w:rFonts w:hint="eastAsia" w:ascii="方正黑体_GBK" w:eastAsia="方正黑体_GBK" w:cs="仿宋_GB2312"/>
          <w:color w:val="auto"/>
          <w:highlight w:val="none"/>
        </w:rPr>
        <w:t>四、“三公”经费情况说明</w:t>
      </w:r>
    </w:p>
    <w:p w14:paraId="0B29873F">
      <w:pPr>
        <w:adjustRightInd w:val="0"/>
        <w:snapToGrid w:val="0"/>
        <w:spacing w:line="600" w:lineRule="exact"/>
        <w:ind w:firstLine="600"/>
        <w:rPr>
          <w:rFonts w:hint="eastAsia" w:cs="仿宋_GB2312"/>
          <w:color w:val="auto"/>
          <w:highlight w:val="none"/>
        </w:rPr>
      </w:pPr>
      <w:r>
        <w:rPr>
          <w:rFonts w:hint="eastAsia" w:cs="仿宋_GB2312"/>
          <w:color w:val="auto"/>
          <w:highlight w:val="none"/>
        </w:rPr>
        <w:t>2025年“三公”经费预算30万元，比2024年</w:t>
      </w:r>
      <w:r>
        <w:rPr>
          <w:rFonts w:hint="eastAsia" w:cs="仿宋_GB2312"/>
          <w:color w:val="auto"/>
          <w:highlight w:val="none"/>
          <w:lang w:val="en-US" w:eastAsia="zh-CN"/>
        </w:rPr>
        <w:t>减少6</w:t>
      </w:r>
      <w:r>
        <w:rPr>
          <w:rFonts w:hint="eastAsia" w:cs="仿宋_GB2312"/>
          <w:color w:val="auto"/>
          <w:highlight w:val="none"/>
        </w:rPr>
        <w:t>万元。其中：因公出国（境）费用</w:t>
      </w:r>
      <w:r>
        <w:rPr>
          <w:rFonts w:hint="eastAsia" w:cs="仿宋_GB2312"/>
          <w:color w:val="auto"/>
          <w:highlight w:val="none"/>
          <w:lang w:val="en-US" w:eastAsia="zh-CN"/>
        </w:rPr>
        <w:t>0</w:t>
      </w:r>
      <w:r>
        <w:rPr>
          <w:rFonts w:hint="eastAsia" w:cs="仿宋_GB2312"/>
          <w:color w:val="auto"/>
          <w:highlight w:val="none"/>
        </w:rPr>
        <w:t>万元，比2024年减少（或增加）</w:t>
      </w:r>
      <w:r>
        <w:rPr>
          <w:rFonts w:hint="eastAsia" w:cs="仿宋_GB2312"/>
          <w:color w:val="auto"/>
          <w:highlight w:val="none"/>
          <w:lang w:val="en-US" w:eastAsia="zh-CN"/>
        </w:rPr>
        <w:t>0</w:t>
      </w:r>
      <w:r>
        <w:rPr>
          <w:rFonts w:hint="eastAsia" w:cs="仿宋_GB2312"/>
          <w:color w:val="auto"/>
          <w:highlight w:val="none"/>
        </w:rPr>
        <w:t>万元，主要原因是</w:t>
      </w:r>
      <w:r>
        <w:rPr>
          <w:rFonts w:hint="eastAsia" w:cs="仿宋_GB2312"/>
          <w:color w:val="auto"/>
          <w:highlight w:val="none"/>
          <w:lang w:val="en-US" w:eastAsia="zh-CN"/>
        </w:rPr>
        <w:t>无该项目预算</w:t>
      </w:r>
      <w:r>
        <w:rPr>
          <w:rFonts w:hint="eastAsia" w:cs="仿宋_GB2312"/>
          <w:color w:val="auto"/>
          <w:highlight w:val="none"/>
        </w:rPr>
        <w:t>；公务接待费</w:t>
      </w:r>
      <w:r>
        <w:rPr>
          <w:rFonts w:hint="eastAsia" w:cs="仿宋_GB2312"/>
          <w:color w:val="auto"/>
          <w:highlight w:val="none"/>
          <w:lang w:val="en-US" w:eastAsia="zh-CN"/>
        </w:rPr>
        <w:t>0</w:t>
      </w:r>
      <w:r>
        <w:rPr>
          <w:rFonts w:hint="eastAsia" w:cs="仿宋_GB2312"/>
          <w:color w:val="auto"/>
          <w:highlight w:val="none"/>
        </w:rPr>
        <w:t>万元，比2024年减少（或增加）</w:t>
      </w:r>
      <w:r>
        <w:rPr>
          <w:rFonts w:hint="eastAsia" w:cs="仿宋_GB2312"/>
          <w:color w:val="auto"/>
          <w:highlight w:val="none"/>
          <w:lang w:val="en-US" w:eastAsia="zh-CN"/>
        </w:rPr>
        <w:t>0</w:t>
      </w:r>
      <w:r>
        <w:rPr>
          <w:rFonts w:hint="eastAsia" w:cs="仿宋_GB2312"/>
          <w:color w:val="auto"/>
          <w:highlight w:val="none"/>
        </w:rPr>
        <w:t>万元，主要原因是</w:t>
      </w:r>
      <w:r>
        <w:rPr>
          <w:rFonts w:hint="eastAsia" w:cs="仿宋_GB2312"/>
          <w:color w:val="auto"/>
          <w:highlight w:val="none"/>
          <w:lang w:val="en-US" w:eastAsia="zh-CN"/>
        </w:rPr>
        <w:t>无该项目预算</w:t>
      </w:r>
      <w:r>
        <w:rPr>
          <w:rFonts w:hint="eastAsia" w:cs="仿宋_GB2312"/>
          <w:color w:val="auto"/>
          <w:highlight w:val="none"/>
        </w:rPr>
        <w:t>；公务用车运行维护费</w:t>
      </w:r>
      <w:r>
        <w:rPr>
          <w:rFonts w:hint="eastAsia" w:cs="仿宋_GB2312"/>
          <w:color w:val="auto"/>
          <w:highlight w:val="none"/>
          <w:lang w:val="en-US" w:eastAsia="zh-CN"/>
        </w:rPr>
        <w:t>12</w:t>
      </w:r>
      <w:r>
        <w:rPr>
          <w:rFonts w:hint="eastAsia" w:cs="仿宋_GB2312"/>
          <w:color w:val="auto"/>
          <w:highlight w:val="none"/>
        </w:rPr>
        <w:t>万元，比2024年减少</w:t>
      </w:r>
      <w:r>
        <w:rPr>
          <w:rFonts w:hint="eastAsia" w:cs="仿宋_GB2312"/>
          <w:color w:val="auto"/>
          <w:highlight w:val="none"/>
          <w:lang w:val="en-US" w:eastAsia="zh-CN"/>
        </w:rPr>
        <w:t>6</w:t>
      </w:r>
      <w:r>
        <w:rPr>
          <w:rFonts w:hint="eastAsia" w:cs="仿宋_GB2312"/>
          <w:color w:val="auto"/>
          <w:highlight w:val="none"/>
        </w:rPr>
        <w:t>万元，主要原因是</w:t>
      </w:r>
      <w:r>
        <w:rPr>
          <w:rFonts w:hint="eastAsia" w:cs="仿宋_GB2312"/>
          <w:color w:val="auto"/>
          <w:highlight w:val="none"/>
          <w:lang w:val="en-US" w:eastAsia="zh-CN"/>
        </w:rPr>
        <w:t>公务用车运行维护费标准下调</w:t>
      </w:r>
      <w:r>
        <w:rPr>
          <w:rFonts w:hint="eastAsia" w:cs="仿宋_GB2312"/>
          <w:color w:val="auto"/>
          <w:highlight w:val="none"/>
        </w:rPr>
        <w:t>；公务用车购置费</w:t>
      </w:r>
      <w:r>
        <w:rPr>
          <w:rFonts w:hint="eastAsia" w:cs="仿宋_GB2312"/>
          <w:color w:val="auto"/>
          <w:highlight w:val="none"/>
          <w:lang w:val="en-US" w:eastAsia="zh-CN"/>
        </w:rPr>
        <w:t>18</w:t>
      </w:r>
      <w:r>
        <w:rPr>
          <w:rFonts w:hint="eastAsia" w:cs="仿宋_GB2312"/>
          <w:color w:val="auto"/>
          <w:highlight w:val="none"/>
        </w:rPr>
        <w:t>万元，比2024年减少（或增加）</w:t>
      </w:r>
      <w:r>
        <w:rPr>
          <w:rFonts w:hint="eastAsia" w:cs="仿宋_GB2312"/>
          <w:color w:val="auto"/>
          <w:highlight w:val="none"/>
          <w:lang w:val="en-US" w:eastAsia="zh-CN"/>
        </w:rPr>
        <w:t>0</w:t>
      </w:r>
      <w:r>
        <w:rPr>
          <w:rFonts w:hint="eastAsia" w:cs="仿宋_GB2312"/>
          <w:color w:val="auto"/>
          <w:highlight w:val="none"/>
        </w:rPr>
        <w:t>万元；主要原因是</w:t>
      </w:r>
      <w:r>
        <w:rPr>
          <w:rFonts w:hint="eastAsia" w:cs="仿宋_GB2312"/>
          <w:color w:val="auto"/>
          <w:highlight w:val="none"/>
          <w:lang w:val="en-US" w:eastAsia="zh-CN"/>
        </w:rPr>
        <w:t>因公务车年久，维修成本、油耗高，申请新购置公务车提高工作效率</w:t>
      </w:r>
      <w:r>
        <w:rPr>
          <w:rFonts w:hint="eastAsia" w:cs="仿宋_GB2312"/>
          <w:color w:val="auto"/>
          <w:highlight w:val="none"/>
        </w:rPr>
        <w:t>。</w:t>
      </w:r>
    </w:p>
    <w:p w14:paraId="11655340">
      <w:pPr>
        <w:adjustRightInd w:val="0"/>
        <w:snapToGrid w:val="0"/>
        <w:spacing w:line="600" w:lineRule="exact"/>
        <w:ind w:firstLine="640" w:firstLineChars="200"/>
        <w:rPr>
          <w:rFonts w:hint="eastAsia" w:ascii="方正黑体_GBK" w:eastAsia="方正黑体_GBK" w:cs="仿宋_GB2312"/>
          <w:color w:val="auto"/>
          <w:highlight w:val="none"/>
        </w:rPr>
      </w:pPr>
      <w:r>
        <w:rPr>
          <w:rFonts w:hint="eastAsia" w:ascii="方正黑体_GBK" w:eastAsia="方正黑体_GBK" w:cs="仿宋_GB2312"/>
          <w:color w:val="auto"/>
          <w:highlight w:val="none"/>
        </w:rPr>
        <w:t>五、其他重要事项的情况说明</w:t>
      </w:r>
    </w:p>
    <w:p w14:paraId="13333750">
      <w:pPr>
        <w:adjustRightInd w:val="0"/>
        <w:snapToGrid w:val="0"/>
        <w:spacing w:line="600" w:lineRule="exact"/>
        <w:ind w:firstLine="640" w:firstLineChars="200"/>
        <w:rPr>
          <w:rFonts w:hint="eastAsia" w:cs="仿宋_GB2312"/>
          <w:color w:val="auto"/>
          <w:highlight w:val="none"/>
        </w:rPr>
      </w:pPr>
      <w:r>
        <w:rPr>
          <w:rFonts w:hint="eastAsia" w:cs="仿宋_GB2312"/>
          <w:color w:val="auto"/>
          <w:highlight w:val="none"/>
        </w:rPr>
        <w:t>1.机关运行经费。2025年一般公共预算财政拨款运行经费230.31万元，比上年</w:t>
      </w:r>
      <w:r>
        <w:rPr>
          <w:rFonts w:hint="eastAsia" w:cs="仿宋_GB2312"/>
          <w:color w:val="auto"/>
          <w:highlight w:val="none"/>
          <w:lang w:val="en-US" w:eastAsia="zh-CN"/>
        </w:rPr>
        <w:t>减少12.61</w:t>
      </w:r>
      <w:r>
        <w:rPr>
          <w:rFonts w:hint="eastAsia" w:cs="仿宋_GB2312"/>
          <w:color w:val="auto"/>
          <w:highlight w:val="none"/>
        </w:rPr>
        <w:t>万元，主要原因为</w:t>
      </w:r>
      <w:r>
        <w:rPr>
          <w:rFonts w:hint="eastAsia" w:cs="仿宋_GB2312"/>
          <w:color w:val="auto"/>
          <w:highlight w:val="none"/>
          <w:lang w:val="en-US" w:eastAsia="zh-CN"/>
        </w:rPr>
        <w:t>在编人员公用经费定额压减；厉行节约，严格控制机关运行经费</w:t>
      </w:r>
      <w:r>
        <w:rPr>
          <w:rFonts w:hint="eastAsia" w:cs="仿宋_GB2312"/>
          <w:color w:val="auto"/>
          <w:highlight w:val="none"/>
        </w:rPr>
        <w:t>。主要用于办公费、印刷费、邮电费、水电费、物管费、差旅费、会议费、培训费及其他商品和服务支出等。</w:t>
      </w:r>
    </w:p>
    <w:p w14:paraId="37AB968D">
      <w:pPr>
        <w:adjustRightInd w:val="0"/>
        <w:snapToGrid w:val="0"/>
        <w:spacing w:line="600" w:lineRule="exact"/>
        <w:ind w:firstLine="640" w:firstLineChars="200"/>
        <w:rPr>
          <w:rFonts w:hint="eastAsia" w:cs="仿宋_GB2312"/>
          <w:color w:val="auto"/>
          <w:highlight w:val="none"/>
        </w:rPr>
      </w:pPr>
      <w:r>
        <w:rPr>
          <w:rFonts w:hint="eastAsia" w:cs="仿宋_GB2312"/>
          <w:color w:val="auto"/>
          <w:highlight w:val="none"/>
        </w:rPr>
        <w:t>2.政府采购情况。本单位政府采购预算总额</w:t>
      </w:r>
      <w:r>
        <w:rPr>
          <w:rFonts w:hint="eastAsia" w:cs="仿宋_GB2312"/>
          <w:color w:val="auto"/>
          <w:highlight w:val="none"/>
          <w:lang w:val="en-US" w:eastAsia="zh-CN"/>
        </w:rPr>
        <w:t>317.96</w:t>
      </w:r>
      <w:r>
        <w:rPr>
          <w:rFonts w:hint="eastAsia" w:cs="仿宋_GB2312"/>
          <w:color w:val="auto"/>
          <w:highlight w:val="none"/>
        </w:rPr>
        <w:t>万元：政府采购货物预算</w:t>
      </w:r>
      <w:r>
        <w:rPr>
          <w:rFonts w:hint="eastAsia" w:cs="仿宋_GB2312"/>
          <w:color w:val="auto"/>
          <w:highlight w:val="none"/>
          <w:lang w:val="en-US" w:eastAsia="zh-CN"/>
        </w:rPr>
        <w:t>30.22</w:t>
      </w:r>
      <w:r>
        <w:rPr>
          <w:rFonts w:hint="eastAsia" w:cs="仿宋_GB2312"/>
          <w:color w:val="auto"/>
          <w:highlight w:val="none"/>
        </w:rPr>
        <w:t>万元、政府采购工程预算</w:t>
      </w:r>
      <w:r>
        <w:rPr>
          <w:rFonts w:hint="eastAsia" w:cs="仿宋_GB2312"/>
          <w:color w:val="auto"/>
          <w:highlight w:val="none"/>
          <w:lang w:val="en-US" w:eastAsia="zh-CN"/>
        </w:rPr>
        <w:t>0</w:t>
      </w:r>
      <w:r>
        <w:rPr>
          <w:rFonts w:hint="eastAsia" w:cs="仿宋_GB2312"/>
          <w:color w:val="auto"/>
          <w:highlight w:val="none"/>
        </w:rPr>
        <w:t>万元、政府采购服务预算</w:t>
      </w:r>
      <w:r>
        <w:rPr>
          <w:rFonts w:hint="eastAsia" w:cs="仿宋_GB2312"/>
          <w:color w:val="auto"/>
          <w:highlight w:val="none"/>
          <w:lang w:val="en-US" w:eastAsia="zh-CN"/>
        </w:rPr>
        <w:t>287.74</w:t>
      </w:r>
      <w:r>
        <w:rPr>
          <w:rFonts w:hint="eastAsia" w:cs="仿宋_GB2312"/>
          <w:color w:val="auto"/>
          <w:highlight w:val="none"/>
        </w:rPr>
        <w:t>万元；其中一般公共预算拨款政府采购</w:t>
      </w:r>
      <w:r>
        <w:rPr>
          <w:rFonts w:hint="eastAsia" w:cs="仿宋_GB2312"/>
          <w:color w:val="auto"/>
          <w:highlight w:val="none"/>
          <w:lang w:val="en-US" w:eastAsia="zh-CN"/>
        </w:rPr>
        <w:t>317.96</w:t>
      </w:r>
      <w:r>
        <w:rPr>
          <w:rFonts w:hint="eastAsia" w:cs="仿宋_GB2312"/>
          <w:color w:val="auto"/>
          <w:highlight w:val="none"/>
        </w:rPr>
        <w:t>万元：政府采购货物预算</w:t>
      </w:r>
      <w:r>
        <w:rPr>
          <w:rFonts w:hint="eastAsia" w:cs="仿宋_GB2312"/>
          <w:color w:val="auto"/>
          <w:highlight w:val="none"/>
          <w:lang w:val="en-US" w:eastAsia="zh-CN"/>
        </w:rPr>
        <w:t>30.22</w:t>
      </w:r>
      <w:r>
        <w:rPr>
          <w:rFonts w:hint="eastAsia" w:cs="仿宋_GB2312"/>
          <w:color w:val="auto"/>
          <w:highlight w:val="none"/>
        </w:rPr>
        <w:t>万元、政府采购工程预算</w:t>
      </w:r>
      <w:r>
        <w:rPr>
          <w:rFonts w:hint="eastAsia" w:cs="仿宋_GB2312"/>
          <w:color w:val="auto"/>
          <w:highlight w:val="none"/>
          <w:lang w:val="en-US" w:eastAsia="zh-CN"/>
        </w:rPr>
        <w:t>0</w:t>
      </w:r>
      <w:r>
        <w:rPr>
          <w:rFonts w:hint="eastAsia" w:cs="仿宋_GB2312"/>
          <w:color w:val="auto"/>
          <w:highlight w:val="none"/>
        </w:rPr>
        <w:t>万元、政府采购服务预算</w:t>
      </w:r>
      <w:r>
        <w:rPr>
          <w:rFonts w:hint="eastAsia" w:cs="仿宋_GB2312"/>
          <w:color w:val="auto"/>
          <w:highlight w:val="none"/>
          <w:lang w:val="en-US" w:eastAsia="zh-CN"/>
        </w:rPr>
        <w:t>287.74</w:t>
      </w:r>
      <w:r>
        <w:rPr>
          <w:rFonts w:hint="eastAsia" w:cs="仿宋_GB2312"/>
          <w:color w:val="auto"/>
          <w:highlight w:val="none"/>
        </w:rPr>
        <w:t>万元。</w:t>
      </w:r>
    </w:p>
    <w:p w14:paraId="49D5586C">
      <w:pPr>
        <w:adjustRightInd w:val="0"/>
        <w:snapToGrid w:val="0"/>
        <w:spacing w:line="600" w:lineRule="exact"/>
        <w:ind w:firstLine="640" w:firstLineChars="200"/>
        <w:rPr>
          <w:rFonts w:hint="eastAsia" w:cs="仿宋_GB2312"/>
          <w:color w:val="auto"/>
          <w:highlight w:val="none"/>
        </w:rPr>
      </w:pPr>
      <w:r>
        <w:rPr>
          <w:rFonts w:hint="eastAsia" w:cs="仿宋_GB2312"/>
          <w:color w:val="auto"/>
          <w:highlight w:val="none"/>
        </w:rPr>
        <w:t>3.绩效目标设置情况。2025年项目支出均实行了绩效目标管理，涉及一般公共预算当年财政拨款</w:t>
      </w:r>
      <w:r>
        <w:rPr>
          <w:rFonts w:hint="eastAsia" w:cs="仿宋_GB2312"/>
          <w:color w:val="auto"/>
          <w:highlight w:val="none"/>
          <w:lang w:val="en-US" w:eastAsia="zh-CN"/>
        </w:rPr>
        <w:t>5268.26</w:t>
      </w:r>
      <w:r>
        <w:rPr>
          <w:rFonts w:hint="eastAsia" w:cs="仿宋_GB2312"/>
          <w:color w:val="auto"/>
          <w:highlight w:val="none"/>
        </w:rPr>
        <w:t>万元。</w:t>
      </w:r>
    </w:p>
    <w:p w14:paraId="6CE7430F">
      <w:pPr>
        <w:adjustRightInd w:val="0"/>
        <w:snapToGrid w:val="0"/>
        <w:spacing w:line="600" w:lineRule="exact"/>
        <w:ind w:firstLine="640" w:firstLineChars="200"/>
        <w:rPr>
          <w:rFonts w:hint="eastAsia" w:cs="仿宋_GB2312"/>
          <w:color w:val="auto"/>
          <w:highlight w:val="none"/>
        </w:rPr>
      </w:pPr>
      <w:r>
        <w:rPr>
          <w:rFonts w:hint="eastAsia" w:cs="仿宋_GB2312"/>
          <w:color w:val="auto"/>
          <w:highlight w:val="none"/>
        </w:rPr>
        <w:t>4.国有资产占有使用情况。截止2024年12月，本单位共有车辆</w:t>
      </w:r>
      <w:r>
        <w:rPr>
          <w:rFonts w:hint="eastAsia" w:cs="仿宋_GB2312"/>
          <w:color w:val="auto"/>
          <w:highlight w:val="none"/>
          <w:lang w:val="en-US" w:eastAsia="zh-CN"/>
        </w:rPr>
        <w:t>4</w:t>
      </w:r>
      <w:r>
        <w:rPr>
          <w:rFonts w:hint="eastAsia" w:cs="仿宋_GB2312"/>
          <w:color w:val="auto"/>
          <w:highlight w:val="none"/>
        </w:rPr>
        <w:t>辆，其中一般公务用车</w:t>
      </w:r>
      <w:r>
        <w:rPr>
          <w:rFonts w:hint="eastAsia" w:cs="仿宋_GB2312"/>
          <w:color w:val="auto"/>
          <w:highlight w:val="none"/>
          <w:lang w:val="en-US" w:eastAsia="zh-CN"/>
        </w:rPr>
        <w:t>4</w:t>
      </w:r>
      <w:r>
        <w:rPr>
          <w:rFonts w:hint="eastAsia" w:cs="仿宋_GB2312"/>
          <w:color w:val="auto"/>
          <w:highlight w:val="none"/>
        </w:rPr>
        <w:t>辆、执勤执法用车</w:t>
      </w:r>
      <w:r>
        <w:rPr>
          <w:rFonts w:hint="eastAsia" w:cs="仿宋_GB2312"/>
          <w:color w:val="auto"/>
          <w:highlight w:val="none"/>
          <w:lang w:val="en-US" w:eastAsia="zh-CN"/>
        </w:rPr>
        <w:t>0</w:t>
      </w:r>
      <w:r>
        <w:rPr>
          <w:rFonts w:hint="eastAsia" w:cs="仿宋_GB2312"/>
          <w:color w:val="auto"/>
          <w:highlight w:val="none"/>
        </w:rPr>
        <w:t>辆。2025年一般公共预算安排购置车辆</w:t>
      </w:r>
      <w:r>
        <w:rPr>
          <w:rFonts w:hint="eastAsia" w:cs="仿宋_GB2312"/>
          <w:color w:val="auto"/>
          <w:highlight w:val="none"/>
          <w:lang w:val="en-US" w:eastAsia="zh-CN"/>
        </w:rPr>
        <w:t>1</w:t>
      </w:r>
      <w:r>
        <w:rPr>
          <w:rFonts w:hint="eastAsia" w:cs="仿宋_GB2312"/>
          <w:color w:val="auto"/>
          <w:highlight w:val="none"/>
        </w:rPr>
        <w:t>辆，其中一般公务用车</w:t>
      </w:r>
      <w:r>
        <w:rPr>
          <w:rFonts w:hint="eastAsia" w:cs="仿宋_GB2312"/>
          <w:color w:val="auto"/>
          <w:highlight w:val="none"/>
          <w:lang w:val="en-US" w:eastAsia="zh-CN"/>
        </w:rPr>
        <w:t>1</w:t>
      </w:r>
      <w:r>
        <w:rPr>
          <w:rFonts w:hint="eastAsia" w:cs="仿宋_GB2312"/>
          <w:color w:val="auto"/>
          <w:highlight w:val="none"/>
        </w:rPr>
        <w:t>辆、执勤执法用车</w:t>
      </w:r>
      <w:r>
        <w:rPr>
          <w:rFonts w:hint="eastAsia" w:cs="仿宋_GB2312"/>
          <w:color w:val="auto"/>
          <w:highlight w:val="none"/>
          <w:lang w:val="en-US" w:eastAsia="zh-CN"/>
        </w:rPr>
        <w:t>0</w:t>
      </w:r>
      <w:r>
        <w:rPr>
          <w:rFonts w:hint="eastAsia" w:cs="仿宋_GB2312"/>
          <w:color w:val="auto"/>
          <w:highlight w:val="none"/>
        </w:rPr>
        <w:t>辆。</w:t>
      </w:r>
    </w:p>
    <w:p w14:paraId="5F3AEEC3">
      <w:pPr>
        <w:adjustRightInd w:val="0"/>
        <w:snapToGrid w:val="0"/>
        <w:spacing w:line="600" w:lineRule="exact"/>
        <w:ind w:firstLine="640" w:firstLineChars="200"/>
        <w:rPr>
          <w:rFonts w:hint="eastAsia" w:eastAsia="方正黑体_GBK" w:cs="仿宋_GB2312"/>
          <w:color w:val="auto"/>
          <w:highlight w:val="none"/>
        </w:rPr>
      </w:pPr>
      <w:r>
        <w:rPr>
          <w:rFonts w:hint="eastAsia" w:eastAsia="方正黑体_GBK" w:cs="仿宋_GB2312"/>
          <w:color w:val="auto"/>
          <w:highlight w:val="none"/>
        </w:rPr>
        <w:t>六</w:t>
      </w:r>
      <w:r>
        <w:rPr>
          <w:rFonts w:eastAsia="方正黑体_GBK" w:cs="仿宋_GB2312"/>
          <w:color w:val="auto"/>
          <w:highlight w:val="none"/>
        </w:rPr>
        <w:t>、</w:t>
      </w:r>
      <w:r>
        <w:rPr>
          <w:rFonts w:hint="eastAsia" w:eastAsia="方正黑体_GBK" w:cs="仿宋_GB2312"/>
          <w:color w:val="auto"/>
          <w:highlight w:val="none"/>
        </w:rPr>
        <w:t>专业性名词解释</w:t>
      </w:r>
    </w:p>
    <w:p w14:paraId="7911363D">
      <w:pPr>
        <w:pStyle w:val="6"/>
        <w:tabs>
          <w:tab w:val="center" w:pos="4153"/>
          <w:tab w:val="left" w:pos="7275"/>
        </w:tabs>
        <w:adjustRightInd w:val="0"/>
        <w:snapToGrid w:val="0"/>
        <w:spacing w:line="600" w:lineRule="exact"/>
        <w:ind w:firstLine="640"/>
        <w:jc w:val="left"/>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（以下为常见专业名词解释，单位应根据实际情况进行解释和增减。）</w:t>
      </w:r>
    </w:p>
    <w:p w14:paraId="14FC9F2B">
      <w:pPr>
        <w:pStyle w:val="6"/>
        <w:tabs>
          <w:tab w:val="center" w:pos="4153"/>
          <w:tab w:val="left" w:pos="7275"/>
        </w:tabs>
        <w:adjustRightInd w:val="0"/>
        <w:snapToGrid w:val="0"/>
        <w:spacing w:line="600" w:lineRule="exact"/>
        <w:ind w:firstLine="640"/>
        <w:jc w:val="left"/>
        <w:rPr>
          <w:rFonts w:hint="eastAsia" w:ascii="Times New Roman" w:hAnsi="Times New Roman" w:eastAsia="方正仿宋_GBK"/>
          <w:color w:val="auto"/>
          <w:sz w:val="32"/>
          <w:szCs w:val="32"/>
          <w:highlight w:val="none"/>
        </w:rPr>
      </w:pPr>
      <w:r>
        <w:rPr>
          <w:rFonts w:hint="eastAsia" w:ascii="方正楷体_GBK" w:hAnsi="Times New Roman" w:eastAsia="方正楷体_GBK"/>
          <w:color w:val="auto"/>
          <w:sz w:val="32"/>
          <w:szCs w:val="32"/>
          <w:highlight w:val="none"/>
        </w:rPr>
        <w:t>（一）财政拨款收入：</w:t>
      </w:r>
      <w:r>
        <w:rPr>
          <w:rFonts w:hint="eastAsia" w:ascii="Times New Roman" w:hAnsi="Times New Roman" w:eastAsia="方正仿宋_GBK"/>
          <w:color w:val="auto"/>
          <w:sz w:val="32"/>
          <w:szCs w:val="32"/>
          <w:highlight w:val="none"/>
        </w:rPr>
        <w:t>指本年度从本级财政部门取得的财政拨款，包括一般公共预算财政拨款和政府性基金预算财政拨款。</w:t>
      </w:r>
    </w:p>
    <w:p w14:paraId="1EE4FC43">
      <w:pPr>
        <w:pStyle w:val="6"/>
        <w:tabs>
          <w:tab w:val="center" w:pos="4153"/>
          <w:tab w:val="left" w:pos="7275"/>
        </w:tabs>
        <w:adjustRightInd w:val="0"/>
        <w:snapToGrid w:val="0"/>
        <w:spacing w:line="600" w:lineRule="exact"/>
        <w:ind w:firstLine="640"/>
        <w:jc w:val="left"/>
        <w:rPr>
          <w:rFonts w:hint="eastAsia" w:ascii="Times New Roman" w:hAnsi="Times New Roman" w:eastAsia="方正仿宋_GBK"/>
          <w:color w:val="auto"/>
          <w:sz w:val="32"/>
          <w:szCs w:val="32"/>
          <w:highlight w:val="none"/>
        </w:rPr>
      </w:pPr>
      <w:r>
        <w:rPr>
          <w:rFonts w:hint="eastAsia" w:ascii="方正楷体_GBK" w:hAnsi="Times New Roman" w:eastAsia="方正楷体_GBK"/>
          <w:color w:val="auto"/>
          <w:sz w:val="32"/>
          <w:szCs w:val="32"/>
          <w:highlight w:val="none"/>
        </w:rPr>
        <w:t>（二）其他收入：</w:t>
      </w:r>
      <w:r>
        <w:rPr>
          <w:rFonts w:hint="eastAsia" w:ascii="Times New Roman" w:hAnsi="Times New Roman" w:eastAsia="方正仿宋_GBK"/>
          <w:color w:val="auto"/>
          <w:sz w:val="32"/>
          <w:szCs w:val="32"/>
          <w:highlight w:val="none"/>
        </w:rPr>
        <w:t>指单位取得的除“财政拨款收入”、“事业收入”、“经营收入”等以外的收入。</w:t>
      </w:r>
    </w:p>
    <w:p w14:paraId="4BF8B492">
      <w:pPr>
        <w:pStyle w:val="6"/>
        <w:tabs>
          <w:tab w:val="center" w:pos="4153"/>
          <w:tab w:val="left" w:pos="7275"/>
        </w:tabs>
        <w:adjustRightInd w:val="0"/>
        <w:snapToGrid w:val="0"/>
        <w:spacing w:line="600" w:lineRule="exact"/>
        <w:ind w:firstLine="640"/>
        <w:jc w:val="left"/>
        <w:rPr>
          <w:rFonts w:hint="eastAsia" w:ascii="Times New Roman" w:hAnsi="Times New Roman" w:eastAsia="方正仿宋_GBK"/>
          <w:color w:val="auto"/>
          <w:sz w:val="32"/>
          <w:szCs w:val="32"/>
          <w:highlight w:val="none"/>
        </w:rPr>
      </w:pPr>
      <w:r>
        <w:rPr>
          <w:rFonts w:hint="eastAsia" w:ascii="方正楷体_GBK" w:hAnsi="Times New Roman" w:eastAsia="方正楷体_GBK"/>
          <w:color w:val="auto"/>
          <w:sz w:val="32"/>
          <w:szCs w:val="32"/>
          <w:highlight w:val="none"/>
        </w:rPr>
        <w:t>（三）基本支出：</w:t>
      </w:r>
      <w:r>
        <w:rPr>
          <w:rFonts w:hint="eastAsia" w:ascii="Times New Roman" w:hAnsi="Times New Roman" w:eastAsia="方正仿宋_GBK"/>
          <w:color w:val="auto"/>
          <w:sz w:val="32"/>
          <w:szCs w:val="32"/>
          <w:highlight w:val="none"/>
        </w:rPr>
        <w:t>指为保障机构正常运转、完成日常工作任务而发生的人员经费和公用经费。</w:t>
      </w:r>
    </w:p>
    <w:p w14:paraId="66037DB0">
      <w:pPr>
        <w:pStyle w:val="6"/>
        <w:tabs>
          <w:tab w:val="center" w:pos="4153"/>
          <w:tab w:val="left" w:pos="7275"/>
        </w:tabs>
        <w:adjustRightInd w:val="0"/>
        <w:snapToGrid w:val="0"/>
        <w:spacing w:line="600" w:lineRule="exact"/>
        <w:ind w:firstLine="640"/>
        <w:jc w:val="left"/>
        <w:rPr>
          <w:rFonts w:hint="eastAsia" w:ascii="Times New Roman" w:hAnsi="Times New Roman" w:eastAsia="方正仿宋_GBK"/>
          <w:color w:val="auto"/>
          <w:sz w:val="32"/>
          <w:szCs w:val="32"/>
          <w:highlight w:val="none"/>
        </w:rPr>
      </w:pPr>
      <w:r>
        <w:rPr>
          <w:rFonts w:hint="eastAsia" w:ascii="方正楷体_GBK" w:hAnsi="Times New Roman" w:eastAsia="方正楷体_GBK"/>
          <w:color w:val="auto"/>
          <w:sz w:val="32"/>
          <w:szCs w:val="32"/>
          <w:highlight w:val="none"/>
        </w:rPr>
        <w:t>（四）项目支出：</w:t>
      </w:r>
      <w:r>
        <w:rPr>
          <w:rFonts w:hint="eastAsia" w:ascii="Times New Roman" w:hAnsi="Times New Roman" w:eastAsia="方正仿宋_GBK"/>
          <w:color w:val="auto"/>
          <w:sz w:val="32"/>
          <w:szCs w:val="32"/>
          <w:highlight w:val="none"/>
        </w:rPr>
        <w:t>指在基本支出之外为完成特定行政任务和事业发展目标所发生的支出。</w:t>
      </w:r>
    </w:p>
    <w:p w14:paraId="7EDCE93C">
      <w:pPr>
        <w:adjustRightInd w:val="0"/>
        <w:snapToGrid w:val="0"/>
        <w:spacing w:line="600" w:lineRule="exact"/>
        <w:ind w:firstLine="640" w:firstLineChars="200"/>
        <w:rPr>
          <w:rFonts w:hint="eastAsia" w:cs="仿宋_GB2312"/>
          <w:color w:val="auto"/>
          <w:highlight w:val="none"/>
        </w:rPr>
      </w:pPr>
      <w:r>
        <w:rPr>
          <w:rFonts w:hint="eastAsia" w:ascii="方正楷体_GBK" w:eastAsia="方正楷体_GBK"/>
          <w:color w:val="auto"/>
          <w:szCs w:val="32"/>
          <w:highlight w:val="none"/>
        </w:rPr>
        <w:t>（五）“三公”经费：</w:t>
      </w:r>
      <w:r>
        <w:rPr>
          <w:rFonts w:hint="eastAsia"/>
          <w:color w:val="auto"/>
          <w:szCs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2F9061">
      <w:pPr>
        <w:adjustRightInd w:val="0"/>
        <w:snapToGrid w:val="0"/>
        <w:spacing w:line="600" w:lineRule="exact"/>
        <w:ind w:firstLine="643" w:firstLineChars="200"/>
        <w:rPr>
          <w:rFonts w:hint="eastAsia" w:cs="仿宋_GB2312"/>
          <w:b/>
          <w:color w:val="auto"/>
          <w:highlight w:val="none"/>
        </w:rPr>
      </w:pPr>
    </w:p>
    <w:p w14:paraId="289D183E">
      <w:pPr>
        <w:adjustRightInd w:val="0"/>
        <w:snapToGrid w:val="0"/>
        <w:spacing w:line="600" w:lineRule="exact"/>
        <w:ind w:firstLine="640" w:firstLineChars="200"/>
        <w:rPr>
          <w:rFonts w:hint="default" w:eastAsia="方正仿宋_GBK"/>
          <w:color w:val="auto"/>
          <w:highlight w:val="none"/>
          <w:lang w:val="en-US" w:eastAsia="zh-CN"/>
        </w:rPr>
      </w:pPr>
      <w:r>
        <w:rPr>
          <w:rFonts w:hint="eastAsia" w:cs="仿宋_GB2312"/>
          <w:color w:val="auto"/>
          <w:highlight w:val="none"/>
        </w:rPr>
        <w:t>部门预算公开联系人：</w:t>
      </w:r>
      <w:r>
        <w:rPr>
          <w:rFonts w:hint="eastAsia" w:cs="仿宋_GB2312"/>
          <w:color w:val="auto"/>
          <w:highlight w:val="none"/>
          <w:lang w:val="en-US" w:eastAsia="zh-CN"/>
        </w:rPr>
        <w:t>周嘉辰子</w:t>
      </w:r>
      <w:r>
        <w:rPr>
          <w:rFonts w:hint="eastAsia" w:cs="仿宋_GB2312"/>
          <w:color w:val="auto"/>
          <w:highlight w:val="none"/>
        </w:rPr>
        <w:t xml:space="preserve">  联系方式：</w:t>
      </w:r>
      <w:r>
        <w:rPr>
          <w:rFonts w:hint="eastAsia" w:cs="仿宋_GB2312"/>
          <w:color w:val="auto"/>
          <w:highlight w:val="none"/>
          <w:lang w:val="en-US" w:eastAsia="zh-CN"/>
        </w:rPr>
        <w:t>68602895</w:t>
      </w:r>
    </w:p>
    <w:p w14:paraId="76FD3DEA">
      <w:pPr>
        <w:adjustRightInd w:val="0"/>
        <w:snapToGrid w:val="0"/>
        <w:spacing w:line="600" w:lineRule="exact"/>
        <w:ind w:firstLine="643" w:firstLineChars="200"/>
        <w:rPr>
          <w:rFonts w:hint="eastAsia"/>
          <w:b/>
          <w:color w:val="auto"/>
          <w:highlight w:val="none"/>
        </w:rPr>
      </w:pPr>
    </w:p>
    <w:p w14:paraId="473EF1A8">
      <w:pPr>
        <w:pStyle w:val="3"/>
        <w:tabs>
          <w:tab w:val="left" w:pos="1560"/>
        </w:tabs>
        <w:adjustRightInd w:val="0"/>
        <w:snapToGrid w:val="0"/>
        <w:spacing w:line="600" w:lineRule="exact"/>
        <w:ind w:left="0" w:leftChars="0" w:right="0" w:rightChars="0" w:firstLine="640"/>
        <w:rPr>
          <w:rFonts w:hint="eastAsia" w:eastAsia="方正仿宋_GBK"/>
          <w:sz w:val="32"/>
          <w:szCs w:val="32"/>
          <w:lang w:val="en-US" w:eastAsia="zh-CN"/>
        </w:rPr>
      </w:pPr>
      <w:r>
        <w:rPr>
          <w:rFonts w:hint="eastAsia" w:eastAsia="方正仿宋_GBK"/>
          <w:color w:val="auto"/>
          <w:sz w:val="32"/>
          <w:szCs w:val="32"/>
          <w:highlight w:val="none"/>
        </w:rPr>
        <w:t>附表：</w:t>
      </w:r>
      <w:r>
        <w:rPr>
          <w:rFonts w:hint="eastAsia" w:eastAsia="方正仿宋_GBK"/>
          <w:sz w:val="32"/>
          <w:szCs w:val="32"/>
        </w:rPr>
        <w:t>1.</w:t>
      </w:r>
      <w:r>
        <w:rPr>
          <w:rFonts w:hint="eastAsia" w:eastAsia="方正仿宋_GBK"/>
          <w:sz w:val="32"/>
          <w:szCs w:val="32"/>
          <w:lang w:eastAsia="zh-CN"/>
        </w:rPr>
        <w:t>重庆市九龙坡区人民政府渝州路街道办事处财</w:t>
      </w:r>
      <w:r>
        <w:rPr>
          <w:rFonts w:hint="eastAsia" w:eastAsia="方正仿宋_GBK"/>
          <w:sz w:val="32"/>
          <w:szCs w:val="32"/>
          <w:lang w:val="en-US" w:eastAsia="zh-CN"/>
        </w:rPr>
        <w:t xml:space="preserve">                        </w:t>
      </w:r>
    </w:p>
    <w:p w14:paraId="14EB2213">
      <w:pPr>
        <w:pStyle w:val="3"/>
        <w:tabs>
          <w:tab w:val="left" w:pos="1560"/>
        </w:tabs>
        <w:adjustRightInd w:val="0"/>
        <w:snapToGrid w:val="0"/>
        <w:spacing w:line="600" w:lineRule="exact"/>
        <w:ind w:left="0" w:leftChars="0" w:right="0" w:rightChars="0" w:firstLine="1600" w:firstLineChars="500"/>
        <w:rPr>
          <w:rFonts w:hint="eastAsia" w:eastAsia="方正仿宋_GBK"/>
          <w:sz w:val="32"/>
          <w:szCs w:val="32"/>
          <w:lang w:val="en-US" w:eastAsia="zh-CN"/>
        </w:rPr>
      </w:pPr>
      <w:r>
        <w:rPr>
          <w:rFonts w:hint="eastAsia" w:eastAsia="方正仿宋_GBK"/>
          <w:sz w:val="32"/>
          <w:szCs w:val="32"/>
          <w:lang w:eastAsia="zh-CN"/>
        </w:rPr>
        <w:t>政拨款收支总表</w:t>
      </w:r>
    </w:p>
    <w:p w14:paraId="3E43C65D">
      <w:pPr>
        <w:pStyle w:val="3"/>
        <w:tabs>
          <w:tab w:val="left" w:pos="1560"/>
        </w:tabs>
        <w:adjustRightInd w:val="0"/>
        <w:snapToGrid w:val="0"/>
        <w:spacing w:line="600" w:lineRule="exact"/>
        <w:ind w:left="1600" w:leftChars="500" w:right="0" w:rightChars="0" w:firstLine="0" w:firstLineChars="0"/>
        <w:rPr>
          <w:rFonts w:hint="eastAsia" w:eastAsia="方正仿宋_GBK"/>
          <w:sz w:val="32"/>
          <w:szCs w:val="32"/>
          <w:lang w:val="en-US" w:eastAsia="zh-CN"/>
        </w:rPr>
      </w:pPr>
      <w:r>
        <w:rPr>
          <w:rFonts w:hint="eastAsia" w:eastAsia="方正仿宋_GBK"/>
          <w:sz w:val="32"/>
          <w:szCs w:val="32"/>
          <w:lang w:val="en-US" w:eastAsia="zh-CN"/>
        </w:rPr>
        <w:t>2.重庆市九龙坡区人民政府渝州路街道办事处一般公共预算财政拨款支出预算表</w:t>
      </w:r>
    </w:p>
    <w:p w14:paraId="5FB2ACE7">
      <w:pPr>
        <w:pStyle w:val="3"/>
        <w:numPr>
          <w:ilvl w:val="0"/>
          <w:numId w:val="0"/>
        </w:numPr>
        <w:adjustRightInd w:val="0"/>
        <w:snapToGrid w:val="0"/>
        <w:spacing w:line="600" w:lineRule="exact"/>
        <w:ind w:leftChars="500" w:right="0" w:rightChars="0"/>
        <w:jc w:val="left"/>
        <w:rPr>
          <w:rFonts w:hint="eastAsia" w:eastAsia="方正仿宋_GBK"/>
          <w:sz w:val="32"/>
          <w:szCs w:val="32"/>
        </w:rPr>
      </w:pPr>
      <w:r>
        <w:rPr>
          <w:rFonts w:hint="eastAsia" w:eastAsia="方正仿宋_GBK"/>
          <w:sz w:val="32"/>
          <w:szCs w:val="32"/>
        </w:rPr>
        <w:t>3.</w:t>
      </w:r>
      <w:r>
        <w:rPr>
          <w:rFonts w:hint="eastAsia" w:eastAsia="方正仿宋_GBK"/>
          <w:sz w:val="32"/>
          <w:szCs w:val="32"/>
          <w:lang w:val="en-US" w:eastAsia="zh-CN"/>
        </w:rPr>
        <w:t>重庆市九龙坡区人民政府渝州路街道办事处一般公共预算财政拨款基本支出预算表</w:t>
      </w:r>
    </w:p>
    <w:p w14:paraId="6BDC0FF1">
      <w:pPr>
        <w:pStyle w:val="3"/>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4.</w:t>
      </w:r>
      <w:r>
        <w:rPr>
          <w:rFonts w:hint="eastAsia" w:eastAsia="方正仿宋_GBK"/>
          <w:sz w:val="32"/>
          <w:szCs w:val="32"/>
          <w:lang w:val="en-US" w:eastAsia="zh-CN"/>
        </w:rPr>
        <w:t>重庆市九龙坡区人民政府渝州路街道办事处一般公共预算财政拨款基本支出预算表</w:t>
      </w:r>
    </w:p>
    <w:p w14:paraId="40D7675B">
      <w:pPr>
        <w:pStyle w:val="3"/>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5.</w:t>
      </w:r>
      <w:r>
        <w:rPr>
          <w:rFonts w:hint="eastAsia" w:eastAsia="方正仿宋_GBK"/>
          <w:sz w:val="32"/>
          <w:szCs w:val="32"/>
          <w:lang w:val="en-US" w:eastAsia="zh-CN"/>
        </w:rPr>
        <w:t>重庆市九龙坡区人民政府渝州路街道办事处一般公共预算“三公”经费支出表</w:t>
      </w:r>
    </w:p>
    <w:p w14:paraId="251FF4FF">
      <w:pPr>
        <w:adjustRightInd w:val="0"/>
        <w:snapToGrid w:val="0"/>
        <w:spacing w:line="600" w:lineRule="exact"/>
        <w:ind w:left="1600" w:leftChars="500" w:firstLine="0" w:firstLineChars="0"/>
        <w:jc w:val="left"/>
        <w:rPr>
          <w:rFonts w:hint="eastAsia"/>
          <w:szCs w:val="32"/>
        </w:rPr>
      </w:pPr>
      <w:r>
        <w:rPr>
          <w:rFonts w:hint="eastAsia"/>
          <w:szCs w:val="32"/>
        </w:rPr>
        <w:t>6.</w:t>
      </w:r>
      <w:r>
        <w:rPr>
          <w:rFonts w:hint="eastAsia" w:ascii="Times New Roman" w:hAnsi="Times New Roman" w:eastAsia="方正仿宋_GBK" w:cs="Times New Roman"/>
          <w:kern w:val="2"/>
          <w:sz w:val="32"/>
          <w:szCs w:val="32"/>
          <w:lang w:val="en-US" w:eastAsia="zh-CN" w:bidi="ar-SA"/>
        </w:rPr>
        <w:t>重庆市九龙坡区人民政府渝州路街道办事处政府性基金预算支出表</w:t>
      </w:r>
    </w:p>
    <w:p w14:paraId="3AC1C721">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7.</w:t>
      </w:r>
      <w:r>
        <w:rPr>
          <w:rFonts w:hint="eastAsia" w:ascii="Times New Roman" w:hAnsi="Times New Roman" w:eastAsia="方正仿宋_GBK" w:cs="Times New Roman"/>
          <w:kern w:val="2"/>
          <w:sz w:val="32"/>
          <w:szCs w:val="32"/>
          <w:lang w:val="en-US" w:eastAsia="zh-CN" w:bidi="ar-SA"/>
        </w:rPr>
        <w:t>重庆市九龙坡区人民政府渝州路街道办事处部门收支总表</w:t>
      </w:r>
    </w:p>
    <w:p w14:paraId="0A7C4818">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8"/>
          <w:szCs w:val="38"/>
          <w:u w:val="none"/>
          <w:lang w:val="en-US" w:eastAsia="zh-CN" w:bidi="ar"/>
        </w:rPr>
      </w:pPr>
      <w:r>
        <w:rPr>
          <w:rFonts w:hint="eastAsia"/>
          <w:szCs w:val="32"/>
        </w:rPr>
        <w:t>8.</w:t>
      </w:r>
      <w:r>
        <w:rPr>
          <w:rFonts w:hint="eastAsia" w:ascii="Times New Roman" w:hAnsi="Times New Roman" w:eastAsia="方正仿宋_GBK" w:cs="Times New Roman"/>
          <w:kern w:val="2"/>
          <w:sz w:val="32"/>
          <w:szCs w:val="32"/>
          <w:lang w:val="en-US" w:eastAsia="zh-CN" w:bidi="ar-SA"/>
        </w:rPr>
        <w:t>重庆市九龙坡区人民政府渝州路街道办事处部门收入总表</w:t>
      </w:r>
    </w:p>
    <w:p w14:paraId="0969B593">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9.</w:t>
      </w:r>
      <w:r>
        <w:rPr>
          <w:rFonts w:hint="eastAsia" w:ascii="Times New Roman" w:hAnsi="Times New Roman" w:eastAsia="方正仿宋_GBK" w:cs="Times New Roman"/>
          <w:kern w:val="2"/>
          <w:sz w:val="32"/>
          <w:szCs w:val="32"/>
          <w:lang w:val="en-US" w:eastAsia="zh-CN" w:bidi="ar-SA"/>
        </w:rPr>
        <w:t>重庆市九龙坡区人民政府渝州路街道办事处部门支出总表</w:t>
      </w:r>
    </w:p>
    <w:p w14:paraId="489DFDD8">
      <w:pPr>
        <w:adjustRightInd w:val="0"/>
        <w:snapToGrid w:val="0"/>
        <w:spacing w:line="600" w:lineRule="exact"/>
        <w:ind w:left="1600" w:leftChars="500"/>
        <w:jc w:val="left"/>
        <w:rPr>
          <w:rFonts w:hint="eastAsia" w:ascii="Times New Roman" w:hAnsi="Times New Roman" w:eastAsia="方正仿宋_GBK" w:cs="Times New Roman"/>
          <w:kern w:val="2"/>
          <w:sz w:val="32"/>
          <w:szCs w:val="32"/>
          <w:lang w:val="en-US" w:eastAsia="zh-CN" w:bidi="ar-SA"/>
        </w:rPr>
      </w:pPr>
      <w:r>
        <w:rPr>
          <w:rFonts w:hint="eastAsia"/>
          <w:szCs w:val="32"/>
        </w:rPr>
        <w:t>10.</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59745973">
      <w:pPr>
        <w:adjustRightInd w:val="0"/>
        <w:snapToGrid w:val="0"/>
        <w:spacing w:line="600" w:lineRule="exact"/>
        <w:ind w:left="1600" w:leftChars="500"/>
        <w:jc w:val="left"/>
        <w:rPr>
          <w:rFonts w:hint="eastAsia"/>
          <w:szCs w:val="32"/>
        </w:rPr>
      </w:pPr>
      <w:r>
        <w:rPr>
          <w:rFonts w:hint="eastAsia"/>
          <w:szCs w:val="32"/>
        </w:rPr>
        <w:t>11.</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0D4CA213">
      <w:pPr>
        <w:pStyle w:val="3"/>
        <w:tabs>
          <w:tab w:val="left" w:pos="1560"/>
        </w:tabs>
        <w:adjustRightInd w:val="0"/>
        <w:snapToGrid w:val="0"/>
        <w:spacing w:line="600" w:lineRule="exact"/>
        <w:ind w:left="0" w:leftChars="0" w:right="0" w:rightChars="0" w:firstLine="1600" w:firstLineChars="500"/>
        <w:rPr>
          <w:rFonts w:hint="eastAsia" w:eastAsia="方正仿宋_GBK"/>
          <w:sz w:val="32"/>
          <w:szCs w:val="32"/>
        </w:rPr>
      </w:pPr>
      <w:r>
        <w:rPr>
          <w:rFonts w:hint="eastAsia" w:eastAsia="方正仿宋_GBK"/>
          <w:sz w:val="32"/>
          <w:szCs w:val="32"/>
        </w:rPr>
        <w:t>12.</w:t>
      </w:r>
      <w:r>
        <w:rPr>
          <w:rFonts w:hint="eastAsia" w:ascii="Times New Roman" w:hAnsi="Times New Roman" w:eastAsia="方正仿宋_GBK" w:cs="Times New Roman"/>
          <w:kern w:val="2"/>
          <w:sz w:val="32"/>
          <w:szCs w:val="32"/>
          <w:lang w:val="en-US" w:eastAsia="zh-CN" w:bidi="ar-SA"/>
        </w:rPr>
        <w:t>政府采购明细表</w:t>
      </w:r>
    </w:p>
    <w:p w14:paraId="72B8138B">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szCs w:val="32"/>
          <w:lang w:val="en-US" w:eastAsia="zh-CN"/>
        </w:rPr>
        <w:t xml:space="preserve">         </w:t>
      </w:r>
      <w:r>
        <w:rPr>
          <w:rFonts w:hint="eastAsia"/>
          <w:szCs w:val="32"/>
        </w:rPr>
        <w:t>13.</w:t>
      </w:r>
      <w:r>
        <w:rPr>
          <w:rFonts w:hint="eastAsia" w:ascii="Times New Roman" w:hAnsi="Times New Roman" w:eastAsia="方正仿宋_GBK" w:cs="Times New Roman"/>
          <w:kern w:val="2"/>
          <w:sz w:val="32"/>
          <w:szCs w:val="32"/>
          <w:lang w:val="en-US" w:eastAsia="zh-CN" w:bidi="ar-SA"/>
        </w:rPr>
        <w:t>2025年九龙坡区渝州路街道项目绩效目标表</w:t>
      </w:r>
    </w:p>
    <w:p w14:paraId="71B3CB8A">
      <w:pPr>
        <w:adjustRightInd w:val="0"/>
        <w:snapToGrid w:val="0"/>
        <w:spacing w:line="600" w:lineRule="exact"/>
        <w:ind w:firstLine="1600" w:firstLineChars="500"/>
        <w:rPr>
          <w:rFonts w:hint="eastAsia"/>
          <w:color w:val="auto"/>
          <w:szCs w:val="32"/>
          <w:highlight w:val="none"/>
        </w:rPr>
      </w:pPr>
    </w:p>
    <w:p w14:paraId="2A3283FC">
      <w:pPr>
        <w:rPr>
          <w:color w:val="auto"/>
          <w:highlight w:val="none"/>
        </w:rPr>
      </w:pPr>
    </w:p>
    <w:p w14:paraId="0896F53B">
      <w:pPr>
        <w:rPr>
          <w:color w:val="auto"/>
          <w:highlight w:val="none"/>
        </w:rPr>
      </w:pPr>
    </w:p>
    <w:p w14:paraId="3566D550">
      <w:pPr>
        <w:rPr>
          <w:color w:val="auto"/>
          <w:highlight w:val="none"/>
        </w:rPr>
      </w:pPr>
    </w:p>
    <w:p w14:paraId="6264118D">
      <w:pPr>
        <w:rPr>
          <w:color w:val="auto"/>
          <w:highlight w:val="none"/>
        </w:rPr>
      </w:pPr>
    </w:p>
    <w:p w14:paraId="4001E187">
      <w:pPr>
        <w:rPr>
          <w:color w:val="auto"/>
          <w:highlight w:val="none"/>
        </w:rPr>
      </w:pPr>
    </w:p>
    <w:p w14:paraId="78B4B7AB">
      <w:pPr>
        <w:rPr>
          <w:color w:val="auto"/>
          <w:highlight w:val="none"/>
        </w:rPr>
      </w:pPr>
    </w:p>
    <w:p w14:paraId="093E7F54">
      <w:pPr>
        <w:rPr>
          <w:color w:val="auto"/>
          <w:highlight w:val="none"/>
        </w:rPr>
      </w:pPr>
    </w:p>
    <w:p w14:paraId="0A45E839">
      <w:pPr>
        <w:rPr>
          <w:color w:val="auto"/>
          <w:highlight w:val="none"/>
        </w:rPr>
      </w:pPr>
    </w:p>
    <w:p w14:paraId="54E547AD">
      <w:pPr>
        <w:rPr>
          <w:color w:val="auto"/>
          <w:highlight w:val="none"/>
        </w:rPr>
      </w:pPr>
    </w:p>
    <w:p w14:paraId="3AD907EE">
      <w:pPr>
        <w:rPr>
          <w:color w:val="auto"/>
          <w:highlight w:val="none"/>
        </w:rPr>
      </w:pPr>
    </w:p>
    <w:p w14:paraId="5A488EC1">
      <w:pPr>
        <w:rPr>
          <w:color w:val="auto"/>
          <w:highlight w:val="none"/>
        </w:rPr>
      </w:pPr>
    </w:p>
    <w:p w14:paraId="68DFB5B5">
      <w:pP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附件1</w:t>
      </w:r>
    </w:p>
    <w:tbl>
      <w:tblPr>
        <w:tblStyle w:val="4"/>
        <w:tblW w:w="9520" w:type="dxa"/>
        <w:jc w:val="center"/>
        <w:shd w:val="clear" w:color="auto" w:fill="auto"/>
        <w:tblLayout w:type="fixed"/>
        <w:tblCellMar>
          <w:top w:w="0" w:type="dxa"/>
          <w:left w:w="0" w:type="dxa"/>
          <w:bottom w:w="0" w:type="dxa"/>
          <w:right w:w="0" w:type="dxa"/>
        </w:tblCellMar>
      </w:tblPr>
      <w:tblGrid>
        <w:gridCol w:w="2034"/>
        <w:gridCol w:w="1130"/>
        <w:gridCol w:w="2221"/>
        <w:gridCol w:w="916"/>
        <w:gridCol w:w="915"/>
        <w:gridCol w:w="1130"/>
        <w:gridCol w:w="1174"/>
      </w:tblGrid>
      <w:tr w14:paraId="6ED3283D">
        <w:tblPrEx>
          <w:shd w:val="clear" w:color="auto" w:fill="auto"/>
          <w:tblCellMar>
            <w:top w:w="0" w:type="dxa"/>
            <w:left w:w="0" w:type="dxa"/>
            <w:bottom w:w="0" w:type="dxa"/>
            <w:right w:w="0" w:type="dxa"/>
          </w:tblCellMar>
        </w:tblPrEx>
        <w:trPr>
          <w:trHeight w:val="1156" w:hRule="atLeast"/>
          <w:jc w:val="center"/>
        </w:trPr>
        <w:tc>
          <w:tcPr>
            <w:tcW w:w="9520" w:type="dxa"/>
            <w:gridSpan w:val="7"/>
            <w:tcBorders>
              <w:top w:val="nil"/>
              <w:left w:val="nil"/>
              <w:bottom w:val="nil"/>
              <w:right w:val="nil"/>
            </w:tcBorders>
            <w:shd w:val="clear" w:color="auto" w:fill="auto"/>
            <w:tcMar>
              <w:top w:w="15" w:type="dxa"/>
              <w:left w:w="15" w:type="dxa"/>
              <w:right w:w="15" w:type="dxa"/>
            </w:tcMar>
            <w:vAlign w:val="center"/>
          </w:tcPr>
          <w:p w14:paraId="23872894">
            <w:pPr>
              <w:keepNext w:val="0"/>
              <w:keepLines w:val="0"/>
              <w:widowControl/>
              <w:suppressLineNumbers w:val="0"/>
              <w:jc w:val="center"/>
              <w:textAlignment w:val="center"/>
              <w:rPr>
                <w:rFonts w:ascii="方正小标宋_GBK" w:hAnsi="方正小标宋_GBK" w:eastAsia="方正小标宋_GBK" w:cs="方正小标宋_GBK"/>
                <w:i w:val="0"/>
                <w:color w:val="auto"/>
                <w:sz w:val="34"/>
                <w:szCs w:val="34"/>
                <w:highlight w:val="none"/>
                <w:u w:val="none"/>
              </w:rPr>
            </w:pPr>
            <w:r>
              <w:rPr>
                <w:rFonts w:hint="eastAsia" w:ascii="方正小标宋_GBK" w:hAnsi="方正小标宋_GBK" w:eastAsia="方正小标宋_GBK" w:cs="方正小标宋_GBK"/>
                <w:i w:val="0"/>
                <w:color w:val="auto"/>
                <w:kern w:val="0"/>
                <w:sz w:val="34"/>
                <w:szCs w:val="34"/>
                <w:highlight w:val="none"/>
                <w:u w:val="none"/>
                <w:lang w:val="en-US" w:eastAsia="zh-CN" w:bidi="ar"/>
              </w:rPr>
              <w:t>重庆市九龙坡区人民政府渝州路街道办事处财政拨款收支总表</w:t>
            </w:r>
          </w:p>
        </w:tc>
      </w:tr>
      <w:tr w14:paraId="0D0C4086">
        <w:tblPrEx>
          <w:tblCellMar>
            <w:top w:w="0" w:type="dxa"/>
            <w:left w:w="0" w:type="dxa"/>
            <w:bottom w:w="0" w:type="dxa"/>
            <w:right w:w="0" w:type="dxa"/>
          </w:tblCellMar>
        </w:tblPrEx>
        <w:trPr>
          <w:trHeight w:val="496" w:hRule="atLeast"/>
          <w:jc w:val="center"/>
        </w:trPr>
        <w:tc>
          <w:tcPr>
            <w:tcW w:w="2034" w:type="dxa"/>
            <w:tcBorders>
              <w:top w:val="nil"/>
              <w:left w:val="nil"/>
              <w:bottom w:val="nil"/>
              <w:right w:val="nil"/>
            </w:tcBorders>
            <w:shd w:val="clear" w:color="auto" w:fill="auto"/>
            <w:noWrap/>
            <w:tcMar>
              <w:top w:w="15" w:type="dxa"/>
              <w:left w:w="15" w:type="dxa"/>
              <w:right w:w="15" w:type="dxa"/>
            </w:tcMar>
            <w:vAlign w:val="center"/>
          </w:tcPr>
          <w:p w14:paraId="0DD1F88A">
            <w:pPr>
              <w:rPr>
                <w:rFonts w:hint="eastAsia" w:ascii="宋体" w:hAnsi="宋体" w:eastAsia="宋体" w:cs="宋体"/>
                <w:i w:val="0"/>
                <w:color w:val="auto"/>
                <w:sz w:val="22"/>
                <w:szCs w:val="22"/>
                <w:highlight w:val="none"/>
                <w:u w:val="none"/>
              </w:rPr>
            </w:pPr>
          </w:p>
        </w:tc>
        <w:tc>
          <w:tcPr>
            <w:tcW w:w="1130" w:type="dxa"/>
            <w:tcBorders>
              <w:top w:val="nil"/>
              <w:left w:val="nil"/>
              <w:bottom w:val="nil"/>
              <w:right w:val="nil"/>
            </w:tcBorders>
            <w:shd w:val="clear" w:color="auto" w:fill="auto"/>
            <w:noWrap/>
            <w:tcMar>
              <w:top w:w="15" w:type="dxa"/>
              <w:left w:w="15" w:type="dxa"/>
              <w:right w:w="15" w:type="dxa"/>
            </w:tcMar>
            <w:vAlign w:val="center"/>
          </w:tcPr>
          <w:p w14:paraId="5A6AEC5A">
            <w:pPr>
              <w:rPr>
                <w:rFonts w:hint="eastAsia" w:ascii="宋体" w:hAnsi="宋体" w:eastAsia="宋体" w:cs="宋体"/>
                <w:i w:val="0"/>
                <w:color w:val="auto"/>
                <w:sz w:val="22"/>
                <w:szCs w:val="22"/>
                <w:highlight w:val="none"/>
                <w:u w:val="none"/>
              </w:rPr>
            </w:pPr>
          </w:p>
        </w:tc>
        <w:tc>
          <w:tcPr>
            <w:tcW w:w="2221" w:type="dxa"/>
            <w:tcBorders>
              <w:top w:val="nil"/>
              <w:left w:val="nil"/>
              <w:bottom w:val="nil"/>
              <w:right w:val="nil"/>
            </w:tcBorders>
            <w:shd w:val="clear" w:color="auto" w:fill="auto"/>
            <w:noWrap/>
            <w:tcMar>
              <w:top w:w="15" w:type="dxa"/>
              <w:left w:w="15" w:type="dxa"/>
              <w:right w:w="15" w:type="dxa"/>
            </w:tcMar>
            <w:vAlign w:val="center"/>
          </w:tcPr>
          <w:p w14:paraId="3B82301B">
            <w:pPr>
              <w:rPr>
                <w:rFonts w:hint="eastAsia" w:ascii="宋体" w:hAnsi="宋体" w:eastAsia="宋体" w:cs="宋体"/>
                <w:i w:val="0"/>
                <w:color w:val="auto"/>
                <w:sz w:val="22"/>
                <w:szCs w:val="22"/>
                <w:highlight w:val="none"/>
                <w:u w:val="none"/>
              </w:rPr>
            </w:pPr>
          </w:p>
        </w:tc>
        <w:tc>
          <w:tcPr>
            <w:tcW w:w="916" w:type="dxa"/>
            <w:tcBorders>
              <w:top w:val="nil"/>
              <w:left w:val="nil"/>
              <w:bottom w:val="nil"/>
              <w:right w:val="nil"/>
            </w:tcBorders>
            <w:shd w:val="clear" w:color="auto" w:fill="auto"/>
            <w:noWrap/>
            <w:tcMar>
              <w:top w:w="15" w:type="dxa"/>
              <w:left w:w="15" w:type="dxa"/>
              <w:right w:w="15" w:type="dxa"/>
            </w:tcMar>
            <w:vAlign w:val="center"/>
          </w:tcPr>
          <w:p w14:paraId="5B8D5947">
            <w:pPr>
              <w:rPr>
                <w:rFonts w:hint="eastAsia" w:ascii="宋体" w:hAnsi="宋体" w:eastAsia="宋体" w:cs="宋体"/>
                <w:i w:val="0"/>
                <w:color w:val="auto"/>
                <w:sz w:val="22"/>
                <w:szCs w:val="22"/>
                <w:highlight w:val="none"/>
                <w:u w:val="none"/>
              </w:rPr>
            </w:pPr>
          </w:p>
        </w:tc>
        <w:tc>
          <w:tcPr>
            <w:tcW w:w="915" w:type="dxa"/>
            <w:tcBorders>
              <w:top w:val="nil"/>
              <w:left w:val="nil"/>
              <w:bottom w:val="nil"/>
              <w:right w:val="nil"/>
            </w:tcBorders>
            <w:shd w:val="clear" w:color="auto" w:fill="auto"/>
            <w:noWrap/>
            <w:tcMar>
              <w:top w:w="15" w:type="dxa"/>
              <w:left w:w="15" w:type="dxa"/>
              <w:right w:w="15" w:type="dxa"/>
            </w:tcMar>
            <w:vAlign w:val="center"/>
          </w:tcPr>
          <w:p w14:paraId="0634CEC0">
            <w:pPr>
              <w:rPr>
                <w:rFonts w:hint="eastAsia" w:ascii="宋体" w:hAnsi="宋体" w:eastAsia="宋体" w:cs="宋体"/>
                <w:i w:val="0"/>
                <w:color w:val="auto"/>
                <w:sz w:val="22"/>
                <w:szCs w:val="22"/>
                <w:highlight w:val="none"/>
                <w:u w:val="none"/>
              </w:rPr>
            </w:pPr>
          </w:p>
        </w:tc>
        <w:tc>
          <w:tcPr>
            <w:tcW w:w="1130" w:type="dxa"/>
            <w:tcBorders>
              <w:top w:val="nil"/>
              <w:left w:val="nil"/>
              <w:bottom w:val="nil"/>
              <w:right w:val="nil"/>
            </w:tcBorders>
            <w:shd w:val="clear" w:color="auto" w:fill="auto"/>
            <w:noWrap/>
            <w:tcMar>
              <w:top w:w="15" w:type="dxa"/>
              <w:left w:w="15" w:type="dxa"/>
              <w:right w:w="15" w:type="dxa"/>
            </w:tcMar>
            <w:vAlign w:val="center"/>
          </w:tcPr>
          <w:p w14:paraId="77C287F8">
            <w:pPr>
              <w:rPr>
                <w:rFonts w:hint="eastAsia" w:ascii="宋体" w:hAnsi="宋体" w:eastAsia="宋体" w:cs="宋体"/>
                <w:i w:val="0"/>
                <w:color w:val="auto"/>
                <w:sz w:val="22"/>
                <w:szCs w:val="22"/>
                <w:highlight w:val="none"/>
                <w:u w:val="none"/>
              </w:rPr>
            </w:pPr>
          </w:p>
        </w:tc>
        <w:tc>
          <w:tcPr>
            <w:tcW w:w="1174" w:type="dxa"/>
            <w:tcBorders>
              <w:top w:val="nil"/>
              <w:left w:val="nil"/>
              <w:bottom w:val="nil"/>
              <w:right w:val="nil"/>
            </w:tcBorders>
            <w:shd w:val="clear" w:color="auto" w:fill="auto"/>
            <w:noWrap/>
            <w:tcMar>
              <w:top w:w="15" w:type="dxa"/>
              <w:left w:w="15" w:type="dxa"/>
              <w:right w:w="15" w:type="dxa"/>
            </w:tcMar>
            <w:vAlign w:val="center"/>
          </w:tcPr>
          <w:p w14:paraId="67300CCD">
            <w:pPr>
              <w:keepNext w:val="0"/>
              <w:keepLines w:val="0"/>
              <w:widowControl/>
              <w:suppressLineNumbers w:val="0"/>
              <w:jc w:val="right"/>
              <w:textAlignment w:val="center"/>
              <w:rPr>
                <w:rFonts w:ascii="方正楷体_GBK" w:hAnsi="方正楷体_GBK" w:eastAsia="方正楷体_GBK" w:cs="方正楷体_GBK"/>
                <w:i w:val="0"/>
                <w:color w:val="auto"/>
                <w:sz w:val="22"/>
                <w:szCs w:val="22"/>
                <w:highlight w:val="none"/>
                <w:u w:val="none"/>
              </w:rPr>
            </w:pPr>
            <w:r>
              <w:rPr>
                <w:rFonts w:hint="eastAsia" w:ascii="方正楷体_GBK" w:hAnsi="方正楷体_GBK" w:eastAsia="方正楷体_GBK" w:cs="方正楷体_GBK"/>
                <w:i w:val="0"/>
                <w:color w:val="auto"/>
                <w:kern w:val="0"/>
                <w:sz w:val="22"/>
                <w:szCs w:val="22"/>
                <w:highlight w:val="none"/>
                <w:u w:val="none"/>
                <w:lang w:val="en-US" w:eastAsia="zh-CN" w:bidi="ar"/>
              </w:rPr>
              <w:t>单位：万元</w:t>
            </w:r>
          </w:p>
        </w:tc>
      </w:tr>
      <w:tr w14:paraId="7F2F88E1">
        <w:tblPrEx>
          <w:tblCellMar>
            <w:top w:w="0" w:type="dxa"/>
            <w:left w:w="0" w:type="dxa"/>
            <w:bottom w:w="0" w:type="dxa"/>
            <w:right w:w="0" w:type="dxa"/>
          </w:tblCellMar>
        </w:tblPrEx>
        <w:trPr>
          <w:trHeight w:val="454" w:hRule="atLeast"/>
          <w:jc w:val="center"/>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0C2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收入</w:t>
            </w:r>
          </w:p>
        </w:tc>
        <w:tc>
          <w:tcPr>
            <w:tcW w:w="63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6B4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支出</w:t>
            </w:r>
          </w:p>
        </w:tc>
      </w:tr>
      <w:tr w14:paraId="7C64F608">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项目</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6F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预算数</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F0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项目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D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29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一般公共预算</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51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政府性基金预算</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40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国有资本经营预算</w:t>
            </w:r>
          </w:p>
        </w:tc>
      </w:tr>
      <w:tr w14:paraId="78CC1337">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B0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一、本年收入</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86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6,324.74</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D3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一、本年支出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6A0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6,422.17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0BD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6,397.19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31B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24.98</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5CF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auto"/>
                <w:sz w:val="24"/>
                <w:szCs w:val="24"/>
                <w:highlight w:val="none"/>
                <w:u w:val="none"/>
              </w:rPr>
            </w:pPr>
          </w:p>
        </w:tc>
      </w:tr>
      <w:tr w14:paraId="7D6C17F7">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8B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一般公共预算资金</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9DD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6,324.74</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05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一般公共服务支出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AB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2,982.61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EB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2,982.61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F8F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96F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740DAB1D">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26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政府性基金预算资金</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2F8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58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国防支出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BFC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1A8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7D2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8C7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1EA3DAD7">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00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国有资本经营预算资金</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65E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BD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公共安全支出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98F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283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1FD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803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06A49E27">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FCB8">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4"/>
                <w:szCs w:val="24"/>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B6B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12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文化旅游体育与传媒支出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45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7F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7C9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225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7B700EC0">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2743">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4"/>
                <w:szCs w:val="24"/>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BA6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EC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社会保障和就业支出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21F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1,385.93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20C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1,385.93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2BF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521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14DA44B8">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620F">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4"/>
                <w:szCs w:val="24"/>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E9B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45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卫生健康支出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96D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61.41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561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61.41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8AA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E94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5D4EF3E7">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77B5">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4"/>
                <w:szCs w:val="24"/>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C90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41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城乡社区支出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D0D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1,773.44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6B2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1,748.46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CA8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24.98</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FFB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65DDF681">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B2FE">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4"/>
                <w:szCs w:val="24"/>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590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31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资源勘探工业信息等支出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93D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43C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18B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E72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794CBEB5">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2693">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4"/>
                <w:szCs w:val="24"/>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C46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05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金融支出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7E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DCD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239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8BD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2CF7B754">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4966">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4"/>
                <w:szCs w:val="24"/>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884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E3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住房保障支出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B95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73.79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D39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73.79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495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0F8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04574F48">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0C1D">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4"/>
                <w:szCs w:val="24"/>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78A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5C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灾害防治及应急管理支出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FE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49C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427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D2C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47FDD00A">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7E0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EA7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278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CF81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D684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6DD5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7232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r>
      <w:tr w14:paraId="7BA6FC42">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9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二、上年结转</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1DC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97.43</w:t>
            </w: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5D8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二、结转下年</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56B2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C001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0B3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3D3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r>
      <w:tr w14:paraId="104C0399">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0D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一般公共预算拨款</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D29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72.45</w:t>
            </w: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2B64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0B02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97B1">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9C4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E92B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r>
      <w:tr w14:paraId="24E14A2B">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8AA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政府性基金预算拨款</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856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24.98</w:t>
            </w: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F7FB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910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1AA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FEDB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C4D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r>
      <w:tr w14:paraId="718C37A9">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41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国有资本经营收入</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12B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AAB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1265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411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045F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8619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r>
      <w:tr w14:paraId="68A9819E">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0B93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6744">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335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BFDB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B5F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3A22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A0921">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18"/>
                <w:szCs w:val="18"/>
                <w:highlight w:val="none"/>
                <w:u w:val="none"/>
              </w:rPr>
            </w:pPr>
          </w:p>
        </w:tc>
      </w:tr>
      <w:tr w14:paraId="027C6AC3">
        <w:tblPrEx>
          <w:tblCellMar>
            <w:top w:w="0" w:type="dxa"/>
            <w:left w:w="0" w:type="dxa"/>
            <w:bottom w:w="0" w:type="dxa"/>
            <w:right w:w="0" w:type="dxa"/>
          </w:tblCellMar>
        </w:tblPrEx>
        <w:trPr>
          <w:trHeight w:val="454" w:hRule="atLeast"/>
          <w:jc w:val="center"/>
        </w:trPr>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8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收入合计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A48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6,422.17</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EA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支出合计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CB3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6,422.17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47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6,397.19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373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24.98</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088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auto"/>
                <w:sz w:val="24"/>
                <w:szCs w:val="24"/>
                <w:highlight w:val="none"/>
                <w:u w:val="none"/>
              </w:rPr>
            </w:pPr>
          </w:p>
        </w:tc>
      </w:tr>
    </w:tbl>
    <w:p w14:paraId="039F5BF0">
      <w:pP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附件2</w:t>
      </w:r>
    </w:p>
    <w:tbl>
      <w:tblPr>
        <w:tblStyle w:val="4"/>
        <w:tblW w:w="9090" w:type="dxa"/>
        <w:tblInd w:w="0" w:type="dxa"/>
        <w:shd w:val="clear" w:color="auto" w:fill="auto"/>
        <w:tblLayout w:type="fixed"/>
        <w:tblCellMar>
          <w:top w:w="0" w:type="dxa"/>
          <w:left w:w="0" w:type="dxa"/>
          <w:bottom w:w="0" w:type="dxa"/>
          <w:right w:w="0" w:type="dxa"/>
        </w:tblCellMar>
      </w:tblPr>
      <w:tblGrid>
        <w:gridCol w:w="1480"/>
        <w:gridCol w:w="3790"/>
        <w:gridCol w:w="1273"/>
        <w:gridCol w:w="1273"/>
        <w:gridCol w:w="1274"/>
      </w:tblGrid>
      <w:tr w14:paraId="7962CAB3">
        <w:tblPrEx>
          <w:shd w:val="clear" w:color="auto" w:fill="auto"/>
          <w:tblCellMar>
            <w:top w:w="0" w:type="dxa"/>
            <w:left w:w="0" w:type="dxa"/>
            <w:bottom w:w="0" w:type="dxa"/>
            <w:right w:w="0" w:type="dxa"/>
          </w:tblCellMar>
        </w:tblPrEx>
        <w:trPr>
          <w:trHeight w:val="431" w:hRule="atLeast"/>
        </w:trPr>
        <w:tc>
          <w:tcPr>
            <w:tcW w:w="9090" w:type="dxa"/>
            <w:gridSpan w:val="5"/>
            <w:vMerge w:val="restart"/>
            <w:tcBorders>
              <w:top w:val="nil"/>
              <w:left w:val="nil"/>
              <w:bottom w:val="nil"/>
              <w:right w:val="nil"/>
            </w:tcBorders>
            <w:shd w:val="clear" w:color="auto" w:fill="auto"/>
            <w:tcMar>
              <w:top w:w="15" w:type="dxa"/>
              <w:left w:w="15" w:type="dxa"/>
              <w:right w:w="15" w:type="dxa"/>
            </w:tcMar>
            <w:vAlign w:val="center"/>
          </w:tcPr>
          <w:p w14:paraId="0B11A9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_GBK" w:hAnsi="方正小标宋_GBK" w:eastAsia="方正小标宋_GBK" w:cs="方正小标宋_GBK"/>
                <w:i w:val="0"/>
                <w:color w:val="auto"/>
                <w:kern w:val="0"/>
                <w:sz w:val="28"/>
                <w:szCs w:val="28"/>
                <w:highlight w:val="none"/>
                <w:u w:val="none"/>
                <w:lang w:val="en-US" w:eastAsia="zh-CN" w:bidi="ar"/>
              </w:rPr>
            </w:pPr>
            <w:r>
              <w:rPr>
                <w:rFonts w:hint="eastAsia" w:ascii="方正小标宋_GBK" w:hAnsi="方正小标宋_GBK" w:eastAsia="方正小标宋_GBK" w:cs="方正小标宋_GBK"/>
                <w:i w:val="0"/>
                <w:color w:val="auto"/>
                <w:kern w:val="0"/>
                <w:sz w:val="28"/>
                <w:szCs w:val="28"/>
                <w:highlight w:val="none"/>
                <w:u w:val="none"/>
                <w:lang w:val="en-US" w:eastAsia="zh-CN" w:bidi="ar"/>
              </w:rPr>
              <w:t>重庆市九龙坡区人民政府渝州路街道办事处一般公共预算财政拨款支出</w:t>
            </w:r>
          </w:p>
          <w:p w14:paraId="0F9CBE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color w:val="auto"/>
                <w:sz w:val="28"/>
                <w:szCs w:val="28"/>
                <w:highlight w:val="none"/>
                <w:u w:val="none"/>
              </w:rPr>
            </w:pPr>
            <w:r>
              <w:rPr>
                <w:rFonts w:hint="eastAsia" w:ascii="方正小标宋_GBK" w:hAnsi="方正小标宋_GBK" w:eastAsia="方正小标宋_GBK" w:cs="方正小标宋_GBK"/>
                <w:i w:val="0"/>
                <w:color w:val="auto"/>
                <w:kern w:val="0"/>
                <w:sz w:val="28"/>
                <w:szCs w:val="28"/>
                <w:highlight w:val="none"/>
                <w:u w:val="none"/>
                <w:lang w:val="en-US" w:eastAsia="zh-CN" w:bidi="ar"/>
              </w:rPr>
              <w:t>预算表</w:t>
            </w:r>
          </w:p>
        </w:tc>
      </w:tr>
      <w:tr w14:paraId="6F8077AE">
        <w:tblPrEx>
          <w:tblCellMar>
            <w:top w:w="0" w:type="dxa"/>
            <w:left w:w="0" w:type="dxa"/>
            <w:bottom w:w="0" w:type="dxa"/>
            <w:right w:w="0" w:type="dxa"/>
          </w:tblCellMar>
        </w:tblPrEx>
        <w:trPr>
          <w:trHeight w:val="396" w:hRule="atLeast"/>
        </w:trPr>
        <w:tc>
          <w:tcPr>
            <w:tcW w:w="9090" w:type="dxa"/>
            <w:gridSpan w:val="5"/>
            <w:vMerge w:val="continue"/>
            <w:tcBorders>
              <w:top w:val="nil"/>
              <w:left w:val="nil"/>
              <w:bottom w:val="nil"/>
              <w:right w:val="nil"/>
            </w:tcBorders>
            <w:shd w:val="clear" w:color="auto" w:fill="auto"/>
            <w:tcMar>
              <w:top w:w="15" w:type="dxa"/>
              <w:left w:w="15" w:type="dxa"/>
              <w:right w:w="15" w:type="dxa"/>
            </w:tcMar>
            <w:vAlign w:val="center"/>
          </w:tcPr>
          <w:p w14:paraId="46EA162B">
            <w:pPr>
              <w:jc w:val="center"/>
              <w:rPr>
                <w:rFonts w:hint="eastAsia" w:ascii="方正小标宋_GBK" w:hAnsi="方正小标宋_GBK" w:eastAsia="方正小标宋_GBK" w:cs="方正小标宋_GBK"/>
                <w:i w:val="0"/>
                <w:color w:val="auto"/>
                <w:sz w:val="28"/>
                <w:szCs w:val="28"/>
                <w:highlight w:val="none"/>
                <w:u w:val="none"/>
              </w:rPr>
            </w:pPr>
          </w:p>
        </w:tc>
      </w:tr>
      <w:tr w14:paraId="3D3C080B">
        <w:tblPrEx>
          <w:tblCellMar>
            <w:top w:w="0" w:type="dxa"/>
            <w:left w:w="0" w:type="dxa"/>
            <w:bottom w:w="0" w:type="dxa"/>
            <w:right w:w="0" w:type="dxa"/>
          </w:tblCellMar>
        </w:tblPrEx>
        <w:trPr>
          <w:trHeight w:val="414" w:hRule="atLeast"/>
        </w:trPr>
        <w:tc>
          <w:tcPr>
            <w:tcW w:w="1480" w:type="dxa"/>
            <w:tcBorders>
              <w:top w:val="nil"/>
              <w:left w:val="nil"/>
              <w:bottom w:val="nil"/>
              <w:right w:val="nil"/>
            </w:tcBorders>
            <w:shd w:val="clear" w:color="auto" w:fill="auto"/>
            <w:tcMar>
              <w:top w:w="15" w:type="dxa"/>
              <w:left w:w="15" w:type="dxa"/>
              <w:right w:w="15" w:type="dxa"/>
            </w:tcMar>
            <w:vAlign w:val="center"/>
          </w:tcPr>
          <w:p w14:paraId="4EFB009E">
            <w:pPr>
              <w:rPr>
                <w:rFonts w:hint="eastAsia" w:ascii="宋体" w:hAnsi="宋体" w:eastAsia="宋体" w:cs="宋体"/>
                <w:i w:val="0"/>
                <w:color w:val="auto"/>
                <w:sz w:val="18"/>
                <w:szCs w:val="18"/>
                <w:highlight w:val="none"/>
                <w:u w:val="none"/>
              </w:rPr>
            </w:pPr>
          </w:p>
        </w:tc>
        <w:tc>
          <w:tcPr>
            <w:tcW w:w="3790" w:type="dxa"/>
            <w:tcBorders>
              <w:top w:val="nil"/>
              <w:left w:val="nil"/>
              <w:bottom w:val="nil"/>
              <w:right w:val="nil"/>
            </w:tcBorders>
            <w:shd w:val="clear" w:color="auto" w:fill="auto"/>
            <w:tcMar>
              <w:top w:w="15" w:type="dxa"/>
              <w:left w:w="15" w:type="dxa"/>
              <w:right w:w="15" w:type="dxa"/>
            </w:tcMar>
            <w:vAlign w:val="center"/>
          </w:tcPr>
          <w:p w14:paraId="78DC9FFC">
            <w:pPr>
              <w:rPr>
                <w:rFonts w:hint="eastAsia" w:ascii="宋体" w:hAnsi="宋体" w:eastAsia="宋体" w:cs="宋体"/>
                <w:i w:val="0"/>
                <w:color w:val="auto"/>
                <w:sz w:val="18"/>
                <w:szCs w:val="18"/>
                <w:highlight w:val="none"/>
                <w:u w:val="none"/>
              </w:rPr>
            </w:pPr>
          </w:p>
        </w:tc>
        <w:tc>
          <w:tcPr>
            <w:tcW w:w="1273" w:type="dxa"/>
            <w:tcBorders>
              <w:top w:val="nil"/>
              <w:left w:val="nil"/>
              <w:bottom w:val="nil"/>
              <w:right w:val="nil"/>
            </w:tcBorders>
            <w:shd w:val="clear" w:color="auto" w:fill="auto"/>
            <w:tcMar>
              <w:top w:w="15" w:type="dxa"/>
              <w:left w:w="15" w:type="dxa"/>
              <w:right w:w="15" w:type="dxa"/>
            </w:tcMar>
            <w:vAlign w:val="center"/>
          </w:tcPr>
          <w:p w14:paraId="058D8746">
            <w:pPr>
              <w:rPr>
                <w:rFonts w:hint="eastAsia" w:ascii="宋体" w:hAnsi="宋体" w:eastAsia="宋体" w:cs="宋体"/>
                <w:i w:val="0"/>
                <w:color w:val="auto"/>
                <w:sz w:val="18"/>
                <w:szCs w:val="18"/>
                <w:highlight w:val="none"/>
                <w:u w:val="none"/>
              </w:rPr>
            </w:pPr>
          </w:p>
        </w:tc>
        <w:tc>
          <w:tcPr>
            <w:tcW w:w="1273" w:type="dxa"/>
            <w:tcBorders>
              <w:top w:val="nil"/>
              <w:left w:val="nil"/>
              <w:bottom w:val="nil"/>
              <w:right w:val="nil"/>
            </w:tcBorders>
            <w:shd w:val="clear" w:color="auto" w:fill="auto"/>
            <w:tcMar>
              <w:top w:w="15" w:type="dxa"/>
              <w:left w:w="15" w:type="dxa"/>
              <w:right w:w="15" w:type="dxa"/>
            </w:tcMar>
            <w:vAlign w:val="center"/>
          </w:tcPr>
          <w:p w14:paraId="257B5516">
            <w:pPr>
              <w:rPr>
                <w:rFonts w:hint="eastAsia" w:ascii="宋体" w:hAnsi="宋体" w:eastAsia="宋体" w:cs="宋体"/>
                <w:i w:val="0"/>
                <w:color w:val="auto"/>
                <w:sz w:val="18"/>
                <w:szCs w:val="18"/>
                <w:highlight w:val="none"/>
                <w:u w:val="none"/>
              </w:rPr>
            </w:pPr>
          </w:p>
        </w:tc>
        <w:tc>
          <w:tcPr>
            <w:tcW w:w="1274" w:type="dxa"/>
            <w:tcBorders>
              <w:top w:val="nil"/>
              <w:left w:val="nil"/>
              <w:bottom w:val="nil"/>
              <w:right w:val="nil"/>
            </w:tcBorders>
            <w:shd w:val="clear" w:color="auto" w:fill="auto"/>
            <w:noWrap/>
            <w:tcMar>
              <w:top w:w="15" w:type="dxa"/>
              <w:left w:w="15" w:type="dxa"/>
              <w:right w:w="15" w:type="dxa"/>
            </w:tcMar>
            <w:vAlign w:val="center"/>
          </w:tcPr>
          <w:p w14:paraId="65568AE0">
            <w:pPr>
              <w:keepNext w:val="0"/>
              <w:keepLines w:val="0"/>
              <w:widowControl/>
              <w:suppressLineNumbers w:val="0"/>
              <w:jc w:val="right"/>
              <w:textAlignment w:val="center"/>
              <w:rPr>
                <w:rFonts w:ascii="方正楷体_GBK" w:hAnsi="方正楷体_GBK" w:eastAsia="方正楷体_GBK" w:cs="方正楷体_GBK"/>
                <w:i w:val="0"/>
                <w:color w:val="auto"/>
                <w:sz w:val="20"/>
                <w:szCs w:val="20"/>
                <w:highlight w:val="none"/>
                <w:u w:val="none"/>
              </w:rPr>
            </w:pPr>
            <w:r>
              <w:rPr>
                <w:rFonts w:hint="eastAsia" w:ascii="方正楷体_GBK" w:hAnsi="方正楷体_GBK" w:eastAsia="方正楷体_GBK" w:cs="方正楷体_GBK"/>
                <w:i w:val="0"/>
                <w:color w:val="auto"/>
                <w:kern w:val="0"/>
                <w:sz w:val="20"/>
                <w:szCs w:val="20"/>
                <w:highlight w:val="none"/>
                <w:u w:val="none"/>
                <w:lang w:val="en-US" w:eastAsia="zh-CN" w:bidi="ar"/>
              </w:rPr>
              <w:t>单位：万元</w:t>
            </w:r>
          </w:p>
        </w:tc>
      </w:tr>
      <w:tr w14:paraId="628324ED">
        <w:tblPrEx>
          <w:tblCellMar>
            <w:top w:w="0" w:type="dxa"/>
            <w:left w:w="0" w:type="dxa"/>
            <w:bottom w:w="0" w:type="dxa"/>
            <w:right w:w="0" w:type="dxa"/>
          </w:tblCellMar>
        </w:tblPrEx>
        <w:trPr>
          <w:trHeight w:val="430" w:hRule="atLeast"/>
        </w:trPr>
        <w:tc>
          <w:tcPr>
            <w:tcW w:w="5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E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功能分类科目</w:t>
            </w:r>
          </w:p>
        </w:tc>
        <w:tc>
          <w:tcPr>
            <w:tcW w:w="38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A7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2025年预算数</w:t>
            </w:r>
          </w:p>
        </w:tc>
      </w:tr>
      <w:tr w14:paraId="7DC5B69A">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6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 xml:space="preserve"> 科目编码</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CB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科目名称</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B3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小计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7E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 xml:space="preserve">基本支出 </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44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 xml:space="preserve">项目支出 </w:t>
            </w:r>
          </w:p>
        </w:tc>
      </w:tr>
      <w:tr w14:paraId="182219D1">
        <w:tblPrEx>
          <w:tblCellMar>
            <w:top w:w="0" w:type="dxa"/>
            <w:left w:w="0" w:type="dxa"/>
            <w:bottom w:w="0" w:type="dxa"/>
            <w:right w:w="0" w:type="dxa"/>
          </w:tblCellMar>
        </w:tblPrEx>
        <w:trPr>
          <w:trHeight w:val="283" w:hRule="atLeast"/>
        </w:trPr>
        <w:tc>
          <w:tcPr>
            <w:tcW w:w="5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D0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b/>
                <w:i w:val="0"/>
                <w:color w:val="auto"/>
                <w:sz w:val="20"/>
                <w:szCs w:val="20"/>
                <w:highlight w:val="none"/>
                <w:u w:val="none"/>
              </w:rPr>
            </w:pPr>
            <w:r>
              <w:rPr>
                <w:rFonts w:hint="eastAsia" w:ascii="方正仿宋_GBK" w:hAnsi="方正仿宋_GBK" w:eastAsia="方正仿宋_GBK" w:cs="方正仿宋_GBK"/>
                <w:b/>
                <w:i w:val="0"/>
                <w:color w:val="auto"/>
                <w:kern w:val="0"/>
                <w:sz w:val="20"/>
                <w:szCs w:val="20"/>
                <w:highlight w:val="none"/>
                <w:u w:val="none"/>
                <w:lang w:val="en-US" w:eastAsia="zh-CN" w:bidi="ar"/>
              </w:rPr>
              <w:t>合计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8B4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6,422.17</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6C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1,153.91</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918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5,268.26</w:t>
            </w:r>
          </w:p>
        </w:tc>
      </w:tr>
      <w:tr w14:paraId="33741A60">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D7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201</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14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一般公共服务支出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0C4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2,982.61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7DA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802.10</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C0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2,180.51</w:t>
            </w:r>
          </w:p>
        </w:tc>
      </w:tr>
      <w:tr w14:paraId="579B239F">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FD6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20101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6D3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人大事务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C02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27.29</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897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AE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27.29</w:t>
            </w:r>
          </w:p>
        </w:tc>
      </w:tr>
      <w:tr w14:paraId="4B47AFB2">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BA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2010199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1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其他人大事务支出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81C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27.29</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D3E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160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27.29</w:t>
            </w:r>
          </w:p>
        </w:tc>
      </w:tr>
      <w:tr w14:paraId="2D1F2680">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1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20103</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D4A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政府办公厅（室）及相关机构事务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201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830.10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898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802.10</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BA6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28.00</w:t>
            </w:r>
          </w:p>
        </w:tc>
      </w:tr>
      <w:tr w14:paraId="75FFAF8D">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F7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2010301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F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行政运行</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D9A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802.10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8DC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802.10</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D836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2CC87E60">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8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2010302</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C6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一般行政管理事务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80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730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B3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w:t>
            </w:r>
          </w:p>
        </w:tc>
      </w:tr>
      <w:tr w14:paraId="7712D74F">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6F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2010303</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1C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机关服务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61F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0E6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E8B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6BAD3193">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D7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2010399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E4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其他政府办公厅（室）及相关机构事务支出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17A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18.00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66A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1B3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18.00</w:t>
            </w:r>
          </w:p>
        </w:tc>
      </w:tr>
      <w:tr w14:paraId="41FE30F1">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41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20123</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EF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民族事务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C26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71CB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30F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r>
      <w:tr w14:paraId="09E5E396">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E8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2012399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05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其他民族事务支出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69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813D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B8A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r>
      <w:tr w14:paraId="033F1307">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2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20136</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BEE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其他共产党事务支出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DD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109.41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31D7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6C1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109.41</w:t>
            </w:r>
          </w:p>
        </w:tc>
      </w:tr>
      <w:tr w14:paraId="0DD1B55E">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72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2013699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7F6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其他共产党事务支出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5E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109.41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6622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E2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109.41</w:t>
            </w:r>
          </w:p>
        </w:tc>
      </w:tr>
      <w:tr w14:paraId="2CF7478D">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A3E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20138</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8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市场监督管理事务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809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0.96</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9F1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444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0.96</w:t>
            </w:r>
          </w:p>
        </w:tc>
      </w:tr>
      <w:tr w14:paraId="3DFE9C80">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41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2013899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9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其他市场监督管理事务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F8A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0.96</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F2A1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A7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0.96</w:t>
            </w:r>
          </w:p>
        </w:tc>
      </w:tr>
      <w:tr w14:paraId="7D5466BB">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8C5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20139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D6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社会工作事务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53C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2,013.85</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415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3F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2,013.85</w:t>
            </w:r>
          </w:p>
        </w:tc>
      </w:tr>
      <w:tr w14:paraId="7A91F0FD">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E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2013904</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03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专项业务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FC5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2,013.85</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F70C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E82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2,013.85</w:t>
            </w:r>
          </w:p>
        </w:tc>
      </w:tr>
      <w:tr w14:paraId="005BD257">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13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203</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5F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国防支出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7A1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6920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0F5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r>
      <w:tr w14:paraId="58F31D78">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4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20306</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E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国防动员</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9F2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168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13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r>
      <w:tr w14:paraId="265AC710">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43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2030699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55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其他国防动员支出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37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4DF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73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r>
      <w:tr w14:paraId="3ED7F9C4">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0A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204</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4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公共安全支出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597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E58E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66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2.00</w:t>
            </w:r>
          </w:p>
        </w:tc>
      </w:tr>
      <w:tr w14:paraId="43133188">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431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20402</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BB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公安</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8F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567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52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r>
      <w:tr w14:paraId="1CFCD788">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9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2040299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9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其他公安支出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25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45AF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24D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r>
      <w:tr w14:paraId="7BE6B019">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79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20406</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9A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司法</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70E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551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A1A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r>
      <w:tr w14:paraId="3615FEAB">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C4B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2040604</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31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基层司法业务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8C6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3953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E18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w:t>
            </w:r>
          </w:p>
        </w:tc>
      </w:tr>
      <w:tr w14:paraId="179DB7AE">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86C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20499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80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其他公共安全支出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4096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13E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F17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12CC7698">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C3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2049999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01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其他公共安全支出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230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AD76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295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5AA93FD6">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87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207</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4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文化旅游体育与传媒支出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949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AACC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D1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7.00</w:t>
            </w:r>
          </w:p>
        </w:tc>
      </w:tr>
      <w:tr w14:paraId="789DB3AA">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F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20701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F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文化和旅游</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87F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41B4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EC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7.00</w:t>
            </w:r>
          </w:p>
        </w:tc>
      </w:tr>
      <w:tr w14:paraId="0515C608">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32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2070109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632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群众文化</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CC9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D00A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19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7.00</w:t>
            </w:r>
          </w:p>
        </w:tc>
      </w:tr>
      <w:tr w14:paraId="58C98653">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5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2070199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73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其他文化和旅游支出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4D5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715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AEA6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0DAD277A">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2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208</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1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社会保障和就业支出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188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1,313.48</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223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216.61</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873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1,096.87</w:t>
            </w:r>
          </w:p>
        </w:tc>
      </w:tr>
      <w:tr w14:paraId="72D48119">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32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20801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E25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人力资源和社会保障管理事务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56F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8.57</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D4CA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66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8.57</w:t>
            </w:r>
          </w:p>
        </w:tc>
      </w:tr>
      <w:tr w14:paraId="76E962A5">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568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2080199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4C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其他人力资源和社会保障管理事务支出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00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8.57</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D12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A36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8.57</w:t>
            </w:r>
          </w:p>
        </w:tc>
      </w:tr>
      <w:tr w14:paraId="001C9BD8">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FA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20802</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78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民政管理事务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6867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19A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D54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3D56A123">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493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2080208</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962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基层政权建设和社区治理</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DF52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DBF2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E144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210246B3">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E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20805</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66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行政事业单位养老支出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B0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216.61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B0A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216.61</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FC36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017DCB5C">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CC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2080505</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8C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机关事业单位基本养老保险缴费支出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5DF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81.74</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17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81.74</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EBE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0A4B112D">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ACD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2080506</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68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机关事业单位职业年金缴费支出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D84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40.87</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545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40.87</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04AA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07F12A2B">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3E3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2080599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1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其他行政事业单位养老支出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D17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94.01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A3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94.01</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A9F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6A0DD8DD">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19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20808</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39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抚恤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139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2609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9F1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r>
      <w:tr w14:paraId="77E16381">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0E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2080899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32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其他优抚支出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D5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210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919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r>
      <w:tr w14:paraId="5EE40143">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B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20810</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88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社会福利</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078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99.08</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10CE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06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99.08</w:t>
            </w:r>
          </w:p>
        </w:tc>
      </w:tr>
      <w:tr w14:paraId="6386E47F">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2BE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2081002</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BE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老年福利</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C3A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99.08</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FC46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58B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99.08</w:t>
            </w:r>
          </w:p>
        </w:tc>
      </w:tr>
      <w:tr w14:paraId="0A44E7FA">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D56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20811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C4C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残疾人事业</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3B5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10.67</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2AB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B08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10.67</w:t>
            </w:r>
          </w:p>
        </w:tc>
      </w:tr>
      <w:tr w14:paraId="40262BC9">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3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2081199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12E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其他残疾人事业支出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8A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10.67</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A99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889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10.67</w:t>
            </w:r>
          </w:p>
        </w:tc>
      </w:tr>
      <w:tr w14:paraId="45FB25CD">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18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20821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13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特困人员救助供养</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9B5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19.20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0F03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0CE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19.20</w:t>
            </w:r>
          </w:p>
        </w:tc>
      </w:tr>
      <w:tr w14:paraId="64D425DF">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3B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2082101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C1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城市特困人员救助供养支出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286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19.20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058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78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19.20</w:t>
            </w:r>
          </w:p>
        </w:tc>
      </w:tr>
      <w:tr w14:paraId="6B9AB857">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9F4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20828</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53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退役军人管理事务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0FD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560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09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w:t>
            </w:r>
          </w:p>
        </w:tc>
      </w:tr>
      <w:tr w14:paraId="5AB84058">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357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2082899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A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其他退役军人事务管理支出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2CD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756C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916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w:t>
            </w:r>
          </w:p>
        </w:tc>
      </w:tr>
      <w:tr w14:paraId="0AE27431">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8E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D87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其他社会保障和就业支出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995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8322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6CA6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6C752433">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9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2089999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F7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其他社会保障和就业支出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E244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FB1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137C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0926E651">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F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210</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1E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卫生健康支出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67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61.41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EEC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61.41</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350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4EDA2547">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9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21011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3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行政事业单位医疗</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67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61.41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0E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61.41</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30A1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678FCA76">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D6F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2101101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D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行政单位医疗</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C9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43.42</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88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43.42</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1CFA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29DAFE24">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0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2101103</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2D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公务员医疗补助</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67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10.32</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F7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10.32</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3E71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22E5F07D">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8C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2101199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5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其他行政事业单位医疗支出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CDD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7.66</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8B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7.66</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CD4E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12FCF344">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24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211</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2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节能环保支出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9AB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C52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DD4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230EBAE9">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CE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21103</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4A6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污染防治</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DA8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319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F3B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5664BA74">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2A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2110304</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18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固体废弃物与化学品</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67F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897A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533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5D019674">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6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212</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A5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城乡社区支出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70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1,748.46</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06FC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2BB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1,748.46</w:t>
            </w:r>
          </w:p>
        </w:tc>
      </w:tr>
      <w:tr w14:paraId="77B88F8A">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4E5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21201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B62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城乡社区管理事务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E7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589.10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4E01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0C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589.10</w:t>
            </w:r>
          </w:p>
        </w:tc>
      </w:tr>
      <w:tr w14:paraId="132DE7B3">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EC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2120199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7E0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其他城乡社区管理事务支出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20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589.10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61F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40C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589.10</w:t>
            </w:r>
          </w:p>
        </w:tc>
      </w:tr>
      <w:tr w14:paraId="5488AB01">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3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21205</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70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城乡社区环境卫生</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C2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1,159.36</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FF3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F35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1,159.36</w:t>
            </w:r>
          </w:p>
        </w:tc>
      </w:tr>
      <w:tr w14:paraId="6518B720">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7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2120501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2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城乡社区环境卫生</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67F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1,159.36</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299C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623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1,159.36</w:t>
            </w:r>
          </w:p>
        </w:tc>
      </w:tr>
      <w:tr w14:paraId="3B2B3D1B">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0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21299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A8C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其他城乡社区支出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431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696A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2A33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46556757">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F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2129999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71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其他城乡社区支出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406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F77F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D50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1A7E98A0">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D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215</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2E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资源勘探工业信息等支出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257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D93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833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30.00</w:t>
            </w:r>
          </w:p>
        </w:tc>
      </w:tr>
      <w:tr w14:paraId="33230A6C">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7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21508</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07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支持中小企业发展和管理支出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A5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1B9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0D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30.00</w:t>
            </w:r>
          </w:p>
        </w:tc>
      </w:tr>
      <w:tr w14:paraId="434B4B73">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23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2150899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19A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其他支持中小企业发展和管理支出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0F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A9D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3CF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30.00</w:t>
            </w:r>
          </w:p>
        </w:tc>
      </w:tr>
      <w:tr w14:paraId="708A0B89">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1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217</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E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金融支出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481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51B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33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5.00</w:t>
            </w:r>
          </w:p>
        </w:tc>
      </w:tr>
      <w:tr w14:paraId="53D18AD1">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CEA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21702</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E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金融部门监管支出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01E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ED52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9A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5.00</w:t>
            </w:r>
          </w:p>
        </w:tc>
      </w:tr>
      <w:tr w14:paraId="5B9CCD97">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F92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2170299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23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金融部门其他监管支出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10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4BB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55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5.00</w:t>
            </w:r>
          </w:p>
        </w:tc>
      </w:tr>
      <w:tr w14:paraId="56D8365B">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CD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21799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F3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其他金融支出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E980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4B5D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893E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1BBAD81C">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35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2179999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C0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其他金融支出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A2E3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53F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9617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423BD93E">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D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221</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59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住房保障支出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79A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73.79</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C5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73.79</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0430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3F7428DB">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B1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22102</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B1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住房改革支出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92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73.79</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189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73.79</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4C5A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58C7BAB7">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50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2210201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55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住房公积金</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09C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70.07</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1C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70.07</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BC89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24C3FF82">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6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2210203</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E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购房补贴</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7EE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3.73</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6C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3.73</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967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74A9A96D">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C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224</w:t>
            </w:r>
          </w:p>
        </w:tc>
        <w:tc>
          <w:tcPr>
            <w:tcW w:w="3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5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灾害防治及应急管理支出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D1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5DF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24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100.00</w:t>
            </w:r>
          </w:p>
        </w:tc>
      </w:tr>
      <w:tr w14:paraId="0D8DB7E5">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888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22401</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0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应急管理事务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8C2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7828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900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100.00</w:t>
            </w:r>
          </w:p>
        </w:tc>
      </w:tr>
      <w:tr w14:paraId="73E6B7B6">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13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2240106</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A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安全监管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3DBD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46D2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583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r>
      <w:tr w14:paraId="388827AF">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C7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2240199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5E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Style w:val="7"/>
                <w:color w:val="auto"/>
                <w:highlight w:val="none"/>
                <w:lang w:val="en-US" w:eastAsia="zh-CN" w:bidi="ar"/>
              </w:rPr>
              <w:t xml:space="preserve">  其他应急管理支出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C9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1628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D1D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100.00</w:t>
            </w:r>
          </w:p>
        </w:tc>
      </w:tr>
      <w:tr w14:paraId="104A036B">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C83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2120803</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7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城市建设支出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895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F7E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0E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4.98</w:t>
            </w:r>
          </w:p>
        </w:tc>
      </w:tr>
      <w:tr w14:paraId="526D62C6">
        <w:tblPrEx>
          <w:tblCellMar>
            <w:top w:w="0" w:type="dxa"/>
            <w:left w:w="0" w:type="dxa"/>
            <w:bottom w:w="0" w:type="dxa"/>
            <w:right w:w="0" w:type="dxa"/>
          </w:tblCellMar>
        </w:tblPrEx>
        <w:trPr>
          <w:trHeight w:val="283"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843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2120899</w:t>
            </w:r>
          </w:p>
        </w:tc>
        <w:tc>
          <w:tcPr>
            <w:tcW w:w="3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77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其他国有土地使用权出让收入安排的支出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8F98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23C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auto"/>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74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20.00</w:t>
            </w:r>
          </w:p>
        </w:tc>
      </w:tr>
    </w:tbl>
    <w:p w14:paraId="606AFEE5">
      <w:pPr>
        <w:rPr>
          <w:rFonts w:hint="default" w:ascii="方正黑体_GBK" w:hAnsi="方正黑体_GBK" w:eastAsia="方正黑体_GBK" w:cs="方正黑体_GBK"/>
          <w:color w:val="auto"/>
          <w:highlight w:val="none"/>
          <w:lang w:val="en-US" w:eastAsia="zh-CN"/>
        </w:rPr>
      </w:pPr>
    </w:p>
    <w:p w14:paraId="702CF93A">
      <w:pPr>
        <w:rPr>
          <w:rFonts w:hint="default" w:ascii="方正黑体_GBK" w:hAnsi="方正黑体_GBK" w:eastAsia="方正黑体_GBK" w:cs="方正黑体_GBK"/>
          <w:color w:val="auto"/>
          <w:highlight w:val="none"/>
          <w:lang w:val="en-US" w:eastAsia="zh-CN"/>
        </w:rPr>
      </w:pPr>
    </w:p>
    <w:p w14:paraId="1664D15D">
      <w:pPr>
        <w:rPr>
          <w:rFonts w:hint="default" w:ascii="方正黑体_GBK" w:hAnsi="方正黑体_GBK" w:eastAsia="方正黑体_GBK" w:cs="方正黑体_GBK"/>
          <w:color w:val="auto"/>
          <w:highlight w:val="none"/>
          <w:lang w:val="en-US" w:eastAsia="zh-CN"/>
        </w:rPr>
      </w:pPr>
    </w:p>
    <w:p w14:paraId="18CAAEFC">
      <w:pPr>
        <w:rPr>
          <w:rFonts w:hint="default" w:ascii="方正黑体_GBK" w:hAnsi="方正黑体_GBK" w:eastAsia="方正黑体_GBK" w:cs="方正黑体_GBK"/>
          <w:color w:val="auto"/>
          <w:highlight w:val="none"/>
          <w:lang w:val="en-US" w:eastAsia="zh-CN"/>
        </w:rPr>
      </w:pPr>
    </w:p>
    <w:p w14:paraId="5F9D1E21">
      <w:pPr>
        <w:rPr>
          <w:rFonts w:hint="default" w:ascii="方正黑体_GBK" w:hAnsi="方正黑体_GBK" w:eastAsia="方正黑体_GBK" w:cs="方正黑体_GBK"/>
          <w:color w:val="auto"/>
          <w:highlight w:val="none"/>
          <w:lang w:val="en-US" w:eastAsia="zh-CN"/>
        </w:rPr>
      </w:pPr>
    </w:p>
    <w:p w14:paraId="7F582E03">
      <w:pPr>
        <w:rPr>
          <w:rFonts w:hint="default" w:ascii="方正黑体_GBK" w:hAnsi="方正黑体_GBK" w:eastAsia="方正黑体_GBK" w:cs="方正黑体_GBK"/>
          <w:color w:val="auto"/>
          <w:highlight w:val="none"/>
          <w:lang w:val="en-US" w:eastAsia="zh-CN"/>
        </w:rPr>
      </w:pPr>
    </w:p>
    <w:p w14:paraId="3A979887">
      <w:pPr>
        <w:rPr>
          <w:rFonts w:hint="default" w:ascii="方正黑体_GBK" w:hAnsi="方正黑体_GBK" w:eastAsia="方正黑体_GBK" w:cs="方正黑体_GBK"/>
          <w:color w:val="auto"/>
          <w:highlight w:val="none"/>
          <w:lang w:val="en-US" w:eastAsia="zh-CN"/>
        </w:rPr>
      </w:pPr>
    </w:p>
    <w:p w14:paraId="4A1B8DF7">
      <w:pPr>
        <w:rPr>
          <w:rFonts w:hint="default" w:ascii="方正黑体_GBK" w:hAnsi="方正黑体_GBK" w:eastAsia="方正黑体_GBK" w:cs="方正黑体_GBK"/>
          <w:color w:val="auto"/>
          <w:highlight w:val="none"/>
          <w:lang w:val="en-US" w:eastAsia="zh-CN"/>
        </w:rPr>
      </w:pPr>
    </w:p>
    <w:p w14:paraId="0D46D8D6">
      <w:pPr>
        <w:rPr>
          <w:rFonts w:hint="default" w:ascii="方正黑体_GBK" w:hAnsi="方正黑体_GBK" w:eastAsia="方正黑体_GBK" w:cs="方正黑体_GBK"/>
          <w:color w:val="auto"/>
          <w:highlight w:val="none"/>
          <w:lang w:val="en-US" w:eastAsia="zh-CN"/>
        </w:rPr>
      </w:pPr>
    </w:p>
    <w:p w14:paraId="45BAAEEF">
      <w:pPr>
        <w:rPr>
          <w:rFonts w:hint="default" w:ascii="方正黑体_GBK" w:hAnsi="方正黑体_GBK" w:eastAsia="方正黑体_GBK" w:cs="方正黑体_GBK"/>
          <w:color w:val="auto"/>
          <w:highlight w:val="none"/>
          <w:lang w:val="en-US" w:eastAsia="zh-CN"/>
        </w:rPr>
      </w:pPr>
    </w:p>
    <w:p w14:paraId="3B733DE2">
      <w:pPr>
        <w:rPr>
          <w:rFonts w:hint="default" w:ascii="方正黑体_GBK" w:hAnsi="方正黑体_GBK" w:eastAsia="方正黑体_GBK" w:cs="方正黑体_GBK"/>
          <w:color w:val="auto"/>
          <w:highlight w:val="none"/>
          <w:lang w:val="en-US" w:eastAsia="zh-CN"/>
        </w:rPr>
      </w:pPr>
    </w:p>
    <w:p w14:paraId="1882E711">
      <w:pPr>
        <w:rPr>
          <w:rFonts w:hint="default" w:ascii="方正黑体_GBK" w:hAnsi="方正黑体_GBK" w:eastAsia="方正黑体_GBK" w:cs="方正黑体_GBK"/>
          <w:color w:val="auto"/>
          <w:highlight w:val="none"/>
          <w:lang w:val="en-US" w:eastAsia="zh-CN"/>
        </w:rPr>
      </w:pPr>
    </w:p>
    <w:p w14:paraId="7E24479F">
      <w:pPr>
        <w:rPr>
          <w:rFonts w:hint="default" w:ascii="方正黑体_GBK" w:hAnsi="方正黑体_GBK" w:eastAsia="方正黑体_GBK" w:cs="方正黑体_GBK"/>
          <w:color w:val="auto"/>
          <w:highlight w:val="none"/>
          <w:lang w:val="en-US" w:eastAsia="zh-CN"/>
        </w:rPr>
      </w:pPr>
    </w:p>
    <w:p w14:paraId="39EFD624">
      <w:pPr>
        <w:rPr>
          <w:rFonts w:hint="default" w:ascii="方正黑体_GBK" w:hAnsi="方正黑体_GBK" w:eastAsia="方正黑体_GBK" w:cs="方正黑体_GBK"/>
          <w:color w:val="auto"/>
          <w:highlight w:val="none"/>
          <w:lang w:val="en-US" w:eastAsia="zh-CN"/>
        </w:rPr>
      </w:pPr>
    </w:p>
    <w:p w14:paraId="4124742C">
      <w:pPr>
        <w:rPr>
          <w:rFonts w:hint="default" w:ascii="方正黑体_GBK" w:hAnsi="方正黑体_GBK" w:eastAsia="方正黑体_GBK" w:cs="方正黑体_GBK"/>
          <w:color w:val="auto"/>
          <w:highlight w:val="none"/>
          <w:lang w:val="en-US" w:eastAsia="zh-CN"/>
        </w:rPr>
      </w:pPr>
    </w:p>
    <w:p w14:paraId="48760976">
      <w:pPr>
        <w:rPr>
          <w:rFonts w:hint="default" w:ascii="方正黑体_GBK" w:hAnsi="方正黑体_GBK" w:eastAsia="方正黑体_GBK" w:cs="方正黑体_GBK"/>
          <w:color w:val="auto"/>
          <w:highlight w:val="none"/>
          <w:lang w:val="en-US" w:eastAsia="zh-CN"/>
        </w:rPr>
      </w:pPr>
    </w:p>
    <w:p w14:paraId="3E526002">
      <w:pPr>
        <w:rPr>
          <w:rFonts w:hint="default" w:ascii="方正黑体_GBK" w:hAnsi="方正黑体_GBK" w:eastAsia="方正黑体_GBK" w:cs="方正黑体_GBK"/>
          <w:color w:val="auto"/>
          <w:highlight w:val="none"/>
          <w:lang w:val="en-US" w:eastAsia="zh-CN"/>
        </w:rPr>
      </w:pPr>
    </w:p>
    <w:p w14:paraId="336F726F">
      <w:pPr>
        <w:rPr>
          <w:rFonts w:hint="default" w:ascii="方正黑体_GBK" w:hAnsi="方正黑体_GBK" w:eastAsia="方正黑体_GBK" w:cs="方正黑体_GBK"/>
          <w:color w:val="auto"/>
          <w:highlight w:val="none"/>
          <w:lang w:val="en-US" w:eastAsia="zh-CN"/>
        </w:rPr>
      </w:pPr>
    </w:p>
    <w:p w14:paraId="225AC5D8">
      <w:pPr>
        <w:rPr>
          <w:rFonts w:hint="default" w:ascii="方正黑体_GBK" w:hAnsi="方正黑体_GBK" w:eastAsia="方正黑体_GBK" w:cs="方正黑体_GBK"/>
          <w:color w:val="auto"/>
          <w:highlight w:val="none"/>
          <w:lang w:val="en-US" w:eastAsia="zh-CN"/>
        </w:rPr>
      </w:pPr>
    </w:p>
    <w:p w14:paraId="2EB07ABB">
      <w:pPr>
        <w:rPr>
          <w:rFonts w:hint="default" w:ascii="方正黑体_GBK" w:hAnsi="方正黑体_GBK" w:eastAsia="方正黑体_GBK" w:cs="方正黑体_GBK"/>
          <w:color w:val="auto"/>
          <w:highlight w:val="none"/>
          <w:lang w:val="en-US" w:eastAsia="zh-CN"/>
        </w:rPr>
      </w:pPr>
    </w:p>
    <w:p w14:paraId="1A886D18">
      <w:pP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附件3</w:t>
      </w:r>
    </w:p>
    <w:tbl>
      <w:tblPr>
        <w:tblStyle w:val="4"/>
        <w:tblW w:w="9281" w:type="dxa"/>
        <w:jc w:val="center"/>
        <w:shd w:val="clear" w:color="auto" w:fill="auto"/>
        <w:tblLayout w:type="fixed"/>
        <w:tblCellMar>
          <w:top w:w="0" w:type="dxa"/>
          <w:left w:w="0" w:type="dxa"/>
          <w:bottom w:w="0" w:type="dxa"/>
          <w:right w:w="0" w:type="dxa"/>
        </w:tblCellMar>
      </w:tblPr>
      <w:tblGrid>
        <w:gridCol w:w="1887"/>
        <w:gridCol w:w="3459"/>
        <w:gridCol w:w="901"/>
        <w:gridCol w:w="1221"/>
        <w:gridCol w:w="1813"/>
      </w:tblGrid>
      <w:tr w14:paraId="30C93DA6">
        <w:tblPrEx>
          <w:shd w:val="clear" w:color="auto" w:fill="auto"/>
          <w:tblCellMar>
            <w:top w:w="0" w:type="dxa"/>
            <w:left w:w="0" w:type="dxa"/>
            <w:bottom w:w="0" w:type="dxa"/>
            <w:right w:w="0" w:type="dxa"/>
          </w:tblCellMar>
        </w:tblPrEx>
        <w:trPr>
          <w:trHeight w:val="426" w:hRule="atLeast"/>
          <w:jc w:val="center"/>
        </w:trPr>
        <w:tc>
          <w:tcPr>
            <w:tcW w:w="9281" w:type="dxa"/>
            <w:gridSpan w:val="5"/>
            <w:vMerge w:val="restart"/>
            <w:tcBorders>
              <w:top w:val="nil"/>
              <w:left w:val="nil"/>
              <w:bottom w:val="nil"/>
              <w:right w:val="nil"/>
            </w:tcBorders>
            <w:shd w:val="clear" w:color="auto" w:fill="auto"/>
            <w:tcMar>
              <w:top w:w="15" w:type="dxa"/>
              <w:left w:w="15" w:type="dxa"/>
              <w:right w:w="15" w:type="dxa"/>
            </w:tcMar>
            <w:vAlign w:val="center"/>
          </w:tcPr>
          <w:p w14:paraId="49CA10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color w:val="auto"/>
                <w:sz w:val="28"/>
                <w:szCs w:val="28"/>
                <w:highlight w:val="none"/>
                <w:u w:val="none"/>
              </w:rPr>
            </w:pPr>
            <w:r>
              <w:rPr>
                <w:rFonts w:hint="eastAsia" w:ascii="方正小标宋_GBK" w:hAnsi="方正小标宋_GBK" w:eastAsia="方正小标宋_GBK" w:cs="方正小标宋_GBK"/>
                <w:i w:val="0"/>
                <w:color w:val="auto"/>
                <w:kern w:val="0"/>
                <w:sz w:val="28"/>
                <w:szCs w:val="28"/>
                <w:highlight w:val="none"/>
                <w:u w:val="none"/>
                <w:lang w:val="en-US" w:eastAsia="zh-CN" w:bidi="ar"/>
              </w:rPr>
              <w:t>重庆市九龙坡区人民政府渝州路街道办事处一般公共预算财政拨款基本支出预算表</w:t>
            </w:r>
          </w:p>
        </w:tc>
      </w:tr>
      <w:tr w14:paraId="528AC93E">
        <w:tblPrEx>
          <w:tblCellMar>
            <w:top w:w="0" w:type="dxa"/>
            <w:left w:w="0" w:type="dxa"/>
            <w:bottom w:w="0" w:type="dxa"/>
            <w:right w:w="0" w:type="dxa"/>
          </w:tblCellMar>
        </w:tblPrEx>
        <w:trPr>
          <w:trHeight w:val="758" w:hRule="atLeast"/>
          <w:jc w:val="center"/>
        </w:trPr>
        <w:tc>
          <w:tcPr>
            <w:tcW w:w="9281" w:type="dxa"/>
            <w:gridSpan w:val="5"/>
            <w:vMerge w:val="continue"/>
            <w:tcBorders>
              <w:top w:val="nil"/>
              <w:left w:val="nil"/>
              <w:bottom w:val="nil"/>
              <w:right w:val="nil"/>
            </w:tcBorders>
            <w:shd w:val="clear" w:color="auto" w:fill="auto"/>
            <w:tcMar>
              <w:top w:w="15" w:type="dxa"/>
              <w:left w:w="15" w:type="dxa"/>
              <w:right w:w="15" w:type="dxa"/>
            </w:tcMar>
            <w:vAlign w:val="center"/>
          </w:tcPr>
          <w:p w14:paraId="7F52C5BC">
            <w:pPr>
              <w:jc w:val="center"/>
              <w:rPr>
                <w:rFonts w:hint="eastAsia" w:ascii="方正小标宋_GBK" w:hAnsi="方正小标宋_GBK" w:eastAsia="方正小标宋_GBK" w:cs="方正小标宋_GBK"/>
                <w:i w:val="0"/>
                <w:color w:val="auto"/>
                <w:sz w:val="28"/>
                <w:szCs w:val="28"/>
                <w:highlight w:val="none"/>
                <w:u w:val="none"/>
              </w:rPr>
            </w:pPr>
          </w:p>
        </w:tc>
      </w:tr>
      <w:tr w14:paraId="2BBCF529">
        <w:tblPrEx>
          <w:tblCellMar>
            <w:top w:w="0" w:type="dxa"/>
            <w:left w:w="0" w:type="dxa"/>
            <w:bottom w:w="0" w:type="dxa"/>
            <w:right w:w="0" w:type="dxa"/>
          </w:tblCellMar>
        </w:tblPrEx>
        <w:trPr>
          <w:trHeight w:val="426" w:hRule="atLeast"/>
          <w:jc w:val="center"/>
        </w:trPr>
        <w:tc>
          <w:tcPr>
            <w:tcW w:w="9281" w:type="dxa"/>
            <w:gridSpan w:val="5"/>
            <w:tcBorders>
              <w:top w:val="nil"/>
              <w:left w:val="nil"/>
              <w:bottom w:val="nil"/>
              <w:right w:val="nil"/>
            </w:tcBorders>
            <w:shd w:val="clear" w:color="auto" w:fill="auto"/>
            <w:noWrap/>
            <w:tcMar>
              <w:top w:w="15" w:type="dxa"/>
              <w:left w:w="15" w:type="dxa"/>
              <w:right w:w="15" w:type="dxa"/>
            </w:tcMar>
            <w:vAlign w:val="center"/>
          </w:tcPr>
          <w:p w14:paraId="283562AC">
            <w:pPr>
              <w:keepNext w:val="0"/>
              <w:keepLines w:val="0"/>
              <w:widowControl/>
              <w:suppressLineNumbers w:val="0"/>
              <w:jc w:val="center"/>
              <w:textAlignment w:val="center"/>
              <w:rPr>
                <w:rFonts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（部门预算支出经济分类科目）</w:t>
            </w:r>
          </w:p>
        </w:tc>
      </w:tr>
      <w:tr w14:paraId="3747C29C">
        <w:tblPrEx>
          <w:tblCellMar>
            <w:top w:w="0" w:type="dxa"/>
            <w:left w:w="0" w:type="dxa"/>
            <w:bottom w:w="0" w:type="dxa"/>
            <w:right w:w="0" w:type="dxa"/>
          </w:tblCellMar>
        </w:tblPrEx>
        <w:trPr>
          <w:trHeight w:val="512" w:hRule="atLeast"/>
          <w:jc w:val="center"/>
        </w:trPr>
        <w:tc>
          <w:tcPr>
            <w:tcW w:w="1887" w:type="dxa"/>
            <w:tcBorders>
              <w:top w:val="nil"/>
              <w:left w:val="nil"/>
              <w:bottom w:val="nil"/>
              <w:right w:val="nil"/>
            </w:tcBorders>
            <w:shd w:val="clear" w:color="auto" w:fill="auto"/>
            <w:noWrap/>
            <w:tcMar>
              <w:top w:w="15" w:type="dxa"/>
              <w:left w:w="15" w:type="dxa"/>
              <w:right w:w="15" w:type="dxa"/>
            </w:tcMar>
            <w:vAlign w:val="center"/>
          </w:tcPr>
          <w:p w14:paraId="37E98593">
            <w:pPr>
              <w:rPr>
                <w:rFonts w:hint="eastAsia" w:ascii="宋体" w:hAnsi="宋体" w:eastAsia="宋体" w:cs="宋体"/>
                <w:i w:val="0"/>
                <w:color w:val="auto"/>
                <w:sz w:val="18"/>
                <w:szCs w:val="18"/>
                <w:highlight w:val="none"/>
                <w:u w:val="none"/>
              </w:rPr>
            </w:pPr>
          </w:p>
        </w:tc>
        <w:tc>
          <w:tcPr>
            <w:tcW w:w="3459" w:type="dxa"/>
            <w:tcBorders>
              <w:top w:val="nil"/>
              <w:left w:val="nil"/>
              <w:bottom w:val="nil"/>
              <w:right w:val="nil"/>
            </w:tcBorders>
            <w:shd w:val="clear" w:color="auto" w:fill="auto"/>
            <w:noWrap/>
            <w:tcMar>
              <w:top w:w="15" w:type="dxa"/>
              <w:left w:w="15" w:type="dxa"/>
              <w:right w:w="15" w:type="dxa"/>
            </w:tcMar>
            <w:vAlign w:val="center"/>
          </w:tcPr>
          <w:p w14:paraId="222E7552">
            <w:pPr>
              <w:rPr>
                <w:rFonts w:hint="eastAsia" w:ascii="宋体" w:hAnsi="宋体" w:eastAsia="宋体" w:cs="宋体"/>
                <w:i w:val="0"/>
                <w:color w:val="auto"/>
                <w:sz w:val="18"/>
                <w:szCs w:val="18"/>
                <w:highlight w:val="none"/>
                <w:u w:val="none"/>
              </w:rPr>
            </w:pPr>
          </w:p>
        </w:tc>
        <w:tc>
          <w:tcPr>
            <w:tcW w:w="901" w:type="dxa"/>
            <w:tcBorders>
              <w:top w:val="nil"/>
              <w:left w:val="nil"/>
              <w:bottom w:val="nil"/>
              <w:right w:val="nil"/>
            </w:tcBorders>
            <w:shd w:val="clear" w:color="auto" w:fill="auto"/>
            <w:noWrap/>
            <w:tcMar>
              <w:top w:w="15" w:type="dxa"/>
              <w:left w:w="15" w:type="dxa"/>
              <w:right w:w="15" w:type="dxa"/>
            </w:tcMar>
            <w:vAlign w:val="center"/>
          </w:tcPr>
          <w:p w14:paraId="7E67EB6A">
            <w:pPr>
              <w:rPr>
                <w:rFonts w:hint="eastAsia" w:ascii="宋体" w:hAnsi="宋体" w:eastAsia="宋体" w:cs="宋体"/>
                <w:i w:val="0"/>
                <w:color w:val="auto"/>
                <w:sz w:val="18"/>
                <w:szCs w:val="18"/>
                <w:highlight w:val="none"/>
                <w:u w:val="none"/>
              </w:rPr>
            </w:pPr>
          </w:p>
        </w:tc>
        <w:tc>
          <w:tcPr>
            <w:tcW w:w="1221" w:type="dxa"/>
            <w:tcBorders>
              <w:top w:val="nil"/>
              <w:left w:val="nil"/>
              <w:bottom w:val="nil"/>
              <w:right w:val="nil"/>
            </w:tcBorders>
            <w:shd w:val="clear" w:color="auto" w:fill="auto"/>
            <w:noWrap/>
            <w:tcMar>
              <w:top w:w="15" w:type="dxa"/>
              <w:left w:w="15" w:type="dxa"/>
              <w:right w:w="15" w:type="dxa"/>
            </w:tcMar>
            <w:vAlign w:val="center"/>
          </w:tcPr>
          <w:p w14:paraId="3708FC95">
            <w:pPr>
              <w:rPr>
                <w:rFonts w:hint="eastAsia" w:ascii="宋体" w:hAnsi="宋体" w:eastAsia="宋体" w:cs="宋体"/>
                <w:i w:val="0"/>
                <w:color w:val="auto"/>
                <w:sz w:val="18"/>
                <w:szCs w:val="18"/>
                <w:highlight w:val="none"/>
                <w:u w:val="none"/>
              </w:rPr>
            </w:pPr>
          </w:p>
        </w:tc>
        <w:tc>
          <w:tcPr>
            <w:tcW w:w="1813" w:type="dxa"/>
            <w:tcBorders>
              <w:top w:val="nil"/>
              <w:left w:val="nil"/>
              <w:bottom w:val="nil"/>
              <w:right w:val="nil"/>
            </w:tcBorders>
            <w:shd w:val="clear" w:color="auto" w:fill="auto"/>
            <w:noWrap/>
            <w:tcMar>
              <w:top w:w="15" w:type="dxa"/>
              <w:left w:w="15" w:type="dxa"/>
              <w:right w:w="15" w:type="dxa"/>
            </w:tcMar>
            <w:vAlign w:val="center"/>
          </w:tcPr>
          <w:p w14:paraId="12CEFC87">
            <w:pPr>
              <w:keepNext w:val="0"/>
              <w:keepLines w:val="0"/>
              <w:widowControl/>
              <w:suppressLineNumbers w:val="0"/>
              <w:jc w:val="right"/>
              <w:textAlignment w:val="center"/>
              <w:rPr>
                <w:rFonts w:ascii="方正楷体_GBK" w:hAnsi="方正楷体_GBK" w:eastAsia="方正楷体_GBK" w:cs="方正楷体_GBK"/>
                <w:i w:val="0"/>
                <w:color w:val="auto"/>
                <w:sz w:val="20"/>
                <w:szCs w:val="20"/>
                <w:highlight w:val="none"/>
                <w:u w:val="none"/>
              </w:rPr>
            </w:pPr>
            <w:r>
              <w:rPr>
                <w:rFonts w:hint="eastAsia" w:ascii="方正楷体_GBK" w:hAnsi="方正楷体_GBK" w:eastAsia="方正楷体_GBK" w:cs="方正楷体_GBK"/>
                <w:i w:val="0"/>
                <w:color w:val="auto"/>
                <w:kern w:val="0"/>
                <w:sz w:val="20"/>
                <w:szCs w:val="20"/>
                <w:highlight w:val="none"/>
                <w:u w:val="none"/>
                <w:lang w:val="en-US" w:eastAsia="zh-CN" w:bidi="ar"/>
              </w:rPr>
              <w:t>单位：万元</w:t>
            </w:r>
          </w:p>
        </w:tc>
      </w:tr>
      <w:tr w14:paraId="3B435042">
        <w:tblPrEx>
          <w:tblCellMar>
            <w:top w:w="0" w:type="dxa"/>
            <w:left w:w="0" w:type="dxa"/>
            <w:bottom w:w="0" w:type="dxa"/>
            <w:right w:w="0" w:type="dxa"/>
          </w:tblCellMar>
        </w:tblPrEx>
        <w:trPr>
          <w:trHeight w:val="283" w:hRule="atLeast"/>
          <w:jc w:val="center"/>
        </w:trPr>
        <w:tc>
          <w:tcPr>
            <w:tcW w:w="53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40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经济分类科目</w:t>
            </w:r>
          </w:p>
        </w:tc>
        <w:tc>
          <w:tcPr>
            <w:tcW w:w="3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6F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2025年基本支出</w:t>
            </w:r>
          </w:p>
        </w:tc>
      </w:tr>
      <w:tr w14:paraId="0D409152">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D1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科目编码</w:t>
            </w: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C9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科目名称</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75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总计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2B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人员经费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2D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日常公用经费</w:t>
            </w:r>
          </w:p>
        </w:tc>
      </w:tr>
      <w:tr w14:paraId="2C72F393">
        <w:tblPrEx>
          <w:tblCellMar>
            <w:top w:w="0" w:type="dxa"/>
            <w:left w:w="0" w:type="dxa"/>
            <w:bottom w:w="0" w:type="dxa"/>
            <w:right w:w="0" w:type="dxa"/>
          </w:tblCellMar>
        </w:tblPrEx>
        <w:trPr>
          <w:trHeight w:val="283" w:hRule="atLeast"/>
          <w:jc w:val="center"/>
        </w:trPr>
        <w:tc>
          <w:tcPr>
            <w:tcW w:w="53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07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b/>
                <w:i w:val="0"/>
                <w:color w:val="auto"/>
                <w:sz w:val="20"/>
                <w:szCs w:val="20"/>
                <w:highlight w:val="none"/>
                <w:u w:val="none"/>
              </w:rPr>
            </w:pPr>
            <w:r>
              <w:rPr>
                <w:rFonts w:hint="eastAsia" w:ascii="方正仿宋_GBK" w:hAnsi="方正仿宋_GBK" w:eastAsia="方正仿宋_GBK" w:cs="方正仿宋_GBK"/>
                <w:b/>
                <w:i w:val="0"/>
                <w:color w:val="auto"/>
                <w:kern w:val="0"/>
                <w:sz w:val="20"/>
                <w:szCs w:val="20"/>
                <w:highlight w:val="none"/>
                <w:u w:val="none"/>
                <w:lang w:val="en-US" w:eastAsia="zh-CN" w:bidi="ar"/>
              </w:rPr>
              <w:t>合计</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3941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1,153.91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561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923.60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BEC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230.31</w:t>
            </w:r>
          </w:p>
        </w:tc>
      </w:tr>
      <w:tr w14:paraId="54ABBFC8">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0BC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301</w:t>
            </w: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105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工资福利支出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F54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849.24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DE1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849.24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8259">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37619CA5">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790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30101</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744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基本工资</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3EC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180.30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F44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180.30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4928">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2DDD5FE5">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678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30102</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D165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津贴补贴</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AC7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155.48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3CB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155.48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2E7E">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3923667E">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E382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30103</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758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奖金</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3A7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251.86</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506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251.86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C3C3">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4C4F8E71">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BBC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30108</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46E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机关事业单位基本养老保险缴费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AFD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81.74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E87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81.74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59F9">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0E367B94">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605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30109</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E19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职业年金缴费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999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40.87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D09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40.87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809C">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1A306413">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ED8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30110</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BA69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职工基本医疗保险缴费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ADA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43.42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70F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43.42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C723">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656A8461">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4962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30111</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DD78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公务员医疗补助缴费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B9E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5.12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64C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5.12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0466">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3A577827">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56C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30112</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E723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其他社会保障缴费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5D0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9.20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74F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9.20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655F">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51EB317D">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7E3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30113</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EBD8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住房公积金</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797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70.07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260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70.07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5837">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48B81E17">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064B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30114</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B77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医疗费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912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4.80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C0B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4.80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DF8C">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578E9FFF">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32E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30199</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4EAA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其他工资福利支出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F23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6.40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637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6.40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6155">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r>
      <w:tr w14:paraId="6F8F939A">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8EC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302</w:t>
            </w: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4F8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商品和服务支出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EB3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207.42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2459">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9B3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207.42</w:t>
            </w:r>
          </w:p>
        </w:tc>
      </w:tr>
      <w:tr w14:paraId="43F78E48">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C1C0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30201</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12A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办公费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CC4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17.71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A414">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B73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17.71</w:t>
            </w:r>
          </w:p>
        </w:tc>
      </w:tr>
      <w:tr w14:paraId="5A630960">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479C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30205</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7DE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水费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B29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5.96</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1078">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5D1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5.96</w:t>
            </w:r>
          </w:p>
        </w:tc>
      </w:tr>
      <w:tr w14:paraId="59948C5B">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705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30206</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73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电费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73D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39.24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D156">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74A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39.24</w:t>
            </w:r>
          </w:p>
        </w:tc>
      </w:tr>
      <w:tr w14:paraId="23D650FA">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D20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30209</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8D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物业管理费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37D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36.72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8DD2">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ABD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36.72</w:t>
            </w:r>
          </w:p>
        </w:tc>
      </w:tr>
      <w:tr w14:paraId="1E8FDE7D">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2C2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30216</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B4A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培训费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A49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5.21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7EFA">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F49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5.21</w:t>
            </w:r>
          </w:p>
        </w:tc>
      </w:tr>
      <w:tr w14:paraId="3E6D8524">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4B82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30227</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E6C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委托业务费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FC0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017F">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8C4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10.00</w:t>
            </w:r>
          </w:p>
        </w:tc>
      </w:tr>
      <w:tr w14:paraId="7D2A3B2B">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68A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30228</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A7AC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工会经费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5EE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16.94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01D9">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04F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16.94</w:t>
            </w:r>
          </w:p>
        </w:tc>
      </w:tr>
      <w:tr w14:paraId="7CA72143">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0F58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30229</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334F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福利费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7E2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10.41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FA24">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363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10.41</w:t>
            </w:r>
          </w:p>
        </w:tc>
      </w:tr>
      <w:tr w14:paraId="6F922B0C">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3CB0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30231</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0D8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公务用车运行维护费</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FBF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12.00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BD4C">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E8E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12.00</w:t>
            </w:r>
          </w:p>
        </w:tc>
      </w:tr>
      <w:tr w14:paraId="53F94574">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D871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30239</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CD0C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其他交通费用</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81D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36.19</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E196">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5D9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36.19</w:t>
            </w:r>
          </w:p>
        </w:tc>
      </w:tr>
      <w:tr w14:paraId="5D5F89F2">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FAA8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30299</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A44A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其他商品和服务支出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2E7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17.04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3D99">
            <w:pPr>
              <w:keepNext w:val="0"/>
              <w:keepLines w:val="0"/>
              <w:pageBreakBefore w:val="0"/>
              <w:kinsoku/>
              <w:wordWrap/>
              <w:overflowPunct/>
              <w:topLinePunct w:val="0"/>
              <w:autoSpaceDE/>
              <w:autoSpaceDN/>
              <w:bidi w:val="0"/>
              <w:adjustRightInd/>
              <w:snapToGrid/>
              <w:spacing w:line="240" w:lineRule="atLeast"/>
              <w:jc w:val="right"/>
              <w:rPr>
                <w:rFonts w:hint="default" w:ascii="Times New Roman" w:hAnsi="Times New Roman" w:eastAsia="宋体" w:cs="Times New Roman"/>
                <w:i w:val="0"/>
                <w:color w:val="auto"/>
                <w:sz w:val="20"/>
                <w:szCs w:val="20"/>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CF1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17.04</w:t>
            </w:r>
          </w:p>
        </w:tc>
      </w:tr>
      <w:tr w14:paraId="795F7A08">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6E9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303</w:t>
            </w: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01B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对个人和家庭的补助</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C72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97.25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548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74.36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B49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22.89</w:t>
            </w:r>
          </w:p>
        </w:tc>
      </w:tr>
      <w:tr w14:paraId="477FEFA9">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75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30305</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1784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生活补助</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EE1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88.15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5D7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69.16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665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18.99</w:t>
            </w:r>
          </w:p>
        </w:tc>
      </w:tr>
      <w:tr w14:paraId="4B836811">
        <w:tblPrEx>
          <w:tblCellMar>
            <w:top w:w="0" w:type="dxa"/>
            <w:left w:w="0" w:type="dxa"/>
            <w:bottom w:w="0" w:type="dxa"/>
            <w:right w:w="0" w:type="dxa"/>
          </w:tblCellMar>
        </w:tblPrEx>
        <w:trPr>
          <w:trHeight w:val="283" w:hRule="atLeast"/>
          <w:jc w:val="center"/>
        </w:trPr>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5C6E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30307</w:t>
            </w:r>
          </w:p>
        </w:tc>
        <w:tc>
          <w:tcPr>
            <w:tcW w:w="3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F390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i w:val="0"/>
                <w:color w:val="auto"/>
                <w:sz w:val="20"/>
                <w:szCs w:val="20"/>
                <w:highlight w:val="none"/>
                <w:u w:val="none"/>
              </w:rPr>
            </w:pPr>
            <w:r>
              <w:rPr>
                <w:rStyle w:val="8"/>
                <w:color w:val="auto"/>
                <w:highlight w:val="none"/>
                <w:lang w:val="en-US" w:eastAsia="zh-CN" w:bidi="ar"/>
              </w:rPr>
              <w:t xml:space="preserve"> 医疗费补助</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239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091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5.20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DC1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3.90</w:t>
            </w:r>
          </w:p>
        </w:tc>
      </w:tr>
    </w:tbl>
    <w:p w14:paraId="4A749123">
      <w:pPr>
        <w:keepNext w:val="0"/>
        <w:keepLines w:val="0"/>
        <w:pageBreakBefore w:val="0"/>
        <w:kinsoku/>
        <w:wordWrap/>
        <w:overflowPunct/>
        <w:topLinePunct w:val="0"/>
        <w:autoSpaceDE/>
        <w:autoSpaceDN/>
        <w:bidi w:val="0"/>
        <w:adjustRightInd/>
        <w:snapToGrid/>
        <w:spacing w:line="240" w:lineRule="atLeast"/>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附件4</w:t>
      </w:r>
    </w:p>
    <w:tbl>
      <w:tblPr>
        <w:tblStyle w:val="4"/>
        <w:tblW w:w="9260" w:type="dxa"/>
        <w:jc w:val="center"/>
        <w:shd w:val="clear" w:color="auto" w:fill="auto"/>
        <w:tblLayout w:type="fixed"/>
        <w:tblCellMar>
          <w:top w:w="0" w:type="dxa"/>
          <w:left w:w="0" w:type="dxa"/>
          <w:bottom w:w="0" w:type="dxa"/>
          <w:right w:w="0" w:type="dxa"/>
        </w:tblCellMar>
      </w:tblPr>
      <w:tblGrid>
        <w:gridCol w:w="2494"/>
        <w:gridCol w:w="3382"/>
        <w:gridCol w:w="3384"/>
      </w:tblGrid>
      <w:tr w14:paraId="283EF519">
        <w:tblPrEx>
          <w:shd w:val="clear" w:color="auto" w:fill="auto"/>
          <w:tblCellMar>
            <w:top w:w="0" w:type="dxa"/>
            <w:left w:w="0" w:type="dxa"/>
            <w:bottom w:w="0" w:type="dxa"/>
            <w:right w:w="0" w:type="dxa"/>
          </w:tblCellMar>
        </w:tblPrEx>
        <w:trPr>
          <w:trHeight w:val="283" w:hRule="atLeast"/>
          <w:jc w:val="center"/>
        </w:trPr>
        <w:tc>
          <w:tcPr>
            <w:tcW w:w="9260" w:type="dxa"/>
            <w:gridSpan w:val="3"/>
            <w:tcBorders>
              <w:top w:val="nil"/>
              <w:left w:val="nil"/>
              <w:bottom w:val="nil"/>
              <w:right w:val="nil"/>
            </w:tcBorders>
            <w:shd w:val="clear" w:color="auto" w:fill="auto"/>
            <w:tcMar>
              <w:top w:w="15" w:type="dxa"/>
              <w:left w:w="15" w:type="dxa"/>
              <w:right w:w="15" w:type="dxa"/>
            </w:tcMar>
            <w:vAlign w:val="center"/>
          </w:tcPr>
          <w:p w14:paraId="56505228">
            <w:pPr>
              <w:keepNext w:val="0"/>
              <w:keepLines w:val="0"/>
              <w:widowControl/>
              <w:suppressLineNumbers w:val="0"/>
              <w:jc w:val="center"/>
              <w:textAlignment w:val="center"/>
              <w:rPr>
                <w:rFonts w:ascii="方正小标宋_GBK" w:hAnsi="方正小标宋_GBK" w:eastAsia="方正小标宋_GBK" w:cs="方正小标宋_GBK"/>
                <w:i w:val="0"/>
                <w:color w:val="auto"/>
                <w:sz w:val="34"/>
                <w:szCs w:val="34"/>
                <w:highlight w:val="none"/>
                <w:u w:val="none"/>
              </w:rPr>
            </w:pPr>
            <w:r>
              <w:rPr>
                <w:rFonts w:hint="eastAsia" w:ascii="方正小标宋_GBK" w:hAnsi="方正小标宋_GBK" w:eastAsia="方正小标宋_GBK" w:cs="方正小标宋_GBK"/>
                <w:i w:val="0"/>
                <w:color w:val="auto"/>
                <w:kern w:val="0"/>
                <w:sz w:val="34"/>
                <w:szCs w:val="34"/>
                <w:highlight w:val="none"/>
                <w:u w:val="none"/>
                <w:lang w:val="en-US" w:eastAsia="zh-CN" w:bidi="ar"/>
              </w:rPr>
              <w:t>重庆市九龙坡区人民政府渝州路街道办事处一般公共预算财政拨款基本支出预算表</w:t>
            </w:r>
          </w:p>
        </w:tc>
      </w:tr>
      <w:tr w14:paraId="60F579D6">
        <w:tblPrEx>
          <w:tblCellMar>
            <w:top w:w="0" w:type="dxa"/>
            <w:left w:w="0" w:type="dxa"/>
            <w:bottom w:w="0" w:type="dxa"/>
            <w:right w:w="0" w:type="dxa"/>
          </w:tblCellMar>
        </w:tblPrEx>
        <w:trPr>
          <w:trHeight w:val="283" w:hRule="atLeast"/>
          <w:jc w:val="center"/>
        </w:trPr>
        <w:tc>
          <w:tcPr>
            <w:tcW w:w="9260" w:type="dxa"/>
            <w:gridSpan w:val="3"/>
            <w:tcBorders>
              <w:top w:val="nil"/>
              <w:left w:val="nil"/>
              <w:bottom w:val="nil"/>
              <w:right w:val="nil"/>
            </w:tcBorders>
            <w:shd w:val="clear" w:color="auto" w:fill="auto"/>
            <w:tcMar>
              <w:top w:w="15" w:type="dxa"/>
              <w:left w:w="15" w:type="dxa"/>
              <w:right w:w="15" w:type="dxa"/>
            </w:tcMar>
            <w:vAlign w:val="center"/>
          </w:tcPr>
          <w:p w14:paraId="492C805F">
            <w:pPr>
              <w:keepNext w:val="0"/>
              <w:keepLines w:val="0"/>
              <w:widowControl/>
              <w:suppressLineNumbers w:val="0"/>
              <w:jc w:val="center"/>
              <w:textAlignment w:val="center"/>
              <w:rPr>
                <w:rFonts w:ascii="方正楷体_GBK" w:hAnsi="方正楷体_GBK" w:eastAsia="方正楷体_GBK" w:cs="方正楷体_GBK"/>
                <w:i w:val="0"/>
                <w:color w:val="auto"/>
                <w:sz w:val="24"/>
                <w:szCs w:val="24"/>
                <w:highlight w:val="none"/>
                <w:u w:val="none"/>
              </w:rPr>
            </w:pPr>
            <w:r>
              <w:rPr>
                <w:rFonts w:hint="eastAsia" w:ascii="方正楷体_GBK" w:hAnsi="方正楷体_GBK" w:eastAsia="方正楷体_GBK" w:cs="方正楷体_GBK"/>
                <w:i w:val="0"/>
                <w:color w:val="auto"/>
                <w:kern w:val="0"/>
                <w:sz w:val="24"/>
                <w:szCs w:val="24"/>
                <w:highlight w:val="none"/>
                <w:u w:val="none"/>
                <w:lang w:val="en-US" w:eastAsia="zh-CN" w:bidi="ar"/>
              </w:rPr>
              <w:t>（政府预算支出经济分类科目）</w:t>
            </w:r>
          </w:p>
        </w:tc>
      </w:tr>
      <w:tr w14:paraId="0E4E4E56">
        <w:tblPrEx>
          <w:tblCellMar>
            <w:top w:w="0" w:type="dxa"/>
            <w:left w:w="0" w:type="dxa"/>
            <w:bottom w:w="0" w:type="dxa"/>
            <w:right w:w="0" w:type="dxa"/>
          </w:tblCellMar>
        </w:tblPrEx>
        <w:trPr>
          <w:trHeight w:val="454" w:hRule="atLeast"/>
          <w:jc w:val="center"/>
        </w:trPr>
        <w:tc>
          <w:tcPr>
            <w:tcW w:w="2494" w:type="dxa"/>
            <w:tcBorders>
              <w:top w:val="nil"/>
              <w:left w:val="nil"/>
              <w:bottom w:val="nil"/>
              <w:right w:val="nil"/>
            </w:tcBorders>
            <w:shd w:val="clear" w:color="auto" w:fill="auto"/>
            <w:noWrap/>
            <w:tcMar>
              <w:top w:w="15" w:type="dxa"/>
              <w:left w:w="15" w:type="dxa"/>
              <w:right w:w="15" w:type="dxa"/>
            </w:tcMar>
            <w:vAlign w:val="center"/>
          </w:tcPr>
          <w:p w14:paraId="70D401B5">
            <w:pPr>
              <w:rPr>
                <w:rFonts w:hint="eastAsia" w:ascii="宋体" w:hAnsi="宋体" w:eastAsia="宋体" w:cs="宋体"/>
                <w:i w:val="0"/>
                <w:color w:val="auto"/>
                <w:sz w:val="22"/>
                <w:szCs w:val="22"/>
                <w:highlight w:val="none"/>
                <w:u w:val="none"/>
              </w:rPr>
            </w:pPr>
          </w:p>
        </w:tc>
        <w:tc>
          <w:tcPr>
            <w:tcW w:w="3382" w:type="dxa"/>
            <w:tcBorders>
              <w:top w:val="nil"/>
              <w:left w:val="nil"/>
              <w:bottom w:val="nil"/>
              <w:right w:val="nil"/>
            </w:tcBorders>
            <w:shd w:val="clear" w:color="auto" w:fill="auto"/>
            <w:noWrap/>
            <w:tcMar>
              <w:top w:w="15" w:type="dxa"/>
              <w:left w:w="15" w:type="dxa"/>
              <w:right w:w="15" w:type="dxa"/>
            </w:tcMar>
            <w:vAlign w:val="center"/>
          </w:tcPr>
          <w:p w14:paraId="11307319">
            <w:pPr>
              <w:rPr>
                <w:rFonts w:hint="eastAsia" w:ascii="宋体" w:hAnsi="宋体" w:eastAsia="宋体" w:cs="宋体"/>
                <w:i w:val="0"/>
                <w:color w:val="auto"/>
                <w:sz w:val="22"/>
                <w:szCs w:val="22"/>
                <w:highlight w:val="none"/>
                <w:u w:val="none"/>
              </w:rPr>
            </w:pPr>
          </w:p>
        </w:tc>
        <w:tc>
          <w:tcPr>
            <w:tcW w:w="3384" w:type="dxa"/>
            <w:tcBorders>
              <w:top w:val="nil"/>
              <w:left w:val="nil"/>
              <w:bottom w:val="nil"/>
              <w:right w:val="nil"/>
            </w:tcBorders>
            <w:shd w:val="clear" w:color="auto" w:fill="auto"/>
            <w:tcMar>
              <w:top w:w="15" w:type="dxa"/>
              <w:left w:w="15" w:type="dxa"/>
              <w:right w:w="15" w:type="dxa"/>
            </w:tcMar>
            <w:vAlign w:val="center"/>
          </w:tcPr>
          <w:p w14:paraId="27974DD0">
            <w:pPr>
              <w:keepNext w:val="0"/>
              <w:keepLines w:val="0"/>
              <w:widowControl/>
              <w:suppressLineNumbers w:val="0"/>
              <w:jc w:val="right"/>
              <w:textAlignment w:val="center"/>
              <w:rPr>
                <w:rFonts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单位：万元</w:t>
            </w:r>
          </w:p>
        </w:tc>
      </w:tr>
      <w:tr w14:paraId="2488480F">
        <w:tblPrEx>
          <w:tblCellMar>
            <w:top w:w="0" w:type="dxa"/>
            <w:left w:w="0" w:type="dxa"/>
            <w:bottom w:w="0" w:type="dxa"/>
            <w:right w:w="0" w:type="dxa"/>
          </w:tblCellMar>
        </w:tblPrEx>
        <w:trPr>
          <w:trHeight w:val="454" w:hRule="atLeast"/>
          <w:jc w:val="center"/>
        </w:trPr>
        <w:tc>
          <w:tcPr>
            <w:tcW w:w="5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38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大黑_GBK" w:hAnsi="方正大黑_GBK" w:eastAsia="方正大黑_GBK" w:cs="方正大黑_GBK"/>
                <w:i w:val="0"/>
                <w:color w:val="auto"/>
                <w:sz w:val="28"/>
                <w:szCs w:val="28"/>
                <w:highlight w:val="none"/>
                <w:u w:val="none"/>
              </w:rPr>
            </w:pPr>
            <w:r>
              <w:rPr>
                <w:rFonts w:hint="eastAsia" w:ascii="方正大黑_GBK" w:hAnsi="方正大黑_GBK" w:eastAsia="方正大黑_GBK" w:cs="方正大黑_GBK"/>
                <w:i w:val="0"/>
                <w:color w:val="auto"/>
                <w:kern w:val="0"/>
                <w:sz w:val="28"/>
                <w:szCs w:val="28"/>
                <w:highlight w:val="none"/>
                <w:u w:val="none"/>
                <w:lang w:val="en-US" w:eastAsia="zh-CN" w:bidi="ar"/>
              </w:rPr>
              <w:t>政府预算经济科目</w:t>
            </w:r>
          </w:p>
        </w:tc>
        <w:tc>
          <w:tcPr>
            <w:tcW w:w="3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B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大黑_GBK" w:hAnsi="方正大黑_GBK" w:eastAsia="方正大黑_GBK" w:cs="方正大黑_GBK"/>
                <w:i w:val="0"/>
                <w:color w:val="auto"/>
                <w:sz w:val="28"/>
                <w:szCs w:val="28"/>
                <w:highlight w:val="none"/>
                <w:u w:val="none"/>
              </w:rPr>
            </w:pPr>
            <w:r>
              <w:rPr>
                <w:rFonts w:hint="eastAsia" w:ascii="方正大黑_GBK" w:hAnsi="方正大黑_GBK" w:eastAsia="方正大黑_GBK" w:cs="方正大黑_GBK"/>
                <w:i w:val="0"/>
                <w:color w:val="auto"/>
                <w:kern w:val="0"/>
                <w:sz w:val="28"/>
                <w:szCs w:val="28"/>
                <w:highlight w:val="none"/>
                <w:u w:val="none"/>
                <w:lang w:val="en-US" w:eastAsia="zh-CN" w:bidi="ar"/>
              </w:rPr>
              <w:t>基本支出</w:t>
            </w:r>
          </w:p>
        </w:tc>
      </w:tr>
      <w:tr w14:paraId="7B1EA66B">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4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b/>
                <w:i w:val="0"/>
                <w:color w:val="auto"/>
                <w:sz w:val="28"/>
                <w:szCs w:val="28"/>
                <w:highlight w:val="none"/>
                <w:u w:val="none"/>
              </w:rPr>
            </w:pPr>
            <w:r>
              <w:rPr>
                <w:rFonts w:hint="eastAsia" w:ascii="方正黑体_GBK" w:hAnsi="方正黑体_GBK" w:eastAsia="方正黑体_GBK" w:cs="方正黑体_GBK"/>
                <w:b/>
                <w:i w:val="0"/>
                <w:color w:val="auto"/>
                <w:kern w:val="0"/>
                <w:sz w:val="28"/>
                <w:szCs w:val="28"/>
                <w:highlight w:val="none"/>
                <w:u w:val="none"/>
                <w:lang w:val="en-US" w:eastAsia="zh-CN" w:bidi="ar"/>
              </w:rPr>
              <w:t>科目编码</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3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i w:val="0"/>
                <w:color w:val="auto"/>
                <w:sz w:val="28"/>
                <w:szCs w:val="28"/>
                <w:highlight w:val="none"/>
                <w:u w:val="none"/>
              </w:rPr>
            </w:pPr>
            <w:r>
              <w:rPr>
                <w:rFonts w:hint="eastAsia" w:ascii="方正黑体_GBK" w:hAnsi="方正黑体_GBK" w:eastAsia="方正黑体_GBK" w:cs="方正黑体_GBK"/>
                <w:b/>
                <w:i w:val="0"/>
                <w:color w:val="auto"/>
                <w:kern w:val="0"/>
                <w:sz w:val="28"/>
                <w:szCs w:val="28"/>
                <w:highlight w:val="none"/>
                <w:u w:val="none"/>
                <w:lang w:val="en-US" w:eastAsia="zh-CN" w:bidi="ar"/>
              </w:rPr>
              <w:t>科目名称</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6E3E">
            <w:pPr>
              <w:keepNext w:val="0"/>
              <w:keepLines w:val="0"/>
              <w:pageBreakBefore w:val="0"/>
              <w:kinsoku/>
              <w:wordWrap/>
              <w:overflowPunct/>
              <w:topLinePunct w:val="0"/>
              <w:autoSpaceDE/>
              <w:autoSpaceDN/>
              <w:bidi w:val="0"/>
              <w:adjustRightInd/>
              <w:snapToGrid/>
              <w:spacing w:line="240" w:lineRule="exact"/>
              <w:jc w:val="center"/>
              <w:rPr>
                <w:rFonts w:hint="eastAsia" w:ascii="方正大黑_GBK" w:hAnsi="方正大黑_GBK" w:eastAsia="方正大黑_GBK" w:cs="方正大黑_GBK"/>
                <w:i w:val="0"/>
                <w:color w:val="auto"/>
                <w:sz w:val="28"/>
                <w:szCs w:val="28"/>
                <w:highlight w:val="none"/>
                <w:u w:val="none"/>
              </w:rPr>
            </w:pPr>
          </w:p>
        </w:tc>
      </w:tr>
      <w:tr w14:paraId="30ECC485">
        <w:tblPrEx>
          <w:tblCellMar>
            <w:top w:w="0" w:type="dxa"/>
            <w:left w:w="0" w:type="dxa"/>
            <w:bottom w:w="0" w:type="dxa"/>
            <w:right w:w="0" w:type="dxa"/>
          </w:tblCellMar>
        </w:tblPrEx>
        <w:trPr>
          <w:trHeight w:val="454" w:hRule="atLeast"/>
          <w:jc w:val="center"/>
        </w:trPr>
        <w:tc>
          <w:tcPr>
            <w:tcW w:w="5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F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合计</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357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1,153.91</w:t>
            </w:r>
          </w:p>
        </w:tc>
      </w:tr>
      <w:tr w14:paraId="630613E2">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F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501</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45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机关工资福利支出</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E63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849.24</w:t>
            </w:r>
          </w:p>
        </w:tc>
      </w:tr>
      <w:tr w14:paraId="06E5F56A">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31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50101</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09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工资奖金津补贴</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30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587.64</w:t>
            </w:r>
          </w:p>
        </w:tc>
      </w:tr>
      <w:tr w14:paraId="78154D12">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31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50102</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7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社会保障缴费</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A46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180.34</w:t>
            </w:r>
          </w:p>
        </w:tc>
      </w:tr>
      <w:tr w14:paraId="4D02C326">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6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50103</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95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住房公积金</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9B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70.07</w:t>
            </w:r>
          </w:p>
        </w:tc>
      </w:tr>
      <w:tr w14:paraId="57E45111">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33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50199</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FCA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其他工资福利支出</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DA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11.20</w:t>
            </w:r>
          </w:p>
        </w:tc>
      </w:tr>
      <w:tr w14:paraId="78FB442F">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37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502</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B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机关商品和服务支出</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F1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207.42</w:t>
            </w:r>
          </w:p>
        </w:tc>
      </w:tr>
      <w:tr w14:paraId="5D61B4FE">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C90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50201</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9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办公经费</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E7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163.17</w:t>
            </w:r>
          </w:p>
        </w:tc>
      </w:tr>
      <w:tr w14:paraId="5F6935D0">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C46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50203</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AF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培训费</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1F0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5.21</w:t>
            </w:r>
          </w:p>
        </w:tc>
      </w:tr>
      <w:tr w14:paraId="06A053ED">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981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50205</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0A4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委托业务费</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B5C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w:t>
            </w:r>
          </w:p>
        </w:tc>
      </w:tr>
      <w:tr w14:paraId="24E3A67B">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792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50208</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B4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公务用车运行维护费</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14B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12.00</w:t>
            </w:r>
          </w:p>
        </w:tc>
      </w:tr>
      <w:tr w14:paraId="6A7EE887">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D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50299</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D0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其他商品和服务支出</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C6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17.04</w:t>
            </w:r>
          </w:p>
        </w:tc>
      </w:tr>
      <w:tr w14:paraId="5F3B1B35">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08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509</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ACB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对个人和家庭的补助</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8E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97.25</w:t>
            </w:r>
          </w:p>
        </w:tc>
      </w:tr>
      <w:tr w14:paraId="55750428">
        <w:tblPrEx>
          <w:tblCellMar>
            <w:top w:w="0" w:type="dxa"/>
            <w:left w:w="0" w:type="dxa"/>
            <w:bottom w:w="0" w:type="dxa"/>
            <w:right w:w="0" w:type="dxa"/>
          </w:tblCellMar>
        </w:tblPrEx>
        <w:trPr>
          <w:trHeight w:val="454" w:hRule="atLeast"/>
          <w:jc w:val="center"/>
        </w:trPr>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98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50901</w:t>
            </w:r>
          </w:p>
        </w:tc>
        <w:tc>
          <w:tcPr>
            <w:tcW w:w="3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B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社会福利和救助</w:t>
            </w:r>
          </w:p>
        </w:tc>
        <w:tc>
          <w:tcPr>
            <w:tcW w:w="3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864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97.25</w:t>
            </w:r>
          </w:p>
        </w:tc>
      </w:tr>
    </w:tbl>
    <w:p w14:paraId="78D445CA">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4101F8DE">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9E1E3B2">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98A6F3E">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2373615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38C588A">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6B1D44BD">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EB4029F">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0823169">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05B8F9D2">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6F55DCB">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23546D33">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408640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附件5</w:t>
      </w:r>
    </w:p>
    <w:tbl>
      <w:tblPr>
        <w:tblStyle w:val="4"/>
        <w:tblW w:w="9440" w:type="dxa"/>
        <w:jc w:val="center"/>
        <w:shd w:val="clear" w:color="auto" w:fill="auto"/>
        <w:tblLayout w:type="fixed"/>
        <w:tblCellMar>
          <w:top w:w="0" w:type="dxa"/>
          <w:left w:w="0" w:type="dxa"/>
          <w:bottom w:w="0" w:type="dxa"/>
          <w:right w:w="0" w:type="dxa"/>
        </w:tblCellMar>
      </w:tblPr>
      <w:tblGrid>
        <w:gridCol w:w="1802"/>
        <w:gridCol w:w="1744"/>
        <w:gridCol w:w="1240"/>
        <w:gridCol w:w="1534"/>
        <w:gridCol w:w="1611"/>
        <w:gridCol w:w="1509"/>
      </w:tblGrid>
      <w:tr w14:paraId="42AEA348">
        <w:tblPrEx>
          <w:shd w:val="clear" w:color="auto" w:fill="auto"/>
          <w:tblCellMar>
            <w:top w:w="0" w:type="dxa"/>
            <w:left w:w="0" w:type="dxa"/>
            <w:bottom w:w="0" w:type="dxa"/>
            <w:right w:w="0" w:type="dxa"/>
          </w:tblCellMar>
        </w:tblPrEx>
        <w:trPr>
          <w:trHeight w:val="494" w:hRule="atLeast"/>
          <w:jc w:val="center"/>
        </w:trPr>
        <w:tc>
          <w:tcPr>
            <w:tcW w:w="9440" w:type="dxa"/>
            <w:gridSpan w:val="6"/>
            <w:vMerge w:val="restart"/>
            <w:tcBorders>
              <w:top w:val="nil"/>
              <w:left w:val="nil"/>
              <w:bottom w:val="nil"/>
              <w:right w:val="nil"/>
            </w:tcBorders>
            <w:shd w:val="clear" w:color="auto" w:fill="auto"/>
            <w:tcMar>
              <w:top w:w="15" w:type="dxa"/>
              <w:left w:w="15" w:type="dxa"/>
              <w:right w:w="15" w:type="dxa"/>
            </w:tcMar>
            <w:vAlign w:val="center"/>
          </w:tcPr>
          <w:p w14:paraId="3798E0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_GBK" w:hAnsi="方正小标宋_GBK" w:eastAsia="方正小标宋_GBK" w:cs="方正小标宋_GBK"/>
                <w:i w:val="0"/>
                <w:color w:val="auto"/>
                <w:sz w:val="30"/>
                <w:szCs w:val="30"/>
                <w:highlight w:val="none"/>
                <w:u w:val="none"/>
              </w:rPr>
            </w:pPr>
            <w:r>
              <w:rPr>
                <w:rFonts w:hint="eastAsia" w:ascii="方正小标宋_GBK" w:hAnsi="方正小标宋_GBK" w:eastAsia="方正小标宋_GBK" w:cs="方正小标宋_GBK"/>
                <w:i w:val="0"/>
                <w:color w:val="auto"/>
                <w:kern w:val="0"/>
                <w:sz w:val="30"/>
                <w:szCs w:val="30"/>
                <w:highlight w:val="none"/>
                <w:u w:val="none"/>
                <w:lang w:val="en-US" w:eastAsia="zh-CN" w:bidi="ar"/>
              </w:rPr>
              <w:t>重庆市九龙坡区人民政府渝州路街道办事处一般公共预算“三公”经费支出表</w:t>
            </w:r>
          </w:p>
        </w:tc>
      </w:tr>
      <w:tr w14:paraId="38F5AAEE">
        <w:tblPrEx>
          <w:tblCellMar>
            <w:top w:w="0" w:type="dxa"/>
            <w:left w:w="0" w:type="dxa"/>
            <w:bottom w:w="0" w:type="dxa"/>
            <w:right w:w="0" w:type="dxa"/>
          </w:tblCellMar>
        </w:tblPrEx>
        <w:trPr>
          <w:trHeight w:val="494" w:hRule="atLeast"/>
          <w:jc w:val="center"/>
        </w:trPr>
        <w:tc>
          <w:tcPr>
            <w:tcW w:w="9440" w:type="dxa"/>
            <w:gridSpan w:val="6"/>
            <w:vMerge w:val="continue"/>
            <w:tcBorders>
              <w:top w:val="nil"/>
              <w:left w:val="nil"/>
              <w:bottom w:val="nil"/>
              <w:right w:val="nil"/>
            </w:tcBorders>
            <w:shd w:val="clear" w:color="auto" w:fill="auto"/>
            <w:tcMar>
              <w:top w:w="15" w:type="dxa"/>
              <w:left w:w="15" w:type="dxa"/>
              <w:right w:w="15" w:type="dxa"/>
            </w:tcMar>
            <w:vAlign w:val="center"/>
          </w:tcPr>
          <w:p w14:paraId="432AD98C">
            <w:pPr>
              <w:jc w:val="center"/>
              <w:rPr>
                <w:rFonts w:hint="eastAsia" w:ascii="方正小标宋_GBK" w:hAnsi="方正小标宋_GBK" w:eastAsia="方正小标宋_GBK" w:cs="方正小标宋_GBK"/>
                <w:i w:val="0"/>
                <w:color w:val="auto"/>
                <w:sz w:val="30"/>
                <w:szCs w:val="30"/>
                <w:highlight w:val="none"/>
                <w:u w:val="none"/>
              </w:rPr>
            </w:pPr>
          </w:p>
        </w:tc>
      </w:tr>
      <w:tr w14:paraId="7F6E8B41">
        <w:tblPrEx>
          <w:tblCellMar>
            <w:top w:w="0" w:type="dxa"/>
            <w:left w:w="0" w:type="dxa"/>
            <w:bottom w:w="0" w:type="dxa"/>
            <w:right w:w="0" w:type="dxa"/>
          </w:tblCellMar>
        </w:tblPrEx>
        <w:trPr>
          <w:trHeight w:val="494" w:hRule="atLeast"/>
          <w:jc w:val="center"/>
        </w:trPr>
        <w:tc>
          <w:tcPr>
            <w:tcW w:w="9440" w:type="dxa"/>
            <w:gridSpan w:val="6"/>
            <w:vMerge w:val="continue"/>
            <w:tcBorders>
              <w:top w:val="nil"/>
              <w:left w:val="nil"/>
              <w:bottom w:val="nil"/>
              <w:right w:val="nil"/>
            </w:tcBorders>
            <w:shd w:val="clear" w:color="auto" w:fill="auto"/>
            <w:tcMar>
              <w:top w:w="15" w:type="dxa"/>
              <w:left w:w="15" w:type="dxa"/>
              <w:right w:w="15" w:type="dxa"/>
            </w:tcMar>
            <w:vAlign w:val="center"/>
          </w:tcPr>
          <w:p w14:paraId="58FEE9A8">
            <w:pPr>
              <w:jc w:val="center"/>
              <w:rPr>
                <w:rFonts w:hint="eastAsia" w:ascii="方正小标宋_GBK" w:hAnsi="方正小标宋_GBK" w:eastAsia="方正小标宋_GBK" w:cs="方正小标宋_GBK"/>
                <w:i w:val="0"/>
                <w:color w:val="auto"/>
                <w:sz w:val="30"/>
                <w:szCs w:val="30"/>
                <w:highlight w:val="none"/>
                <w:u w:val="none"/>
              </w:rPr>
            </w:pPr>
          </w:p>
        </w:tc>
      </w:tr>
      <w:tr w14:paraId="01E2669B">
        <w:tblPrEx>
          <w:tblCellMar>
            <w:top w:w="0" w:type="dxa"/>
            <w:left w:w="0" w:type="dxa"/>
            <w:bottom w:w="0" w:type="dxa"/>
            <w:right w:w="0" w:type="dxa"/>
          </w:tblCellMar>
        </w:tblPrEx>
        <w:trPr>
          <w:trHeight w:val="620" w:hRule="atLeast"/>
          <w:jc w:val="center"/>
        </w:trPr>
        <w:tc>
          <w:tcPr>
            <w:tcW w:w="1802" w:type="dxa"/>
            <w:tcBorders>
              <w:top w:val="nil"/>
              <w:left w:val="nil"/>
              <w:bottom w:val="nil"/>
              <w:right w:val="nil"/>
            </w:tcBorders>
            <w:shd w:val="clear" w:color="auto" w:fill="auto"/>
            <w:noWrap/>
            <w:tcMar>
              <w:top w:w="15" w:type="dxa"/>
              <w:left w:w="15" w:type="dxa"/>
              <w:right w:w="15" w:type="dxa"/>
            </w:tcMar>
            <w:vAlign w:val="center"/>
          </w:tcPr>
          <w:p w14:paraId="6DE092E3">
            <w:pPr>
              <w:rPr>
                <w:rFonts w:hint="eastAsia" w:ascii="宋体" w:hAnsi="宋体" w:eastAsia="宋体" w:cs="宋体"/>
                <w:i w:val="0"/>
                <w:color w:val="auto"/>
                <w:sz w:val="22"/>
                <w:szCs w:val="22"/>
                <w:highlight w:val="none"/>
                <w:u w:val="none"/>
              </w:rPr>
            </w:pPr>
          </w:p>
        </w:tc>
        <w:tc>
          <w:tcPr>
            <w:tcW w:w="1744" w:type="dxa"/>
            <w:tcBorders>
              <w:top w:val="nil"/>
              <w:left w:val="nil"/>
              <w:bottom w:val="nil"/>
              <w:right w:val="nil"/>
            </w:tcBorders>
            <w:shd w:val="clear" w:color="auto" w:fill="auto"/>
            <w:noWrap/>
            <w:tcMar>
              <w:top w:w="15" w:type="dxa"/>
              <w:left w:w="15" w:type="dxa"/>
              <w:right w:w="15" w:type="dxa"/>
            </w:tcMar>
            <w:vAlign w:val="center"/>
          </w:tcPr>
          <w:p w14:paraId="221A0B5F">
            <w:pPr>
              <w:rPr>
                <w:rFonts w:hint="eastAsia" w:ascii="宋体" w:hAnsi="宋体" w:eastAsia="宋体" w:cs="宋体"/>
                <w:i w:val="0"/>
                <w:color w:val="auto"/>
                <w:sz w:val="22"/>
                <w:szCs w:val="22"/>
                <w:highlight w:val="none"/>
                <w:u w:val="none"/>
              </w:rPr>
            </w:pPr>
          </w:p>
        </w:tc>
        <w:tc>
          <w:tcPr>
            <w:tcW w:w="1240" w:type="dxa"/>
            <w:tcBorders>
              <w:top w:val="nil"/>
              <w:left w:val="nil"/>
              <w:bottom w:val="nil"/>
              <w:right w:val="nil"/>
            </w:tcBorders>
            <w:shd w:val="clear" w:color="auto" w:fill="auto"/>
            <w:noWrap/>
            <w:tcMar>
              <w:top w:w="15" w:type="dxa"/>
              <w:left w:w="15" w:type="dxa"/>
              <w:right w:w="15" w:type="dxa"/>
            </w:tcMar>
            <w:vAlign w:val="center"/>
          </w:tcPr>
          <w:p w14:paraId="09FBA7C5">
            <w:pPr>
              <w:rPr>
                <w:rFonts w:hint="eastAsia" w:ascii="宋体" w:hAnsi="宋体" w:eastAsia="宋体" w:cs="宋体"/>
                <w:i w:val="0"/>
                <w:color w:val="auto"/>
                <w:sz w:val="22"/>
                <w:szCs w:val="22"/>
                <w:highlight w:val="none"/>
                <w:u w:val="none"/>
              </w:rPr>
            </w:pPr>
          </w:p>
        </w:tc>
        <w:tc>
          <w:tcPr>
            <w:tcW w:w="1534" w:type="dxa"/>
            <w:tcBorders>
              <w:top w:val="nil"/>
              <w:left w:val="nil"/>
              <w:bottom w:val="nil"/>
              <w:right w:val="nil"/>
            </w:tcBorders>
            <w:shd w:val="clear" w:color="auto" w:fill="auto"/>
            <w:noWrap/>
            <w:tcMar>
              <w:top w:w="15" w:type="dxa"/>
              <w:left w:w="15" w:type="dxa"/>
              <w:right w:w="15" w:type="dxa"/>
            </w:tcMar>
            <w:vAlign w:val="center"/>
          </w:tcPr>
          <w:p w14:paraId="62D096CD">
            <w:pPr>
              <w:rPr>
                <w:rFonts w:hint="eastAsia" w:ascii="宋体" w:hAnsi="宋体" w:eastAsia="宋体" w:cs="宋体"/>
                <w:i w:val="0"/>
                <w:color w:val="auto"/>
                <w:sz w:val="22"/>
                <w:szCs w:val="22"/>
                <w:highlight w:val="none"/>
                <w:u w:val="none"/>
              </w:rPr>
            </w:pPr>
          </w:p>
        </w:tc>
        <w:tc>
          <w:tcPr>
            <w:tcW w:w="1611" w:type="dxa"/>
            <w:tcBorders>
              <w:top w:val="nil"/>
              <w:left w:val="nil"/>
              <w:bottom w:val="nil"/>
              <w:right w:val="nil"/>
            </w:tcBorders>
            <w:shd w:val="clear" w:color="auto" w:fill="auto"/>
            <w:noWrap/>
            <w:tcMar>
              <w:top w:w="15" w:type="dxa"/>
              <w:left w:w="15" w:type="dxa"/>
              <w:right w:w="15" w:type="dxa"/>
            </w:tcMar>
            <w:vAlign w:val="center"/>
          </w:tcPr>
          <w:p w14:paraId="43CAF5F0">
            <w:pPr>
              <w:rPr>
                <w:rFonts w:hint="eastAsia" w:ascii="宋体" w:hAnsi="宋体" w:eastAsia="宋体" w:cs="宋体"/>
                <w:i w:val="0"/>
                <w:color w:val="auto"/>
                <w:sz w:val="22"/>
                <w:szCs w:val="22"/>
                <w:highlight w:val="none"/>
                <w:u w:val="none"/>
              </w:rPr>
            </w:pPr>
          </w:p>
        </w:tc>
        <w:tc>
          <w:tcPr>
            <w:tcW w:w="1509" w:type="dxa"/>
            <w:tcBorders>
              <w:top w:val="nil"/>
              <w:left w:val="nil"/>
              <w:bottom w:val="nil"/>
              <w:right w:val="nil"/>
            </w:tcBorders>
            <w:shd w:val="clear" w:color="auto" w:fill="auto"/>
            <w:noWrap/>
            <w:tcMar>
              <w:top w:w="15" w:type="dxa"/>
              <w:left w:w="15" w:type="dxa"/>
              <w:right w:w="15" w:type="dxa"/>
            </w:tcMar>
            <w:vAlign w:val="center"/>
          </w:tcPr>
          <w:p w14:paraId="27517C12">
            <w:pPr>
              <w:keepNext w:val="0"/>
              <w:keepLines w:val="0"/>
              <w:widowControl/>
              <w:suppressLineNumbers w:val="0"/>
              <w:jc w:val="right"/>
              <w:textAlignment w:val="center"/>
              <w:rPr>
                <w:rFonts w:ascii="方正楷体_GBK" w:hAnsi="方正楷体_GBK" w:eastAsia="方正楷体_GBK" w:cs="方正楷体_GBK"/>
                <w:i w:val="0"/>
                <w:color w:val="auto"/>
                <w:sz w:val="20"/>
                <w:szCs w:val="20"/>
                <w:highlight w:val="none"/>
                <w:u w:val="none"/>
              </w:rPr>
            </w:pPr>
            <w:r>
              <w:rPr>
                <w:rFonts w:hint="eastAsia" w:ascii="方正楷体_GBK" w:hAnsi="方正楷体_GBK" w:eastAsia="方正楷体_GBK" w:cs="方正楷体_GBK"/>
                <w:i w:val="0"/>
                <w:color w:val="auto"/>
                <w:kern w:val="0"/>
                <w:sz w:val="20"/>
                <w:szCs w:val="20"/>
                <w:highlight w:val="none"/>
                <w:u w:val="none"/>
                <w:lang w:val="en-US" w:eastAsia="zh-CN" w:bidi="ar"/>
              </w:rPr>
              <w:t>单位：万元</w:t>
            </w:r>
          </w:p>
        </w:tc>
      </w:tr>
      <w:tr w14:paraId="54C48955">
        <w:tblPrEx>
          <w:tblCellMar>
            <w:top w:w="0" w:type="dxa"/>
            <w:left w:w="0" w:type="dxa"/>
            <w:bottom w:w="0" w:type="dxa"/>
            <w:right w:w="0" w:type="dxa"/>
          </w:tblCellMar>
        </w:tblPrEx>
        <w:trPr>
          <w:trHeight w:val="1158" w:hRule="atLeast"/>
          <w:jc w:val="center"/>
        </w:trPr>
        <w:tc>
          <w:tcPr>
            <w:tcW w:w="94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6718">
            <w:pPr>
              <w:keepNext w:val="0"/>
              <w:keepLines w:val="0"/>
              <w:widowControl/>
              <w:suppressLineNumbers w:val="0"/>
              <w:jc w:val="center"/>
              <w:textAlignment w:val="center"/>
              <w:rPr>
                <w:rFonts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2025年预算数</w:t>
            </w:r>
          </w:p>
        </w:tc>
      </w:tr>
      <w:tr w14:paraId="42B7224D">
        <w:tblPrEx>
          <w:tblCellMar>
            <w:top w:w="0" w:type="dxa"/>
            <w:left w:w="0" w:type="dxa"/>
            <w:bottom w:w="0" w:type="dxa"/>
            <w:right w:w="0" w:type="dxa"/>
          </w:tblCellMar>
        </w:tblPrEx>
        <w:trPr>
          <w:trHeight w:val="1082" w:hRule="atLeast"/>
          <w:jc w:val="center"/>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A84E3">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合计</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0B6E">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因公出国（境）费</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FB9C1">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公务用车购置及运行费</w:t>
            </w:r>
          </w:p>
        </w:tc>
        <w:tc>
          <w:tcPr>
            <w:tcW w:w="1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37B5">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公务接待费</w:t>
            </w:r>
          </w:p>
        </w:tc>
      </w:tr>
      <w:tr w14:paraId="65C8BA70">
        <w:tblPrEx>
          <w:tblCellMar>
            <w:top w:w="0" w:type="dxa"/>
            <w:left w:w="0" w:type="dxa"/>
            <w:bottom w:w="0" w:type="dxa"/>
            <w:right w:w="0" w:type="dxa"/>
          </w:tblCellMar>
        </w:tblPrEx>
        <w:trPr>
          <w:trHeight w:val="1082" w:hRule="atLeast"/>
          <w:jc w:val="center"/>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99A3">
            <w:pPr>
              <w:jc w:val="center"/>
              <w:rPr>
                <w:rFonts w:hint="eastAsia" w:ascii="方正黑体_GBK" w:hAnsi="方正黑体_GBK" w:eastAsia="方正黑体_GBK" w:cs="方正黑体_GBK"/>
                <w:i w:val="0"/>
                <w:color w:val="auto"/>
                <w:sz w:val="24"/>
                <w:szCs w:val="24"/>
                <w:highlight w:val="none"/>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4A30">
            <w:pPr>
              <w:jc w:val="center"/>
              <w:rPr>
                <w:rFonts w:hint="eastAsia" w:ascii="方正黑体_GBK" w:hAnsi="方正黑体_GBK" w:eastAsia="方正黑体_GBK" w:cs="方正黑体_GBK"/>
                <w:i w:val="0"/>
                <w:color w:val="auto"/>
                <w:sz w:val="24"/>
                <w:szCs w:val="24"/>
                <w:highlight w:val="none"/>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1785B">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小计</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1DE8C">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公务用车购置费</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DFA8E">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公务用车运行费</w:t>
            </w: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382F">
            <w:pPr>
              <w:jc w:val="center"/>
              <w:rPr>
                <w:rFonts w:hint="eastAsia" w:ascii="方正黑体_GBK" w:hAnsi="方正黑体_GBK" w:eastAsia="方正黑体_GBK" w:cs="方正黑体_GBK"/>
                <w:i w:val="0"/>
                <w:color w:val="auto"/>
                <w:sz w:val="24"/>
                <w:szCs w:val="24"/>
                <w:highlight w:val="none"/>
                <w:u w:val="none"/>
              </w:rPr>
            </w:pPr>
          </w:p>
        </w:tc>
      </w:tr>
      <w:tr w14:paraId="1F6B39B1">
        <w:tblPrEx>
          <w:tblCellMar>
            <w:top w:w="0" w:type="dxa"/>
            <w:left w:w="0" w:type="dxa"/>
            <w:bottom w:w="0" w:type="dxa"/>
            <w:right w:w="0" w:type="dxa"/>
          </w:tblCellMar>
        </w:tblPrEx>
        <w:trPr>
          <w:trHeight w:val="798" w:hRule="atLeast"/>
          <w:jc w:val="center"/>
        </w:trPr>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D9612">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AC27">
            <w:pPr>
              <w:jc w:val="center"/>
              <w:rPr>
                <w:rFonts w:hint="default" w:ascii="Times New Roman" w:hAnsi="Times New Roman" w:eastAsia="宋体" w:cs="Times New Roman"/>
                <w:i w:val="0"/>
                <w:color w:val="auto"/>
                <w:sz w:val="20"/>
                <w:szCs w:val="20"/>
                <w:highlight w:val="none"/>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92C3">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30.00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7316">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18.00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EFD9">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12.00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BBF1A">
            <w:pPr>
              <w:jc w:val="center"/>
              <w:rPr>
                <w:rFonts w:hint="default" w:ascii="Times New Roman" w:hAnsi="Times New Roman" w:eastAsia="宋体" w:cs="Times New Roman"/>
                <w:i w:val="0"/>
                <w:color w:val="auto"/>
                <w:sz w:val="20"/>
                <w:szCs w:val="20"/>
                <w:highlight w:val="none"/>
                <w:u w:val="none"/>
              </w:rPr>
            </w:pPr>
          </w:p>
        </w:tc>
      </w:tr>
    </w:tbl>
    <w:p w14:paraId="2D8D539B">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2552EAF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436E19A">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3D7A497">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50F0227">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672AEFA3">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4E377D17">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0AB00FB1">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D9FA07B">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32E9AFA2">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6BD84EC3">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207CD8F4">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0E78EEC9">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F37EF1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5734BB9">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3835363F">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4DDFAA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2B9F58B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ADB2974">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3171F5D">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3FC5C0D1">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40A6C210">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096278E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8946C96">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FB50F67">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6C1B3994">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8D49B5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3CCC83FF">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29B5A1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附件6</w:t>
      </w:r>
    </w:p>
    <w:tbl>
      <w:tblPr>
        <w:tblStyle w:val="4"/>
        <w:tblW w:w="9560" w:type="dxa"/>
        <w:jc w:val="center"/>
        <w:shd w:val="clear" w:color="auto" w:fill="auto"/>
        <w:tblLayout w:type="fixed"/>
        <w:tblCellMar>
          <w:top w:w="0" w:type="dxa"/>
          <w:left w:w="0" w:type="dxa"/>
          <w:bottom w:w="0" w:type="dxa"/>
          <w:right w:w="0" w:type="dxa"/>
        </w:tblCellMar>
      </w:tblPr>
      <w:tblGrid>
        <w:gridCol w:w="1701"/>
        <w:gridCol w:w="4408"/>
        <w:gridCol w:w="695"/>
        <w:gridCol w:w="1351"/>
        <w:gridCol w:w="1405"/>
      </w:tblGrid>
      <w:tr w14:paraId="14FFFBA6">
        <w:tblPrEx>
          <w:shd w:val="clear" w:color="auto" w:fill="auto"/>
          <w:tblCellMar>
            <w:top w:w="0" w:type="dxa"/>
            <w:left w:w="0" w:type="dxa"/>
            <w:bottom w:w="0" w:type="dxa"/>
            <w:right w:w="0" w:type="dxa"/>
          </w:tblCellMar>
        </w:tblPrEx>
        <w:trPr>
          <w:trHeight w:val="603" w:hRule="atLeast"/>
          <w:jc w:val="center"/>
        </w:trPr>
        <w:tc>
          <w:tcPr>
            <w:tcW w:w="9560" w:type="dxa"/>
            <w:gridSpan w:val="5"/>
            <w:vMerge w:val="restart"/>
            <w:tcBorders>
              <w:top w:val="nil"/>
              <w:left w:val="nil"/>
              <w:bottom w:val="nil"/>
              <w:right w:val="nil"/>
            </w:tcBorders>
            <w:shd w:val="clear" w:color="auto" w:fill="auto"/>
            <w:noWrap/>
            <w:tcMar>
              <w:top w:w="15" w:type="dxa"/>
              <w:left w:w="15" w:type="dxa"/>
              <w:right w:w="15" w:type="dxa"/>
            </w:tcMar>
            <w:vAlign w:val="center"/>
          </w:tcPr>
          <w:p w14:paraId="2DBDA50F">
            <w:pPr>
              <w:keepNext w:val="0"/>
              <w:keepLines w:val="0"/>
              <w:widowControl/>
              <w:suppressLineNumbers w:val="0"/>
              <w:jc w:val="center"/>
              <w:textAlignment w:val="center"/>
              <w:rPr>
                <w:rFonts w:ascii="方正小标宋_GBK" w:hAnsi="方正小标宋_GBK" w:eastAsia="方正小标宋_GBK" w:cs="方正小标宋_GBK"/>
                <w:i w:val="0"/>
                <w:color w:val="auto"/>
                <w:sz w:val="28"/>
                <w:szCs w:val="28"/>
                <w:highlight w:val="none"/>
                <w:u w:val="none"/>
              </w:rPr>
            </w:pPr>
            <w:r>
              <w:rPr>
                <w:rFonts w:hint="eastAsia" w:ascii="方正小标宋_GBK" w:hAnsi="方正小标宋_GBK" w:eastAsia="方正小标宋_GBK" w:cs="方正小标宋_GBK"/>
                <w:i w:val="0"/>
                <w:color w:val="auto"/>
                <w:kern w:val="0"/>
                <w:sz w:val="28"/>
                <w:szCs w:val="28"/>
                <w:highlight w:val="none"/>
                <w:u w:val="none"/>
                <w:lang w:val="en-US" w:eastAsia="zh-CN" w:bidi="ar"/>
              </w:rPr>
              <w:t>重庆市九龙坡区人民政府渝州路街道办事处政府性基金预算支出表</w:t>
            </w:r>
          </w:p>
        </w:tc>
      </w:tr>
      <w:tr w14:paraId="4CA5ED11">
        <w:tblPrEx>
          <w:tblCellMar>
            <w:top w:w="0" w:type="dxa"/>
            <w:left w:w="0" w:type="dxa"/>
            <w:bottom w:w="0" w:type="dxa"/>
            <w:right w:w="0" w:type="dxa"/>
          </w:tblCellMar>
        </w:tblPrEx>
        <w:trPr>
          <w:trHeight w:val="643" w:hRule="atLeast"/>
          <w:jc w:val="center"/>
        </w:trPr>
        <w:tc>
          <w:tcPr>
            <w:tcW w:w="9560" w:type="dxa"/>
            <w:gridSpan w:val="5"/>
            <w:vMerge w:val="continue"/>
            <w:tcBorders>
              <w:top w:val="nil"/>
              <w:left w:val="nil"/>
              <w:bottom w:val="nil"/>
              <w:right w:val="nil"/>
            </w:tcBorders>
            <w:shd w:val="clear" w:color="auto" w:fill="auto"/>
            <w:noWrap/>
            <w:tcMar>
              <w:top w:w="15" w:type="dxa"/>
              <w:left w:w="15" w:type="dxa"/>
              <w:right w:w="15" w:type="dxa"/>
            </w:tcMar>
            <w:vAlign w:val="center"/>
          </w:tcPr>
          <w:p w14:paraId="36B074F5">
            <w:pPr>
              <w:jc w:val="center"/>
              <w:rPr>
                <w:rFonts w:hint="eastAsia" w:ascii="方正小标宋_GBK" w:hAnsi="方正小标宋_GBK" w:eastAsia="方正小标宋_GBK" w:cs="方正小标宋_GBK"/>
                <w:i w:val="0"/>
                <w:color w:val="auto"/>
                <w:sz w:val="28"/>
                <w:szCs w:val="28"/>
                <w:highlight w:val="none"/>
                <w:u w:val="none"/>
              </w:rPr>
            </w:pPr>
          </w:p>
        </w:tc>
      </w:tr>
      <w:tr w14:paraId="018337A6">
        <w:tblPrEx>
          <w:tblCellMar>
            <w:top w:w="0" w:type="dxa"/>
            <w:left w:w="0" w:type="dxa"/>
            <w:bottom w:w="0" w:type="dxa"/>
            <w:right w:w="0" w:type="dxa"/>
          </w:tblCellMar>
        </w:tblPrEx>
        <w:trPr>
          <w:trHeight w:val="400" w:hRule="atLeast"/>
          <w:jc w:val="center"/>
        </w:trPr>
        <w:tc>
          <w:tcPr>
            <w:tcW w:w="1701" w:type="dxa"/>
            <w:tcBorders>
              <w:top w:val="nil"/>
              <w:left w:val="nil"/>
              <w:bottom w:val="nil"/>
              <w:right w:val="nil"/>
            </w:tcBorders>
            <w:shd w:val="clear" w:color="auto" w:fill="auto"/>
            <w:noWrap/>
            <w:tcMar>
              <w:top w:w="15" w:type="dxa"/>
              <w:left w:w="15" w:type="dxa"/>
              <w:right w:w="15" w:type="dxa"/>
            </w:tcMar>
            <w:vAlign w:val="center"/>
          </w:tcPr>
          <w:p w14:paraId="17CBD082">
            <w:pPr>
              <w:rPr>
                <w:rFonts w:hint="eastAsia" w:ascii="宋体" w:hAnsi="宋体" w:eastAsia="宋体" w:cs="宋体"/>
                <w:i w:val="0"/>
                <w:color w:val="auto"/>
                <w:sz w:val="18"/>
                <w:szCs w:val="18"/>
                <w:highlight w:val="none"/>
                <w:u w:val="none"/>
              </w:rPr>
            </w:pPr>
          </w:p>
        </w:tc>
        <w:tc>
          <w:tcPr>
            <w:tcW w:w="4408" w:type="dxa"/>
            <w:tcBorders>
              <w:top w:val="nil"/>
              <w:left w:val="nil"/>
              <w:bottom w:val="nil"/>
              <w:right w:val="nil"/>
            </w:tcBorders>
            <w:shd w:val="clear" w:color="auto" w:fill="auto"/>
            <w:noWrap/>
            <w:tcMar>
              <w:top w:w="15" w:type="dxa"/>
              <w:left w:w="15" w:type="dxa"/>
              <w:right w:w="15" w:type="dxa"/>
            </w:tcMar>
            <w:vAlign w:val="center"/>
          </w:tcPr>
          <w:p w14:paraId="47F99B83">
            <w:pPr>
              <w:rPr>
                <w:rFonts w:hint="eastAsia" w:ascii="宋体" w:hAnsi="宋体" w:eastAsia="宋体" w:cs="宋体"/>
                <w:i w:val="0"/>
                <w:color w:val="auto"/>
                <w:sz w:val="18"/>
                <w:szCs w:val="18"/>
                <w:highlight w:val="none"/>
                <w:u w:val="none"/>
              </w:rPr>
            </w:pPr>
          </w:p>
        </w:tc>
        <w:tc>
          <w:tcPr>
            <w:tcW w:w="695" w:type="dxa"/>
            <w:tcBorders>
              <w:top w:val="nil"/>
              <w:left w:val="nil"/>
              <w:bottom w:val="nil"/>
              <w:right w:val="nil"/>
            </w:tcBorders>
            <w:shd w:val="clear" w:color="auto" w:fill="auto"/>
            <w:noWrap/>
            <w:tcMar>
              <w:top w:w="15" w:type="dxa"/>
              <w:left w:w="15" w:type="dxa"/>
              <w:right w:w="15" w:type="dxa"/>
            </w:tcMar>
            <w:vAlign w:val="center"/>
          </w:tcPr>
          <w:p w14:paraId="441AED17">
            <w:pPr>
              <w:rPr>
                <w:rFonts w:hint="eastAsia" w:ascii="宋体" w:hAnsi="宋体" w:eastAsia="宋体" w:cs="宋体"/>
                <w:i w:val="0"/>
                <w:color w:val="auto"/>
                <w:sz w:val="18"/>
                <w:szCs w:val="18"/>
                <w:highlight w:val="none"/>
                <w:u w:val="none"/>
              </w:rPr>
            </w:pPr>
          </w:p>
        </w:tc>
        <w:tc>
          <w:tcPr>
            <w:tcW w:w="1351" w:type="dxa"/>
            <w:tcBorders>
              <w:top w:val="nil"/>
              <w:left w:val="nil"/>
              <w:bottom w:val="nil"/>
              <w:right w:val="nil"/>
            </w:tcBorders>
            <w:shd w:val="clear" w:color="auto" w:fill="auto"/>
            <w:noWrap/>
            <w:tcMar>
              <w:top w:w="15" w:type="dxa"/>
              <w:left w:w="15" w:type="dxa"/>
              <w:right w:w="15" w:type="dxa"/>
            </w:tcMar>
            <w:vAlign w:val="center"/>
          </w:tcPr>
          <w:p w14:paraId="0E7184D7">
            <w:pPr>
              <w:rPr>
                <w:rFonts w:hint="eastAsia" w:ascii="宋体" w:hAnsi="宋体" w:eastAsia="宋体" w:cs="宋体"/>
                <w:i w:val="0"/>
                <w:color w:val="auto"/>
                <w:sz w:val="18"/>
                <w:szCs w:val="18"/>
                <w:highlight w:val="none"/>
                <w:u w:val="none"/>
              </w:rPr>
            </w:pPr>
          </w:p>
        </w:tc>
        <w:tc>
          <w:tcPr>
            <w:tcW w:w="1405" w:type="dxa"/>
            <w:tcBorders>
              <w:top w:val="nil"/>
              <w:left w:val="nil"/>
              <w:bottom w:val="nil"/>
              <w:right w:val="nil"/>
            </w:tcBorders>
            <w:shd w:val="clear" w:color="auto" w:fill="auto"/>
            <w:noWrap/>
            <w:tcMar>
              <w:top w:w="15" w:type="dxa"/>
              <w:left w:w="15" w:type="dxa"/>
              <w:right w:w="15" w:type="dxa"/>
            </w:tcMar>
            <w:vAlign w:val="center"/>
          </w:tcPr>
          <w:p w14:paraId="6EC1011A">
            <w:pPr>
              <w:rPr>
                <w:rFonts w:hint="eastAsia" w:ascii="宋体" w:hAnsi="宋体" w:eastAsia="宋体" w:cs="宋体"/>
                <w:i w:val="0"/>
                <w:color w:val="auto"/>
                <w:sz w:val="18"/>
                <w:szCs w:val="18"/>
                <w:highlight w:val="none"/>
                <w:u w:val="none"/>
              </w:rPr>
            </w:pPr>
          </w:p>
        </w:tc>
      </w:tr>
      <w:tr w14:paraId="3B09F953">
        <w:tblPrEx>
          <w:tblCellMar>
            <w:top w:w="0" w:type="dxa"/>
            <w:left w:w="0" w:type="dxa"/>
            <w:bottom w:w="0" w:type="dxa"/>
            <w:right w:w="0" w:type="dxa"/>
          </w:tblCellMar>
        </w:tblPrEx>
        <w:trPr>
          <w:trHeight w:val="522" w:hRule="atLeast"/>
          <w:jc w:val="center"/>
        </w:trPr>
        <w:tc>
          <w:tcPr>
            <w:tcW w:w="1701" w:type="dxa"/>
            <w:tcBorders>
              <w:top w:val="nil"/>
              <w:left w:val="nil"/>
              <w:bottom w:val="nil"/>
              <w:right w:val="nil"/>
            </w:tcBorders>
            <w:shd w:val="clear" w:color="auto" w:fill="auto"/>
            <w:noWrap/>
            <w:tcMar>
              <w:top w:w="15" w:type="dxa"/>
              <w:left w:w="15" w:type="dxa"/>
              <w:right w:w="15" w:type="dxa"/>
            </w:tcMar>
            <w:vAlign w:val="center"/>
          </w:tcPr>
          <w:p w14:paraId="23C6F163">
            <w:pPr>
              <w:rPr>
                <w:rFonts w:hint="eastAsia" w:ascii="宋体" w:hAnsi="宋体" w:eastAsia="宋体" w:cs="宋体"/>
                <w:i w:val="0"/>
                <w:color w:val="auto"/>
                <w:sz w:val="18"/>
                <w:szCs w:val="18"/>
                <w:highlight w:val="none"/>
                <w:u w:val="none"/>
              </w:rPr>
            </w:pPr>
          </w:p>
        </w:tc>
        <w:tc>
          <w:tcPr>
            <w:tcW w:w="4408" w:type="dxa"/>
            <w:tcBorders>
              <w:top w:val="nil"/>
              <w:left w:val="nil"/>
              <w:bottom w:val="nil"/>
              <w:right w:val="nil"/>
            </w:tcBorders>
            <w:shd w:val="clear" w:color="auto" w:fill="auto"/>
            <w:noWrap/>
            <w:tcMar>
              <w:top w:w="15" w:type="dxa"/>
              <w:left w:w="15" w:type="dxa"/>
              <w:right w:w="15" w:type="dxa"/>
            </w:tcMar>
            <w:vAlign w:val="center"/>
          </w:tcPr>
          <w:p w14:paraId="09253DFF">
            <w:pPr>
              <w:rPr>
                <w:rFonts w:hint="eastAsia" w:ascii="宋体" w:hAnsi="宋体" w:eastAsia="宋体" w:cs="宋体"/>
                <w:i w:val="0"/>
                <w:color w:val="auto"/>
                <w:sz w:val="18"/>
                <w:szCs w:val="18"/>
                <w:highlight w:val="none"/>
                <w:u w:val="none"/>
              </w:rPr>
            </w:pPr>
          </w:p>
        </w:tc>
        <w:tc>
          <w:tcPr>
            <w:tcW w:w="695" w:type="dxa"/>
            <w:tcBorders>
              <w:top w:val="nil"/>
              <w:left w:val="nil"/>
              <w:bottom w:val="nil"/>
              <w:right w:val="nil"/>
            </w:tcBorders>
            <w:shd w:val="clear" w:color="auto" w:fill="auto"/>
            <w:noWrap/>
            <w:tcMar>
              <w:top w:w="15" w:type="dxa"/>
              <w:left w:w="15" w:type="dxa"/>
              <w:right w:w="15" w:type="dxa"/>
            </w:tcMar>
            <w:vAlign w:val="center"/>
          </w:tcPr>
          <w:p w14:paraId="60B4D83E">
            <w:pPr>
              <w:rPr>
                <w:rFonts w:hint="eastAsia" w:ascii="宋体" w:hAnsi="宋体" w:eastAsia="宋体" w:cs="宋体"/>
                <w:i w:val="0"/>
                <w:color w:val="auto"/>
                <w:sz w:val="18"/>
                <w:szCs w:val="18"/>
                <w:highlight w:val="none"/>
                <w:u w:val="none"/>
              </w:rPr>
            </w:pPr>
          </w:p>
        </w:tc>
        <w:tc>
          <w:tcPr>
            <w:tcW w:w="1351" w:type="dxa"/>
            <w:tcBorders>
              <w:top w:val="nil"/>
              <w:left w:val="nil"/>
              <w:bottom w:val="nil"/>
              <w:right w:val="nil"/>
            </w:tcBorders>
            <w:shd w:val="clear" w:color="auto" w:fill="auto"/>
            <w:noWrap/>
            <w:tcMar>
              <w:top w:w="15" w:type="dxa"/>
              <w:left w:w="15" w:type="dxa"/>
              <w:right w:w="15" w:type="dxa"/>
            </w:tcMar>
            <w:vAlign w:val="center"/>
          </w:tcPr>
          <w:p w14:paraId="1F268CB0">
            <w:pPr>
              <w:rPr>
                <w:rFonts w:hint="eastAsia" w:ascii="宋体" w:hAnsi="宋体" w:eastAsia="宋体" w:cs="宋体"/>
                <w:i w:val="0"/>
                <w:color w:val="auto"/>
                <w:sz w:val="18"/>
                <w:szCs w:val="18"/>
                <w:highlight w:val="none"/>
                <w:u w:val="none"/>
              </w:rPr>
            </w:pPr>
          </w:p>
        </w:tc>
        <w:tc>
          <w:tcPr>
            <w:tcW w:w="1405" w:type="dxa"/>
            <w:tcBorders>
              <w:top w:val="nil"/>
              <w:left w:val="nil"/>
              <w:bottom w:val="nil"/>
              <w:right w:val="nil"/>
            </w:tcBorders>
            <w:shd w:val="clear" w:color="auto" w:fill="auto"/>
            <w:noWrap/>
            <w:tcMar>
              <w:top w:w="15" w:type="dxa"/>
              <w:left w:w="15" w:type="dxa"/>
              <w:right w:w="15" w:type="dxa"/>
            </w:tcMar>
            <w:vAlign w:val="center"/>
          </w:tcPr>
          <w:p w14:paraId="47FC4338">
            <w:pPr>
              <w:keepNext w:val="0"/>
              <w:keepLines w:val="0"/>
              <w:widowControl/>
              <w:suppressLineNumbers w:val="0"/>
              <w:jc w:val="right"/>
              <w:textAlignment w:val="center"/>
              <w:rPr>
                <w:rFonts w:ascii="方正楷体_GBK" w:hAnsi="方正楷体_GBK" w:eastAsia="方正楷体_GBK" w:cs="方正楷体_GBK"/>
                <w:i w:val="0"/>
                <w:color w:val="auto"/>
                <w:sz w:val="20"/>
                <w:szCs w:val="20"/>
                <w:highlight w:val="none"/>
                <w:u w:val="none"/>
              </w:rPr>
            </w:pPr>
            <w:r>
              <w:rPr>
                <w:rFonts w:hint="eastAsia" w:ascii="方正楷体_GBK" w:hAnsi="方正楷体_GBK" w:eastAsia="方正楷体_GBK" w:cs="方正楷体_GBK"/>
                <w:i w:val="0"/>
                <w:color w:val="auto"/>
                <w:kern w:val="0"/>
                <w:sz w:val="20"/>
                <w:szCs w:val="20"/>
                <w:highlight w:val="none"/>
                <w:u w:val="none"/>
                <w:lang w:val="en-US" w:eastAsia="zh-CN" w:bidi="ar"/>
              </w:rPr>
              <w:t>单位：万元</w:t>
            </w:r>
          </w:p>
        </w:tc>
      </w:tr>
      <w:tr w14:paraId="089B0511">
        <w:tblPrEx>
          <w:tblCellMar>
            <w:top w:w="0" w:type="dxa"/>
            <w:left w:w="0" w:type="dxa"/>
            <w:bottom w:w="0" w:type="dxa"/>
            <w:right w:w="0" w:type="dxa"/>
          </w:tblCellMar>
        </w:tblPrEx>
        <w:trPr>
          <w:trHeight w:val="817"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798D">
            <w:pPr>
              <w:keepNext w:val="0"/>
              <w:keepLines w:val="0"/>
              <w:widowControl/>
              <w:suppressLineNumbers w:val="0"/>
              <w:jc w:val="center"/>
              <w:textAlignment w:val="center"/>
              <w:rPr>
                <w:rFonts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 xml:space="preserve"> 科目编码</w:t>
            </w:r>
          </w:p>
        </w:tc>
        <w:tc>
          <w:tcPr>
            <w:tcW w:w="44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0A57">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科目名称</w:t>
            </w:r>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2BFF">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本年政府性基金预算财政拨款支出</w:t>
            </w:r>
          </w:p>
        </w:tc>
      </w:tr>
      <w:tr w14:paraId="26D7DC07">
        <w:tblPrEx>
          <w:tblCellMar>
            <w:top w:w="0" w:type="dxa"/>
            <w:left w:w="0" w:type="dxa"/>
            <w:bottom w:w="0" w:type="dxa"/>
            <w:right w:w="0" w:type="dxa"/>
          </w:tblCellMar>
        </w:tblPrEx>
        <w:trPr>
          <w:trHeight w:val="76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BA8E">
            <w:pPr>
              <w:jc w:val="center"/>
              <w:rPr>
                <w:rFonts w:hint="eastAsia" w:ascii="方正黑体_GBK" w:hAnsi="方正黑体_GBK" w:eastAsia="方正黑体_GBK" w:cs="方正黑体_GBK"/>
                <w:i w:val="0"/>
                <w:color w:val="auto"/>
                <w:sz w:val="24"/>
                <w:szCs w:val="24"/>
                <w:highlight w:val="none"/>
                <w:u w:val="none"/>
              </w:rPr>
            </w:pPr>
          </w:p>
        </w:tc>
        <w:tc>
          <w:tcPr>
            <w:tcW w:w="44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1F49">
            <w:pPr>
              <w:jc w:val="center"/>
              <w:rPr>
                <w:rFonts w:hint="eastAsia" w:ascii="方正黑体_GBK" w:hAnsi="方正黑体_GBK" w:eastAsia="方正黑体_GBK" w:cs="方正黑体_GBK"/>
                <w:i w:val="0"/>
                <w:color w:val="auto"/>
                <w:sz w:val="24"/>
                <w:szCs w:val="24"/>
                <w:highlight w:val="none"/>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3EB6">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总计</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0348">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 xml:space="preserve">基本支出 </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C9A0">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 xml:space="preserve">项目支出 </w:t>
            </w:r>
          </w:p>
        </w:tc>
      </w:tr>
      <w:tr w14:paraId="435D5E43">
        <w:tblPrEx>
          <w:tblCellMar>
            <w:top w:w="0" w:type="dxa"/>
            <w:left w:w="0" w:type="dxa"/>
            <w:bottom w:w="0" w:type="dxa"/>
            <w:right w:w="0" w:type="dxa"/>
          </w:tblCellMar>
        </w:tblPrEx>
        <w:trPr>
          <w:trHeight w:val="514" w:hRule="atLeast"/>
          <w:jc w:val="center"/>
        </w:trPr>
        <w:tc>
          <w:tcPr>
            <w:tcW w:w="61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6396">
            <w:pPr>
              <w:keepNext w:val="0"/>
              <w:keepLines w:val="0"/>
              <w:widowControl/>
              <w:suppressLineNumbers w:val="0"/>
              <w:jc w:val="center"/>
              <w:textAlignment w:val="center"/>
              <w:rPr>
                <w:rFonts w:ascii="方正仿宋_GBK" w:hAnsi="方正仿宋_GBK" w:eastAsia="方正仿宋_GBK" w:cs="方正仿宋_GBK"/>
                <w:b/>
                <w:i w:val="0"/>
                <w:color w:val="auto"/>
                <w:sz w:val="20"/>
                <w:szCs w:val="20"/>
                <w:highlight w:val="none"/>
                <w:u w:val="none"/>
              </w:rPr>
            </w:pPr>
            <w:r>
              <w:rPr>
                <w:rFonts w:hint="eastAsia" w:ascii="方正仿宋_GBK" w:hAnsi="方正仿宋_GBK" w:eastAsia="方正仿宋_GBK" w:cs="方正仿宋_GBK"/>
                <w:b/>
                <w:i w:val="0"/>
                <w:color w:val="auto"/>
                <w:kern w:val="0"/>
                <w:sz w:val="20"/>
                <w:szCs w:val="20"/>
                <w:highlight w:val="none"/>
                <w:u w:val="none"/>
                <w:lang w:val="en-US" w:eastAsia="zh-CN" w:bidi="ar"/>
              </w:rPr>
              <w:t>合计</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55E0">
            <w:pPr>
              <w:keepNext w:val="0"/>
              <w:keepLines w:val="0"/>
              <w:widowControl/>
              <w:suppressLineNumbers w:val="0"/>
              <w:jc w:val="right"/>
              <w:textAlignment w:val="center"/>
              <w:rPr>
                <w:rFonts w:hint="default" w:ascii="Times New Roman" w:hAnsi="Times New Roman" w:eastAsia="宋体" w:cs="Times New Roman"/>
                <w:b/>
                <w:i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8848">
            <w:pPr>
              <w:jc w:val="right"/>
              <w:rPr>
                <w:rFonts w:hint="default" w:ascii="Times New Roman" w:hAnsi="Times New Roman" w:eastAsia="宋体" w:cs="Times New Roman"/>
                <w:b/>
                <w:i w:val="0"/>
                <w:color w:val="auto"/>
                <w:sz w:val="20"/>
                <w:szCs w:val="20"/>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9148">
            <w:pPr>
              <w:keepNext w:val="0"/>
              <w:keepLines w:val="0"/>
              <w:widowControl/>
              <w:suppressLineNumbers w:val="0"/>
              <w:jc w:val="right"/>
              <w:textAlignment w:val="center"/>
              <w:rPr>
                <w:rFonts w:hint="default" w:ascii="Times New Roman" w:hAnsi="Times New Roman" w:eastAsia="宋体" w:cs="Times New Roman"/>
                <w:b/>
                <w:i w:val="0"/>
                <w:color w:val="auto"/>
                <w:sz w:val="20"/>
                <w:szCs w:val="20"/>
                <w:highlight w:val="none"/>
                <w:u w:val="none"/>
              </w:rPr>
            </w:pPr>
          </w:p>
        </w:tc>
      </w:tr>
      <w:tr w14:paraId="7B91AE68">
        <w:tblPrEx>
          <w:tblCellMar>
            <w:top w:w="0" w:type="dxa"/>
            <w:left w:w="0" w:type="dxa"/>
            <w:bottom w:w="0" w:type="dxa"/>
            <w:right w:w="0" w:type="dxa"/>
          </w:tblCellMar>
        </w:tblPrEx>
        <w:trPr>
          <w:trHeight w:val="412"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6A3B">
            <w:pPr>
              <w:keepNext w:val="0"/>
              <w:keepLines w:val="0"/>
              <w:widowControl/>
              <w:suppressLineNumbers w:val="0"/>
              <w:jc w:val="left"/>
              <w:textAlignment w:val="center"/>
              <w:rPr>
                <w:rFonts w:hint="eastAsia" w:ascii="方正仿宋_GBK" w:hAnsi="方正仿宋_GBK" w:eastAsia="方正仿宋_GBK" w:cs="方正仿宋_GBK"/>
                <w:i w:val="0"/>
                <w:color w:val="auto"/>
                <w:sz w:val="20"/>
                <w:szCs w:val="20"/>
                <w:highlight w:val="none"/>
                <w:u w:val="none"/>
              </w:rPr>
            </w:pPr>
          </w:p>
        </w:tc>
        <w:tc>
          <w:tcPr>
            <w:tcW w:w="4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44A8">
            <w:pPr>
              <w:keepNext w:val="0"/>
              <w:keepLines w:val="0"/>
              <w:widowControl/>
              <w:suppressLineNumbers w:val="0"/>
              <w:jc w:val="left"/>
              <w:textAlignment w:val="center"/>
              <w:rPr>
                <w:rFonts w:hint="eastAsia" w:ascii="方正仿宋_GBK" w:hAnsi="方正仿宋_GBK" w:eastAsia="方正仿宋_GBK" w:cs="方正仿宋_GBK"/>
                <w:i w:val="0"/>
                <w:color w:val="auto"/>
                <w:sz w:val="20"/>
                <w:szCs w:val="20"/>
                <w:highlight w:val="none"/>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2C13">
            <w:pPr>
              <w:keepNext w:val="0"/>
              <w:keepLines w:val="0"/>
              <w:widowControl/>
              <w:suppressLineNumbers w:val="0"/>
              <w:jc w:val="right"/>
              <w:textAlignment w:val="center"/>
              <w:rPr>
                <w:rFonts w:hint="default" w:ascii="Times New Roman" w:hAnsi="Times New Roman" w:eastAsia="宋体" w:cs="Times New Roman"/>
                <w:i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E821">
            <w:pPr>
              <w:jc w:val="right"/>
              <w:rPr>
                <w:rFonts w:hint="default" w:ascii="Times New Roman" w:hAnsi="Times New Roman" w:eastAsia="宋体" w:cs="Times New Roman"/>
                <w:i w:val="0"/>
                <w:color w:val="auto"/>
                <w:sz w:val="20"/>
                <w:szCs w:val="20"/>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1E7E">
            <w:pPr>
              <w:keepNext w:val="0"/>
              <w:keepLines w:val="0"/>
              <w:widowControl/>
              <w:suppressLineNumbers w:val="0"/>
              <w:jc w:val="right"/>
              <w:textAlignment w:val="center"/>
              <w:rPr>
                <w:rFonts w:hint="default" w:ascii="Times New Roman" w:hAnsi="Times New Roman" w:eastAsia="宋体" w:cs="Times New Roman"/>
                <w:i w:val="0"/>
                <w:color w:val="auto"/>
                <w:sz w:val="20"/>
                <w:szCs w:val="20"/>
                <w:highlight w:val="none"/>
                <w:u w:val="none"/>
              </w:rPr>
            </w:pPr>
          </w:p>
        </w:tc>
      </w:tr>
      <w:tr w14:paraId="4FF0714F">
        <w:tblPrEx>
          <w:tblCellMar>
            <w:top w:w="0" w:type="dxa"/>
            <w:left w:w="0" w:type="dxa"/>
            <w:bottom w:w="0" w:type="dxa"/>
            <w:right w:w="0" w:type="dxa"/>
          </w:tblCellMar>
        </w:tblPrEx>
        <w:trPr>
          <w:trHeight w:val="412"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F59C">
            <w:pPr>
              <w:keepNext w:val="0"/>
              <w:keepLines w:val="0"/>
              <w:widowControl/>
              <w:suppressLineNumbers w:val="0"/>
              <w:jc w:val="left"/>
              <w:textAlignment w:val="center"/>
              <w:rPr>
                <w:rFonts w:hint="eastAsia" w:ascii="方正仿宋_GBK" w:hAnsi="方正仿宋_GBK" w:eastAsia="方正仿宋_GBK" w:cs="方正仿宋_GBK"/>
                <w:i w:val="0"/>
                <w:color w:val="auto"/>
                <w:sz w:val="20"/>
                <w:szCs w:val="20"/>
                <w:highlight w:val="none"/>
                <w:u w:val="none"/>
              </w:rPr>
            </w:pP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01FD">
            <w:pPr>
              <w:keepNext w:val="0"/>
              <w:keepLines w:val="0"/>
              <w:widowControl/>
              <w:suppressLineNumbers w:val="0"/>
              <w:jc w:val="left"/>
              <w:textAlignment w:val="center"/>
              <w:rPr>
                <w:rFonts w:ascii="Arial" w:hAnsi="Arial" w:eastAsia="宋体" w:cs="Arial"/>
                <w:i w:val="0"/>
                <w:color w:val="auto"/>
                <w:sz w:val="20"/>
                <w:szCs w:val="20"/>
                <w:highlight w:val="none"/>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F0BB">
            <w:pPr>
              <w:keepNext w:val="0"/>
              <w:keepLines w:val="0"/>
              <w:widowControl/>
              <w:suppressLineNumbers w:val="0"/>
              <w:jc w:val="right"/>
              <w:textAlignment w:val="center"/>
              <w:rPr>
                <w:rFonts w:hint="default" w:ascii="Times New Roman" w:hAnsi="Times New Roman" w:eastAsia="宋体" w:cs="Times New Roman"/>
                <w:i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FB2D">
            <w:pPr>
              <w:jc w:val="right"/>
              <w:rPr>
                <w:rFonts w:hint="default" w:ascii="Times New Roman" w:hAnsi="Times New Roman" w:eastAsia="宋体" w:cs="Times New Roman"/>
                <w:i w:val="0"/>
                <w:color w:val="auto"/>
                <w:sz w:val="20"/>
                <w:szCs w:val="20"/>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010E">
            <w:pPr>
              <w:keepNext w:val="0"/>
              <w:keepLines w:val="0"/>
              <w:widowControl/>
              <w:suppressLineNumbers w:val="0"/>
              <w:jc w:val="right"/>
              <w:textAlignment w:val="center"/>
              <w:rPr>
                <w:rFonts w:hint="default" w:ascii="Times New Roman" w:hAnsi="Times New Roman" w:eastAsia="宋体" w:cs="Times New Roman"/>
                <w:i w:val="0"/>
                <w:color w:val="auto"/>
                <w:sz w:val="20"/>
                <w:szCs w:val="20"/>
                <w:highlight w:val="none"/>
                <w:u w:val="none"/>
              </w:rPr>
            </w:pPr>
          </w:p>
        </w:tc>
      </w:tr>
      <w:tr w14:paraId="741C2ECB">
        <w:tblPrEx>
          <w:tblCellMar>
            <w:top w:w="0" w:type="dxa"/>
            <w:left w:w="0" w:type="dxa"/>
            <w:bottom w:w="0" w:type="dxa"/>
            <w:right w:w="0" w:type="dxa"/>
          </w:tblCellMar>
        </w:tblPrEx>
        <w:trPr>
          <w:trHeight w:val="424"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A5CD">
            <w:pPr>
              <w:keepNext w:val="0"/>
              <w:keepLines w:val="0"/>
              <w:widowControl/>
              <w:suppressLineNumbers w:val="0"/>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 xml:space="preserve">  </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C990">
            <w:pPr>
              <w:keepNext w:val="0"/>
              <w:keepLines w:val="0"/>
              <w:widowControl/>
              <w:suppressLineNumbers w:val="0"/>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64FA">
            <w:pPr>
              <w:jc w:val="right"/>
              <w:rPr>
                <w:rFonts w:hint="default" w:ascii="Times New Roman" w:hAnsi="Times New Roman" w:eastAsia="宋体" w:cs="Times New Roman"/>
                <w:i w:val="0"/>
                <w:color w:val="auto"/>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5CAC">
            <w:pPr>
              <w:jc w:val="right"/>
              <w:rPr>
                <w:rFonts w:hint="default" w:ascii="Times New Roman" w:hAnsi="Times New Roman" w:eastAsia="宋体" w:cs="Times New Roman"/>
                <w:i w:val="0"/>
                <w:color w:val="auto"/>
                <w:sz w:val="20"/>
                <w:szCs w:val="20"/>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7F9D">
            <w:pPr>
              <w:jc w:val="right"/>
              <w:rPr>
                <w:rFonts w:hint="default" w:ascii="Times New Roman" w:hAnsi="Times New Roman" w:eastAsia="宋体" w:cs="Times New Roman"/>
                <w:i w:val="0"/>
                <w:color w:val="auto"/>
                <w:sz w:val="20"/>
                <w:szCs w:val="20"/>
                <w:highlight w:val="none"/>
                <w:u w:val="none"/>
              </w:rPr>
            </w:pPr>
          </w:p>
        </w:tc>
      </w:tr>
    </w:tbl>
    <w:p w14:paraId="19819C0A">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633E56F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36C56336">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2E40CAD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231E0BDE">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322CDB39">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692BDD79">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6D09DD57">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23D18E81">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622E4724">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16DB481">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13A30FB">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CCAB0D6">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E1E92AA">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0B406F6">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7BFC9F6">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D586F07">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0F05BBF9">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BCF1F4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435FA86E">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8BE73B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CD8623F">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4A35963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3F10EA2B">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4436B09B">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A20DCD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4F41655A">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11FE0D8">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2D308D7">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9819A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color w:val="auto"/>
          <w:highlight w:val="none"/>
          <w:lang w:val="en-US" w:eastAsia="zh-CN"/>
        </w:rPr>
      </w:pPr>
    </w:p>
    <w:p w14:paraId="10FD50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附件7</w:t>
      </w:r>
    </w:p>
    <w:tbl>
      <w:tblPr>
        <w:tblStyle w:val="4"/>
        <w:tblW w:w="9380" w:type="dxa"/>
        <w:jc w:val="center"/>
        <w:shd w:val="clear" w:color="auto" w:fill="auto"/>
        <w:tblLayout w:type="fixed"/>
        <w:tblCellMar>
          <w:top w:w="0" w:type="dxa"/>
          <w:left w:w="0" w:type="dxa"/>
          <w:bottom w:w="0" w:type="dxa"/>
          <w:right w:w="0" w:type="dxa"/>
        </w:tblCellMar>
      </w:tblPr>
      <w:tblGrid>
        <w:gridCol w:w="3210"/>
        <w:gridCol w:w="1150"/>
        <w:gridCol w:w="3527"/>
        <w:gridCol w:w="1493"/>
      </w:tblGrid>
      <w:tr w14:paraId="688DC894">
        <w:tblPrEx>
          <w:shd w:val="clear" w:color="auto" w:fill="auto"/>
          <w:tblCellMar>
            <w:top w:w="0" w:type="dxa"/>
            <w:left w:w="0" w:type="dxa"/>
            <w:bottom w:w="0" w:type="dxa"/>
            <w:right w:w="0" w:type="dxa"/>
          </w:tblCellMar>
        </w:tblPrEx>
        <w:trPr>
          <w:trHeight w:val="359" w:hRule="atLeast"/>
          <w:jc w:val="center"/>
        </w:trPr>
        <w:tc>
          <w:tcPr>
            <w:tcW w:w="9380" w:type="dxa"/>
            <w:gridSpan w:val="4"/>
            <w:vMerge w:val="restart"/>
            <w:tcBorders>
              <w:top w:val="nil"/>
              <w:left w:val="nil"/>
              <w:bottom w:val="nil"/>
              <w:right w:val="nil"/>
            </w:tcBorders>
            <w:shd w:val="clear" w:color="auto" w:fill="auto"/>
            <w:tcMar>
              <w:top w:w="15" w:type="dxa"/>
              <w:left w:w="15" w:type="dxa"/>
              <w:right w:w="15" w:type="dxa"/>
            </w:tcMar>
            <w:vAlign w:val="center"/>
          </w:tcPr>
          <w:p w14:paraId="3A95C220">
            <w:pPr>
              <w:keepNext w:val="0"/>
              <w:keepLines w:val="0"/>
              <w:widowControl/>
              <w:suppressLineNumbers w:val="0"/>
              <w:jc w:val="center"/>
              <w:textAlignment w:val="center"/>
              <w:rPr>
                <w:rFonts w:ascii="方正小标宋_GBK" w:hAnsi="方正小标宋_GBK" w:eastAsia="方正小标宋_GBK" w:cs="方正小标宋_GBK"/>
                <w:i w:val="0"/>
                <w:color w:val="auto"/>
                <w:sz w:val="30"/>
                <w:szCs w:val="30"/>
                <w:highlight w:val="none"/>
                <w:u w:val="none"/>
              </w:rPr>
            </w:pPr>
            <w:r>
              <w:rPr>
                <w:rFonts w:hint="eastAsia" w:ascii="方正小标宋_GBK" w:hAnsi="方正小标宋_GBK" w:eastAsia="方正小标宋_GBK" w:cs="方正小标宋_GBK"/>
                <w:i w:val="0"/>
                <w:color w:val="auto"/>
                <w:kern w:val="0"/>
                <w:sz w:val="30"/>
                <w:szCs w:val="30"/>
                <w:highlight w:val="none"/>
                <w:u w:val="none"/>
                <w:lang w:val="en-US" w:eastAsia="zh-CN" w:bidi="ar"/>
              </w:rPr>
              <w:t>重庆市九龙坡区人民政府渝州路街道办事处部门收支总表</w:t>
            </w:r>
          </w:p>
        </w:tc>
      </w:tr>
      <w:tr w14:paraId="1FABC6E7">
        <w:tblPrEx>
          <w:tblCellMar>
            <w:top w:w="0" w:type="dxa"/>
            <w:left w:w="0" w:type="dxa"/>
            <w:bottom w:w="0" w:type="dxa"/>
            <w:right w:w="0" w:type="dxa"/>
          </w:tblCellMar>
        </w:tblPrEx>
        <w:trPr>
          <w:trHeight w:val="359" w:hRule="atLeast"/>
          <w:jc w:val="center"/>
        </w:trPr>
        <w:tc>
          <w:tcPr>
            <w:tcW w:w="9380" w:type="dxa"/>
            <w:gridSpan w:val="4"/>
            <w:vMerge w:val="continue"/>
            <w:tcBorders>
              <w:top w:val="nil"/>
              <w:left w:val="nil"/>
              <w:bottom w:val="nil"/>
              <w:right w:val="nil"/>
            </w:tcBorders>
            <w:shd w:val="clear" w:color="auto" w:fill="auto"/>
            <w:tcMar>
              <w:top w:w="15" w:type="dxa"/>
              <w:left w:w="15" w:type="dxa"/>
              <w:right w:w="15" w:type="dxa"/>
            </w:tcMar>
            <w:vAlign w:val="center"/>
          </w:tcPr>
          <w:p w14:paraId="04909A9E">
            <w:pPr>
              <w:jc w:val="center"/>
              <w:rPr>
                <w:rFonts w:hint="eastAsia" w:ascii="方正小标宋_GBK" w:hAnsi="方正小标宋_GBK" w:eastAsia="方正小标宋_GBK" w:cs="方正小标宋_GBK"/>
                <w:i w:val="0"/>
                <w:color w:val="auto"/>
                <w:sz w:val="30"/>
                <w:szCs w:val="30"/>
                <w:highlight w:val="none"/>
                <w:u w:val="none"/>
              </w:rPr>
            </w:pPr>
          </w:p>
        </w:tc>
      </w:tr>
      <w:tr w14:paraId="56E79D33">
        <w:tblPrEx>
          <w:tblCellMar>
            <w:top w:w="0" w:type="dxa"/>
            <w:left w:w="0" w:type="dxa"/>
            <w:bottom w:w="0" w:type="dxa"/>
            <w:right w:w="0" w:type="dxa"/>
          </w:tblCellMar>
        </w:tblPrEx>
        <w:trPr>
          <w:trHeight w:val="504" w:hRule="atLeast"/>
          <w:jc w:val="center"/>
        </w:trPr>
        <w:tc>
          <w:tcPr>
            <w:tcW w:w="3210" w:type="dxa"/>
            <w:tcBorders>
              <w:top w:val="nil"/>
              <w:left w:val="nil"/>
              <w:bottom w:val="nil"/>
              <w:right w:val="nil"/>
            </w:tcBorders>
            <w:shd w:val="clear" w:color="auto" w:fill="auto"/>
            <w:noWrap/>
            <w:tcMar>
              <w:top w:w="15" w:type="dxa"/>
              <w:left w:w="15" w:type="dxa"/>
              <w:right w:w="15" w:type="dxa"/>
            </w:tcMar>
            <w:vAlign w:val="center"/>
          </w:tcPr>
          <w:p w14:paraId="55376F9A">
            <w:pPr>
              <w:rPr>
                <w:rFonts w:hint="eastAsia" w:ascii="宋体" w:hAnsi="宋体" w:eastAsia="宋体" w:cs="宋体"/>
                <w:i w:val="0"/>
                <w:color w:val="auto"/>
                <w:sz w:val="22"/>
                <w:szCs w:val="22"/>
                <w:highlight w:val="none"/>
                <w:u w:val="none"/>
              </w:rPr>
            </w:pPr>
          </w:p>
        </w:tc>
        <w:tc>
          <w:tcPr>
            <w:tcW w:w="1150" w:type="dxa"/>
            <w:tcBorders>
              <w:top w:val="nil"/>
              <w:left w:val="nil"/>
              <w:bottom w:val="nil"/>
              <w:right w:val="nil"/>
            </w:tcBorders>
            <w:shd w:val="clear" w:color="auto" w:fill="auto"/>
            <w:noWrap/>
            <w:tcMar>
              <w:top w:w="15" w:type="dxa"/>
              <w:left w:w="15" w:type="dxa"/>
              <w:right w:w="15" w:type="dxa"/>
            </w:tcMar>
            <w:vAlign w:val="center"/>
          </w:tcPr>
          <w:p w14:paraId="1498A3A9">
            <w:pPr>
              <w:rPr>
                <w:rFonts w:hint="eastAsia" w:ascii="宋体" w:hAnsi="宋体" w:eastAsia="宋体" w:cs="宋体"/>
                <w:i w:val="0"/>
                <w:color w:val="auto"/>
                <w:sz w:val="22"/>
                <w:szCs w:val="22"/>
                <w:highlight w:val="none"/>
                <w:u w:val="none"/>
              </w:rPr>
            </w:pPr>
          </w:p>
        </w:tc>
        <w:tc>
          <w:tcPr>
            <w:tcW w:w="3527" w:type="dxa"/>
            <w:tcBorders>
              <w:top w:val="nil"/>
              <w:left w:val="nil"/>
              <w:bottom w:val="nil"/>
              <w:right w:val="nil"/>
            </w:tcBorders>
            <w:shd w:val="clear" w:color="auto" w:fill="auto"/>
            <w:noWrap/>
            <w:tcMar>
              <w:top w:w="15" w:type="dxa"/>
              <w:left w:w="15" w:type="dxa"/>
              <w:right w:w="15" w:type="dxa"/>
            </w:tcMar>
            <w:vAlign w:val="center"/>
          </w:tcPr>
          <w:p w14:paraId="23CD878D">
            <w:pPr>
              <w:rPr>
                <w:rFonts w:hint="eastAsia" w:ascii="宋体" w:hAnsi="宋体" w:eastAsia="宋体" w:cs="宋体"/>
                <w:i w:val="0"/>
                <w:color w:val="auto"/>
                <w:sz w:val="22"/>
                <w:szCs w:val="22"/>
                <w:highlight w:val="none"/>
                <w:u w:val="none"/>
              </w:rPr>
            </w:pPr>
          </w:p>
        </w:tc>
        <w:tc>
          <w:tcPr>
            <w:tcW w:w="1493" w:type="dxa"/>
            <w:tcBorders>
              <w:top w:val="nil"/>
              <w:left w:val="nil"/>
              <w:bottom w:val="nil"/>
              <w:right w:val="nil"/>
            </w:tcBorders>
            <w:shd w:val="clear" w:color="auto" w:fill="auto"/>
            <w:noWrap/>
            <w:tcMar>
              <w:top w:w="15" w:type="dxa"/>
              <w:left w:w="15" w:type="dxa"/>
              <w:right w:w="15" w:type="dxa"/>
            </w:tcMar>
            <w:vAlign w:val="center"/>
          </w:tcPr>
          <w:p w14:paraId="4F645064">
            <w:pPr>
              <w:keepNext w:val="0"/>
              <w:keepLines w:val="0"/>
              <w:widowControl/>
              <w:suppressLineNumbers w:val="0"/>
              <w:jc w:val="right"/>
              <w:textAlignment w:val="center"/>
              <w:rPr>
                <w:rFonts w:ascii="方正楷体_GBK" w:hAnsi="方正楷体_GBK" w:eastAsia="方正楷体_GBK" w:cs="方正楷体_GBK"/>
                <w:i w:val="0"/>
                <w:color w:val="auto"/>
                <w:sz w:val="22"/>
                <w:szCs w:val="22"/>
                <w:highlight w:val="none"/>
                <w:u w:val="none"/>
              </w:rPr>
            </w:pPr>
            <w:r>
              <w:rPr>
                <w:rFonts w:hint="eastAsia" w:ascii="方正楷体_GBK" w:hAnsi="方正楷体_GBK" w:eastAsia="方正楷体_GBK" w:cs="方正楷体_GBK"/>
                <w:i w:val="0"/>
                <w:color w:val="auto"/>
                <w:kern w:val="0"/>
                <w:sz w:val="22"/>
                <w:szCs w:val="22"/>
                <w:highlight w:val="none"/>
                <w:u w:val="none"/>
                <w:lang w:val="en-US" w:eastAsia="zh-CN" w:bidi="ar"/>
              </w:rPr>
              <w:t>单位：万元</w:t>
            </w:r>
          </w:p>
        </w:tc>
      </w:tr>
      <w:tr w14:paraId="14790D79">
        <w:tblPrEx>
          <w:tblCellMar>
            <w:top w:w="0" w:type="dxa"/>
            <w:left w:w="0" w:type="dxa"/>
            <w:bottom w:w="0" w:type="dxa"/>
            <w:right w:w="0" w:type="dxa"/>
          </w:tblCellMar>
        </w:tblPrEx>
        <w:trPr>
          <w:trHeight w:val="567" w:hRule="atLeast"/>
          <w:jc w:val="center"/>
        </w:trPr>
        <w:tc>
          <w:tcPr>
            <w:tcW w:w="4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74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收入</w:t>
            </w:r>
          </w:p>
        </w:tc>
        <w:tc>
          <w:tcPr>
            <w:tcW w:w="5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5F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支出</w:t>
            </w:r>
          </w:p>
        </w:tc>
      </w:tr>
      <w:tr w14:paraId="30D55051">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9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6A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预算数</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22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项目</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06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预算数</w:t>
            </w:r>
          </w:p>
        </w:tc>
      </w:tr>
      <w:tr w14:paraId="6C13323C">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23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91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6,422.17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F9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合计</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CF2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6,422.17</w:t>
            </w:r>
          </w:p>
        </w:tc>
      </w:tr>
      <w:tr w14:paraId="4E3A9E9D">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BC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一般公共预算资金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F62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6,397.19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27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一般公共服务支出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2BC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2,982.61</w:t>
            </w:r>
          </w:p>
        </w:tc>
      </w:tr>
      <w:tr w14:paraId="2BB5321C">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63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政府性基金预算资金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253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24.98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F8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国防支出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AFC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r>
      <w:tr w14:paraId="5C986B63">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AE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国有资本经营预算资金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F06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E7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公共安全支出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25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2.00</w:t>
            </w:r>
          </w:p>
        </w:tc>
      </w:tr>
      <w:tr w14:paraId="79941576">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16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财政专户管理资金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A40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01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文化旅游体育与传媒支出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B66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w:t>
            </w:r>
          </w:p>
        </w:tc>
      </w:tr>
      <w:tr w14:paraId="509B5A6B">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4F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事业收入资金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863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2D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社会保障和就业支出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67F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1,385.93</w:t>
            </w:r>
          </w:p>
        </w:tc>
      </w:tr>
      <w:tr w14:paraId="15151EF8">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27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上级补助收入资金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CEB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A8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卫生健康支出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E2F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61.41</w:t>
            </w:r>
          </w:p>
        </w:tc>
      </w:tr>
      <w:tr w14:paraId="219DD9C8">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5D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附属单位上缴收入资金 </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F72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B1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城乡社区支出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CE6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1,773.44</w:t>
            </w:r>
          </w:p>
        </w:tc>
      </w:tr>
      <w:tr w14:paraId="00EA42AE">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79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事业单位经营收入资金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4C1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48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资源勘探工业信息等支出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5A5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30.00</w:t>
            </w:r>
          </w:p>
        </w:tc>
      </w:tr>
      <w:tr w14:paraId="704397D1">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28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其他收入资金 </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53F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03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金融支出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17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5.00</w:t>
            </w:r>
          </w:p>
        </w:tc>
      </w:tr>
      <w:tr w14:paraId="3508FDF7">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643A">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689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1D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住房保障支出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64D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73.79</w:t>
            </w:r>
          </w:p>
        </w:tc>
      </w:tr>
      <w:tr w14:paraId="66E71AFB">
        <w:tblPrEx>
          <w:tblCellMar>
            <w:top w:w="0" w:type="dxa"/>
            <w:left w:w="0" w:type="dxa"/>
            <w:bottom w:w="0" w:type="dxa"/>
            <w:right w:w="0" w:type="dxa"/>
          </w:tblCellMar>
        </w:tblPrEx>
        <w:trPr>
          <w:trHeight w:val="567" w:hRule="atLeast"/>
          <w:jc w:val="center"/>
        </w:trPr>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51DD">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auto"/>
                <w:sz w:val="24"/>
                <w:szCs w:val="24"/>
                <w:highlight w:val="none"/>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82A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13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灾害防治及应急管理支出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D8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100.00</w:t>
            </w:r>
          </w:p>
        </w:tc>
      </w:tr>
    </w:tbl>
    <w:p w14:paraId="035E81A2">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446AC21">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582312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305BF13E">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688518A">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852688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27211B5B">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FF2064A">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832B963">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6A51E06D">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A522F2F">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1D60C94">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5872FA1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1590501">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1838B992">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FBEA7C4">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color w:val="auto"/>
          <w:highlight w:val="none"/>
          <w:lang w:val="en-US" w:eastAsia="zh-CN"/>
        </w:rPr>
      </w:pPr>
    </w:p>
    <w:p w14:paraId="77730957">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附件8</w:t>
      </w:r>
    </w:p>
    <w:tbl>
      <w:tblPr>
        <w:tblStyle w:val="4"/>
        <w:tblW w:w="9060" w:type="dxa"/>
        <w:tblInd w:w="0" w:type="dxa"/>
        <w:shd w:val="clear" w:color="auto" w:fill="auto"/>
        <w:tblLayout w:type="fixed"/>
        <w:tblCellMar>
          <w:top w:w="0" w:type="dxa"/>
          <w:left w:w="0" w:type="dxa"/>
          <w:bottom w:w="0" w:type="dxa"/>
          <w:right w:w="0" w:type="dxa"/>
        </w:tblCellMar>
      </w:tblPr>
      <w:tblGrid>
        <w:gridCol w:w="801"/>
        <w:gridCol w:w="2385"/>
        <w:gridCol w:w="916"/>
        <w:gridCol w:w="779"/>
        <w:gridCol w:w="833"/>
        <w:gridCol w:w="441"/>
        <w:gridCol w:w="441"/>
        <w:gridCol w:w="442"/>
        <w:gridCol w:w="441"/>
        <w:gridCol w:w="441"/>
        <w:gridCol w:w="441"/>
        <w:gridCol w:w="699"/>
      </w:tblGrid>
      <w:tr w14:paraId="756C5FB0">
        <w:tblPrEx>
          <w:shd w:val="clear" w:color="auto" w:fill="auto"/>
          <w:tblCellMar>
            <w:top w:w="0" w:type="dxa"/>
            <w:left w:w="0" w:type="dxa"/>
            <w:bottom w:w="0" w:type="dxa"/>
            <w:right w:w="0" w:type="dxa"/>
          </w:tblCellMar>
        </w:tblPrEx>
        <w:trPr>
          <w:trHeight w:val="454" w:hRule="atLeast"/>
        </w:trPr>
        <w:tc>
          <w:tcPr>
            <w:tcW w:w="9060" w:type="dxa"/>
            <w:gridSpan w:val="12"/>
            <w:vMerge w:val="restart"/>
            <w:tcBorders>
              <w:top w:val="nil"/>
              <w:left w:val="nil"/>
              <w:bottom w:val="nil"/>
              <w:right w:val="nil"/>
            </w:tcBorders>
            <w:shd w:val="clear" w:color="auto" w:fill="auto"/>
            <w:tcMar>
              <w:top w:w="15" w:type="dxa"/>
              <w:left w:w="15" w:type="dxa"/>
              <w:right w:w="15" w:type="dxa"/>
            </w:tcMar>
            <w:vAlign w:val="center"/>
          </w:tcPr>
          <w:p w14:paraId="0022C3FC">
            <w:pPr>
              <w:keepNext w:val="0"/>
              <w:keepLines w:val="0"/>
              <w:widowControl/>
              <w:suppressLineNumbers w:val="0"/>
              <w:jc w:val="center"/>
              <w:textAlignment w:val="center"/>
              <w:rPr>
                <w:rFonts w:ascii="方正小标宋_GBK" w:hAnsi="方正小标宋_GBK" w:eastAsia="方正小标宋_GBK" w:cs="方正小标宋_GBK"/>
                <w:i w:val="0"/>
                <w:color w:val="auto"/>
                <w:sz w:val="38"/>
                <w:szCs w:val="38"/>
                <w:highlight w:val="none"/>
                <w:u w:val="none"/>
              </w:rPr>
            </w:pPr>
            <w:r>
              <w:rPr>
                <w:rFonts w:hint="eastAsia" w:ascii="方正小标宋_GBK" w:hAnsi="方正小标宋_GBK" w:eastAsia="方正小标宋_GBK" w:cs="方正小标宋_GBK"/>
                <w:i w:val="0"/>
                <w:color w:val="auto"/>
                <w:kern w:val="0"/>
                <w:sz w:val="38"/>
                <w:szCs w:val="38"/>
                <w:highlight w:val="none"/>
                <w:u w:val="none"/>
                <w:lang w:val="en-US" w:eastAsia="zh-CN" w:bidi="ar"/>
              </w:rPr>
              <w:t>重庆市九龙坡区人民政府渝州路街道办事处部门收入总表</w:t>
            </w:r>
          </w:p>
        </w:tc>
      </w:tr>
      <w:tr w14:paraId="0E4D14C1">
        <w:tblPrEx>
          <w:tblCellMar>
            <w:top w:w="0" w:type="dxa"/>
            <w:left w:w="0" w:type="dxa"/>
            <w:bottom w:w="0" w:type="dxa"/>
            <w:right w:w="0" w:type="dxa"/>
          </w:tblCellMar>
        </w:tblPrEx>
        <w:trPr>
          <w:trHeight w:val="454" w:hRule="atLeast"/>
        </w:trPr>
        <w:tc>
          <w:tcPr>
            <w:tcW w:w="9060" w:type="dxa"/>
            <w:gridSpan w:val="12"/>
            <w:vMerge w:val="continue"/>
            <w:tcBorders>
              <w:top w:val="nil"/>
              <w:left w:val="nil"/>
              <w:bottom w:val="nil"/>
              <w:right w:val="nil"/>
            </w:tcBorders>
            <w:shd w:val="clear" w:color="auto" w:fill="auto"/>
            <w:tcMar>
              <w:top w:w="15" w:type="dxa"/>
              <w:left w:w="15" w:type="dxa"/>
              <w:right w:w="15" w:type="dxa"/>
            </w:tcMar>
            <w:vAlign w:val="center"/>
          </w:tcPr>
          <w:p w14:paraId="765593ED">
            <w:pPr>
              <w:jc w:val="center"/>
              <w:rPr>
                <w:rFonts w:hint="eastAsia" w:ascii="方正小标宋_GBK" w:hAnsi="方正小标宋_GBK" w:eastAsia="方正小标宋_GBK" w:cs="方正小标宋_GBK"/>
                <w:i w:val="0"/>
                <w:color w:val="auto"/>
                <w:sz w:val="38"/>
                <w:szCs w:val="38"/>
                <w:highlight w:val="none"/>
                <w:u w:val="none"/>
              </w:rPr>
            </w:pPr>
          </w:p>
        </w:tc>
      </w:tr>
      <w:tr w14:paraId="480CF231">
        <w:tblPrEx>
          <w:tblCellMar>
            <w:top w:w="0" w:type="dxa"/>
            <w:left w:w="0" w:type="dxa"/>
            <w:bottom w:w="0" w:type="dxa"/>
            <w:right w:w="0" w:type="dxa"/>
          </w:tblCellMar>
        </w:tblPrEx>
        <w:trPr>
          <w:trHeight w:val="615" w:hRule="atLeast"/>
        </w:trPr>
        <w:tc>
          <w:tcPr>
            <w:tcW w:w="801" w:type="dxa"/>
            <w:tcBorders>
              <w:top w:val="nil"/>
              <w:left w:val="nil"/>
              <w:bottom w:val="nil"/>
              <w:right w:val="nil"/>
            </w:tcBorders>
            <w:shd w:val="clear" w:color="auto" w:fill="auto"/>
            <w:noWrap/>
            <w:tcMar>
              <w:top w:w="15" w:type="dxa"/>
              <w:left w:w="15" w:type="dxa"/>
              <w:right w:w="15" w:type="dxa"/>
            </w:tcMar>
            <w:vAlign w:val="center"/>
          </w:tcPr>
          <w:p w14:paraId="00424C69">
            <w:pPr>
              <w:rPr>
                <w:rFonts w:hint="eastAsia" w:ascii="宋体" w:hAnsi="宋体" w:eastAsia="宋体" w:cs="宋体"/>
                <w:i w:val="0"/>
                <w:color w:val="auto"/>
                <w:sz w:val="22"/>
                <w:szCs w:val="22"/>
                <w:highlight w:val="none"/>
                <w:u w:val="none"/>
              </w:rPr>
            </w:pPr>
          </w:p>
        </w:tc>
        <w:tc>
          <w:tcPr>
            <w:tcW w:w="2385" w:type="dxa"/>
            <w:tcBorders>
              <w:top w:val="nil"/>
              <w:left w:val="nil"/>
              <w:bottom w:val="nil"/>
              <w:right w:val="nil"/>
            </w:tcBorders>
            <w:shd w:val="clear" w:color="auto" w:fill="auto"/>
            <w:noWrap/>
            <w:tcMar>
              <w:top w:w="15" w:type="dxa"/>
              <w:left w:w="15" w:type="dxa"/>
              <w:right w:w="15" w:type="dxa"/>
            </w:tcMar>
            <w:vAlign w:val="center"/>
          </w:tcPr>
          <w:p w14:paraId="2FD14043">
            <w:pPr>
              <w:rPr>
                <w:rFonts w:hint="eastAsia" w:ascii="宋体" w:hAnsi="宋体" w:eastAsia="宋体" w:cs="宋体"/>
                <w:i w:val="0"/>
                <w:color w:val="auto"/>
                <w:sz w:val="22"/>
                <w:szCs w:val="22"/>
                <w:highlight w:val="none"/>
                <w:u w:val="none"/>
              </w:rPr>
            </w:pPr>
          </w:p>
        </w:tc>
        <w:tc>
          <w:tcPr>
            <w:tcW w:w="916" w:type="dxa"/>
            <w:tcBorders>
              <w:top w:val="nil"/>
              <w:left w:val="nil"/>
              <w:bottom w:val="nil"/>
              <w:right w:val="nil"/>
            </w:tcBorders>
            <w:shd w:val="clear" w:color="auto" w:fill="auto"/>
            <w:noWrap/>
            <w:tcMar>
              <w:top w:w="15" w:type="dxa"/>
              <w:left w:w="15" w:type="dxa"/>
              <w:right w:w="15" w:type="dxa"/>
            </w:tcMar>
            <w:vAlign w:val="center"/>
          </w:tcPr>
          <w:p w14:paraId="59906B3E">
            <w:pPr>
              <w:rPr>
                <w:rFonts w:hint="eastAsia" w:ascii="宋体" w:hAnsi="宋体" w:eastAsia="宋体" w:cs="宋体"/>
                <w:i w:val="0"/>
                <w:color w:val="auto"/>
                <w:sz w:val="22"/>
                <w:szCs w:val="22"/>
                <w:highlight w:val="none"/>
                <w:u w:val="none"/>
              </w:rPr>
            </w:pPr>
          </w:p>
        </w:tc>
        <w:tc>
          <w:tcPr>
            <w:tcW w:w="779" w:type="dxa"/>
            <w:tcBorders>
              <w:top w:val="nil"/>
              <w:left w:val="nil"/>
              <w:bottom w:val="nil"/>
              <w:right w:val="nil"/>
            </w:tcBorders>
            <w:shd w:val="clear" w:color="auto" w:fill="auto"/>
            <w:noWrap/>
            <w:tcMar>
              <w:top w:w="15" w:type="dxa"/>
              <w:left w:w="15" w:type="dxa"/>
              <w:right w:w="15" w:type="dxa"/>
            </w:tcMar>
            <w:vAlign w:val="center"/>
          </w:tcPr>
          <w:p w14:paraId="5F5EC7E4">
            <w:pPr>
              <w:rPr>
                <w:rFonts w:hint="eastAsia" w:ascii="宋体" w:hAnsi="宋体" w:eastAsia="宋体" w:cs="宋体"/>
                <w:i w:val="0"/>
                <w:color w:val="auto"/>
                <w:sz w:val="22"/>
                <w:szCs w:val="22"/>
                <w:highlight w:val="none"/>
                <w:u w:val="none"/>
              </w:rPr>
            </w:pPr>
          </w:p>
        </w:tc>
        <w:tc>
          <w:tcPr>
            <w:tcW w:w="833" w:type="dxa"/>
            <w:tcBorders>
              <w:top w:val="nil"/>
              <w:left w:val="nil"/>
              <w:bottom w:val="nil"/>
              <w:right w:val="nil"/>
            </w:tcBorders>
            <w:shd w:val="clear" w:color="auto" w:fill="auto"/>
            <w:noWrap/>
            <w:tcMar>
              <w:top w:w="15" w:type="dxa"/>
              <w:left w:w="15" w:type="dxa"/>
              <w:right w:w="15" w:type="dxa"/>
            </w:tcMar>
            <w:vAlign w:val="center"/>
          </w:tcPr>
          <w:p w14:paraId="32C95169">
            <w:pPr>
              <w:rPr>
                <w:rFonts w:hint="eastAsia" w:ascii="宋体" w:hAnsi="宋体" w:eastAsia="宋体" w:cs="宋体"/>
                <w:i w:val="0"/>
                <w:color w:val="auto"/>
                <w:sz w:val="22"/>
                <w:szCs w:val="22"/>
                <w:highlight w:val="none"/>
                <w:u w:val="none"/>
              </w:rPr>
            </w:pPr>
          </w:p>
        </w:tc>
        <w:tc>
          <w:tcPr>
            <w:tcW w:w="441" w:type="dxa"/>
            <w:tcBorders>
              <w:top w:val="nil"/>
              <w:left w:val="nil"/>
              <w:bottom w:val="nil"/>
              <w:right w:val="nil"/>
            </w:tcBorders>
            <w:shd w:val="clear" w:color="auto" w:fill="auto"/>
            <w:noWrap/>
            <w:tcMar>
              <w:top w:w="15" w:type="dxa"/>
              <w:left w:w="15" w:type="dxa"/>
              <w:right w:w="15" w:type="dxa"/>
            </w:tcMar>
            <w:vAlign w:val="center"/>
          </w:tcPr>
          <w:p w14:paraId="555FC0C8">
            <w:pPr>
              <w:rPr>
                <w:rFonts w:hint="eastAsia" w:ascii="宋体" w:hAnsi="宋体" w:eastAsia="宋体" w:cs="宋体"/>
                <w:i w:val="0"/>
                <w:color w:val="auto"/>
                <w:sz w:val="22"/>
                <w:szCs w:val="22"/>
                <w:highlight w:val="none"/>
                <w:u w:val="none"/>
              </w:rPr>
            </w:pPr>
          </w:p>
        </w:tc>
        <w:tc>
          <w:tcPr>
            <w:tcW w:w="441" w:type="dxa"/>
            <w:tcBorders>
              <w:top w:val="nil"/>
              <w:left w:val="nil"/>
              <w:bottom w:val="nil"/>
              <w:right w:val="nil"/>
            </w:tcBorders>
            <w:shd w:val="clear" w:color="auto" w:fill="auto"/>
            <w:noWrap/>
            <w:tcMar>
              <w:top w:w="15" w:type="dxa"/>
              <w:left w:w="15" w:type="dxa"/>
              <w:right w:w="15" w:type="dxa"/>
            </w:tcMar>
            <w:vAlign w:val="center"/>
          </w:tcPr>
          <w:p w14:paraId="03E69951">
            <w:pPr>
              <w:rPr>
                <w:rFonts w:hint="eastAsia" w:ascii="宋体" w:hAnsi="宋体" w:eastAsia="宋体" w:cs="宋体"/>
                <w:i w:val="0"/>
                <w:color w:val="auto"/>
                <w:sz w:val="22"/>
                <w:szCs w:val="22"/>
                <w:highlight w:val="none"/>
                <w:u w:val="none"/>
              </w:rPr>
            </w:pPr>
          </w:p>
        </w:tc>
        <w:tc>
          <w:tcPr>
            <w:tcW w:w="442" w:type="dxa"/>
            <w:tcBorders>
              <w:top w:val="nil"/>
              <w:left w:val="nil"/>
              <w:bottom w:val="nil"/>
              <w:right w:val="nil"/>
            </w:tcBorders>
            <w:shd w:val="clear" w:color="auto" w:fill="auto"/>
            <w:noWrap/>
            <w:tcMar>
              <w:top w:w="15" w:type="dxa"/>
              <w:left w:w="15" w:type="dxa"/>
              <w:right w:w="15" w:type="dxa"/>
            </w:tcMar>
            <w:vAlign w:val="center"/>
          </w:tcPr>
          <w:p w14:paraId="3C7CE369">
            <w:pPr>
              <w:rPr>
                <w:rFonts w:hint="eastAsia" w:ascii="宋体" w:hAnsi="宋体" w:eastAsia="宋体" w:cs="宋体"/>
                <w:i w:val="0"/>
                <w:color w:val="auto"/>
                <w:sz w:val="22"/>
                <w:szCs w:val="22"/>
                <w:highlight w:val="none"/>
                <w:u w:val="none"/>
              </w:rPr>
            </w:pPr>
          </w:p>
        </w:tc>
        <w:tc>
          <w:tcPr>
            <w:tcW w:w="441" w:type="dxa"/>
            <w:tcBorders>
              <w:top w:val="nil"/>
              <w:left w:val="nil"/>
              <w:bottom w:val="nil"/>
              <w:right w:val="nil"/>
            </w:tcBorders>
            <w:shd w:val="clear" w:color="auto" w:fill="auto"/>
            <w:noWrap/>
            <w:tcMar>
              <w:top w:w="15" w:type="dxa"/>
              <w:left w:w="15" w:type="dxa"/>
              <w:right w:w="15" w:type="dxa"/>
            </w:tcMar>
            <w:vAlign w:val="center"/>
          </w:tcPr>
          <w:p w14:paraId="1997ACB5">
            <w:pPr>
              <w:rPr>
                <w:rFonts w:hint="eastAsia" w:ascii="宋体" w:hAnsi="宋体" w:eastAsia="宋体" w:cs="宋体"/>
                <w:i w:val="0"/>
                <w:color w:val="auto"/>
                <w:sz w:val="22"/>
                <w:szCs w:val="22"/>
                <w:highlight w:val="none"/>
                <w:u w:val="none"/>
              </w:rPr>
            </w:pPr>
          </w:p>
        </w:tc>
        <w:tc>
          <w:tcPr>
            <w:tcW w:w="441" w:type="dxa"/>
            <w:tcBorders>
              <w:top w:val="nil"/>
              <w:left w:val="nil"/>
              <w:bottom w:val="nil"/>
              <w:right w:val="nil"/>
            </w:tcBorders>
            <w:shd w:val="clear" w:color="auto" w:fill="auto"/>
            <w:noWrap/>
            <w:tcMar>
              <w:top w:w="15" w:type="dxa"/>
              <w:left w:w="15" w:type="dxa"/>
              <w:right w:w="15" w:type="dxa"/>
            </w:tcMar>
            <w:vAlign w:val="center"/>
          </w:tcPr>
          <w:p w14:paraId="54C7A97D">
            <w:pPr>
              <w:rPr>
                <w:rFonts w:hint="eastAsia" w:ascii="宋体" w:hAnsi="宋体" w:eastAsia="宋体" w:cs="宋体"/>
                <w:i w:val="0"/>
                <w:color w:val="auto"/>
                <w:sz w:val="22"/>
                <w:szCs w:val="22"/>
                <w:highlight w:val="none"/>
                <w:u w:val="none"/>
              </w:rPr>
            </w:pPr>
          </w:p>
        </w:tc>
        <w:tc>
          <w:tcPr>
            <w:tcW w:w="441" w:type="dxa"/>
            <w:tcBorders>
              <w:top w:val="nil"/>
              <w:left w:val="nil"/>
              <w:bottom w:val="nil"/>
              <w:right w:val="nil"/>
            </w:tcBorders>
            <w:shd w:val="clear" w:color="auto" w:fill="auto"/>
            <w:noWrap/>
            <w:tcMar>
              <w:top w:w="15" w:type="dxa"/>
              <w:left w:w="15" w:type="dxa"/>
              <w:right w:w="15" w:type="dxa"/>
            </w:tcMar>
            <w:vAlign w:val="center"/>
          </w:tcPr>
          <w:p w14:paraId="0367BDD6">
            <w:pPr>
              <w:rPr>
                <w:rFonts w:hint="eastAsia" w:ascii="宋体" w:hAnsi="宋体" w:eastAsia="宋体" w:cs="宋体"/>
                <w:i w:val="0"/>
                <w:color w:val="auto"/>
                <w:sz w:val="22"/>
                <w:szCs w:val="22"/>
                <w:highlight w:val="none"/>
                <w:u w:val="none"/>
              </w:rPr>
            </w:pPr>
          </w:p>
        </w:tc>
        <w:tc>
          <w:tcPr>
            <w:tcW w:w="699" w:type="dxa"/>
            <w:tcBorders>
              <w:top w:val="nil"/>
              <w:left w:val="nil"/>
              <w:bottom w:val="nil"/>
              <w:right w:val="nil"/>
            </w:tcBorders>
            <w:shd w:val="clear" w:color="auto" w:fill="auto"/>
            <w:noWrap/>
            <w:tcMar>
              <w:top w:w="15" w:type="dxa"/>
              <w:left w:w="15" w:type="dxa"/>
              <w:right w:w="15" w:type="dxa"/>
            </w:tcMar>
            <w:vAlign w:val="center"/>
          </w:tcPr>
          <w:p w14:paraId="0681A8AC">
            <w:pPr>
              <w:keepNext w:val="0"/>
              <w:keepLines w:val="0"/>
              <w:widowControl/>
              <w:suppressLineNumbers w:val="0"/>
              <w:jc w:val="right"/>
              <w:textAlignment w:val="center"/>
              <w:rPr>
                <w:rFonts w:ascii="方正楷体_GBK" w:hAnsi="方正楷体_GBK" w:eastAsia="方正楷体_GBK" w:cs="方正楷体_GBK"/>
                <w:i w:val="0"/>
                <w:color w:val="auto"/>
                <w:sz w:val="20"/>
                <w:szCs w:val="20"/>
                <w:highlight w:val="none"/>
                <w:u w:val="none"/>
              </w:rPr>
            </w:pPr>
            <w:r>
              <w:rPr>
                <w:rFonts w:hint="eastAsia" w:ascii="方正楷体_GBK" w:hAnsi="方正楷体_GBK" w:eastAsia="方正楷体_GBK" w:cs="方正楷体_GBK"/>
                <w:i w:val="0"/>
                <w:color w:val="auto"/>
                <w:kern w:val="0"/>
                <w:sz w:val="20"/>
                <w:szCs w:val="20"/>
                <w:highlight w:val="none"/>
                <w:u w:val="none"/>
                <w:lang w:val="en-US" w:eastAsia="zh-CN" w:bidi="ar"/>
              </w:rPr>
              <w:t>单位：万元</w:t>
            </w:r>
          </w:p>
        </w:tc>
      </w:tr>
      <w:tr w14:paraId="2D72324E">
        <w:tblPrEx>
          <w:tblCellMar>
            <w:top w:w="0" w:type="dxa"/>
            <w:left w:w="0" w:type="dxa"/>
            <w:bottom w:w="0" w:type="dxa"/>
            <w:right w:w="0" w:type="dxa"/>
          </w:tblCellMar>
        </w:tblPrEx>
        <w:trPr>
          <w:trHeight w:val="283" w:hRule="atLeast"/>
        </w:trPr>
        <w:tc>
          <w:tcPr>
            <w:tcW w:w="31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01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科目</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1A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总计</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E27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一般公共预算拨款收入</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A39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政府性基金预算拨款收入</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1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国有资本经营预算拨款收入</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15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财政专户管理资金收入</w:t>
            </w: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94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事业收入</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E85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上级补助收入</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3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附属单位上缴收入</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E45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事业单位经营收入</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33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其他收入</w:t>
            </w:r>
          </w:p>
        </w:tc>
      </w:tr>
      <w:tr w14:paraId="1DD36604">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92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科目编码</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39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18"/>
                <w:szCs w:val="18"/>
                <w:highlight w:val="none"/>
                <w:u w:val="none"/>
              </w:rPr>
            </w:pPr>
            <w:r>
              <w:rPr>
                <w:rFonts w:hint="eastAsia" w:ascii="方正黑体_GBK" w:hAnsi="方正黑体_GBK" w:eastAsia="方正黑体_GBK" w:cs="方正黑体_GBK"/>
                <w:i w:val="0"/>
                <w:color w:val="auto"/>
                <w:kern w:val="0"/>
                <w:sz w:val="18"/>
                <w:szCs w:val="18"/>
                <w:highlight w:val="none"/>
                <w:u w:val="none"/>
                <w:lang w:val="en-US" w:eastAsia="zh-CN" w:bidi="ar"/>
              </w:rPr>
              <w:t>科目名称</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062F">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auto"/>
                <w:sz w:val="18"/>
                <w:szCs w:val="18"/>
                <w:highlight w:val="none"/>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C534">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auto"/>
                <w:sz w:val="18"/>
                <w:szCs w:val="18"/>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B6AA">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auto"/>
                <w:sz w:val="18"/>
                <w:szCs w:val="18"/>
                <w:highlight w:val="none"/>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A276">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auto"/>
                <w:sz w:val="18"/>
                <w:szCs w:val="18"/>
                <w:highlight w:val="none"/>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0AB9A">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auto"/>
                <w:sz w:val="18"/>
                <w:szCs w:val="18"/>
                <w:highlight w:val="none"/>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573D">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auto"/>
                <w:sz w:val="18"/>
                <w:szCs w:val="18"/>
                <w:highlight w:val="none"/>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BD6D1">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auto"/>
                <w:sz w:val="18"/>
                <w:szCs w:val="18"/>
                <w:highlight w:val="none"/>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FA9E4">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auto"/>
                <w:sz w:val="18"/>
                <w:szCs w:val="18"/>
                <w:highlight w:val="none"/>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A78A">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auto"/>
                <w:sz w:val="18"/>
                <w:szCs w:val="18"/>
                <w:highlight w:val="none"/>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EBE6F">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auto"/>
                <w:sz w:val="18"/>
                <w:szCs w:val="18"/>
                <w:highlight w:val="none"/>
                <w:u w:val="none"/>
              </w:rPr>
            </w:pPr>
          </w:p>
        </w:tc>
      </w:tr>
      <w:tr w14:paraId="5AB3DC7B">
        <w:tblPrEx>
          <w:tblCellMar>
            <w:top w:w="0" w:type="dxa"/>
            <w:left w:w="0" w:type="dxa"/>
            <w:bottom w:w="0" w:type="dxa"/>
            <w:right w:w="0" w:type="dxa"/>
          </w:tblCellMar>
        </w:tblPrEx>
        <w:trPr>
          <w:trHeight w:val="283" w:hRule="atLeast"/>
        </w:trPr>
        <w:tc>
          <w:tcPr>
            <w:tcW w:w="31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80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auto"/>
                <w:sz w:val="18"/>
                <w:szCs w:val="18"/>
                <w:highlight w:val="none"/>
                <w:u w:val="none"/>
              </w:rPr>
            </w:pPr>
            <w:r>
              <w:rPr>
                <w:rFonts w:hint="eastAsia" w:ascii="方正仿宋_GBK" w:hAnsi="方正仿宋_GBK" w:eastAsia="方正仿宋_GBK" w:cs="方正仿宋_GBK"/>
                <w:b/>
                <w:i w:val="0"/>
                <w:color w:val="auto"/>
                <w:kern w:val="0"/>
                <w:sz w:val="18"/>
                <w:szCs w:val="18"/>
                <w:highlight w:val="none"/>
                <w:u w:val="none"/>
                <w:lang w:val="en-US" w:eastAsia="zh-CN" w:bidi="ar"/>
              </w:rPr>
              <w:t>合计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B71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6,422.17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B5F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6,397.19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25D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24.98</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F85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C3B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5FC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4A7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C36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6FF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31A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auto"/>
                <w:sz w:val="18"/>
                <w:szCs w:val="18"/>
                <w:highlight w:val="none"/>
                <w:u w:val="none"/>
              </w:rPr>
            </w:pPr>
          </w:p>
        </w:tc>
      </w:tr>
      <w:tr w14:paraId="4C5E1868">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B1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201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A0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一般公共服务支出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E3A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2,982.61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C19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2,982.61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531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749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9F7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AE6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68B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5D5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2C6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623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1A9D30A">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C90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C08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人大事务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DCE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27.29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470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27.29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1DA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7D6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B03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668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C21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FA1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65C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9DD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460FDFA">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CE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2010199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B12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其他人大事务支出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2F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27.29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A64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27.29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1D5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D7A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668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386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070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47A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D95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278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32CDC13C">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590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20103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4BE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政府办公厅（室）及相关机构事务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4D0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830.10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694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830.10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79E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383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D2B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525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1B9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208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B12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649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3F38840D">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162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2010301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8D6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行政运行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BEE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802.10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010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802.10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B68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850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1EA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257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0C6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250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ACA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D7E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66991D8B">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3DC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2010302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096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一般行政管理事务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DA9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7FF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5B9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A49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CCF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D51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144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0C1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7C7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ABB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57CB8E14">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FA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2010399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98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其他政府办公厅（室）及相关机构事务支出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00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18.00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50E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18.00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04F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D5B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771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143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3F5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59A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310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BEC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38BC93D6">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1F2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20123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59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民族事务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9FB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CD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14A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CC5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FAE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177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4E5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D69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761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C80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0DF400F">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811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2012399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E63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其他民族事务支出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55B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02C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48E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C3F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8DD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0BC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68A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887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791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16F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00E87525">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28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20136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49F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其他共产党事务支出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21A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109.41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7BFF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109.41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F45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970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29F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440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953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8F0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0FF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4EC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205C0821">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C22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2013699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F5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其他共产党事务支出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E4E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109.41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082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109.41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EC4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C01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D31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A76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84E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351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DE9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7AF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4545BBC9">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C8D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20138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C9D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市场监督管理事务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55D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0.96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E84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0.96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938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628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CCC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E07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806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522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905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832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D225738">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7FB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2013899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FBF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其他市场监督管理事务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C3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0.96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670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0.96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3B1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797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649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002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813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030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474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B36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4270D585">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828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20139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E3C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社会工作事务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EEB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2,013.85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8FB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2,013.85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84E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7A6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970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80F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D35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091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6CD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D7A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6758A1EE">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1B1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2013904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48B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专项业务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8AF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2,013.85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38F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2,013.85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CAF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CF8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1A9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D93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3F5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938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E3B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801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EFF680B">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3E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203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5A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国防支出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26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651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A2B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619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5A7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FAA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EBE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F24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DBB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DE3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27A0291E">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7BF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20306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24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国防动员</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562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1D7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F6B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8F6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A4D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C74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200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073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3A8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9A1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62CEA270">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63A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2030699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276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其他国防动员支出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B7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42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5AB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55D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339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D1B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A05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DF7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DCA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700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6C6126E2">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41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204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D1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公共安全支出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CC9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D5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742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3C7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99B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481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BAB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575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032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455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5EAC7E48">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A09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20402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245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公安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7D7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FE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63C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41A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D68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A64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332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3B3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7C3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7A9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260AEF67">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62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2040299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90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其他公安支出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4F2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9D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129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5BD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EA8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2A5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E57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824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0AC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30B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463F0D26">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3E6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20406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6B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司法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8B8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A87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DAD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6D6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CFE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36E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8FC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649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D9B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885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192BA3B8">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A03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2040604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BE5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基层司法业务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412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ECC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923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E8D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85E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DD3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F96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DB5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34F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C93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248D51EE">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1A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207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DC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文化旅游体育与传媒支出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3F9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D20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CA8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F3D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422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B7B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95A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7A7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51D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EF3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481EFA39">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FDD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20701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255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文化和旅游</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66F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AC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761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206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4F2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2AC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873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950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3D7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FFE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13A17F93">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DEC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2070109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78C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群众文化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75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A5D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D6B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3A7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0A4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9E0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6D5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6C3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CA7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E27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61188C44">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CC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208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B8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社会保障和就业支出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C12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1,313.48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50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1,313.48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FBB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E18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A7D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0FC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016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307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D0E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D5E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4B63BA14">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D8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C5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人力资源和社会保障管理事务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8B1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8.57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A0D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8.57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34A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B93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F96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2D7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9E2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E0C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B83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73D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65B5355F">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140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2080199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6B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其他人力资源和社会保障管理事务支出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899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8.57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AD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8.57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2E2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E8C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C65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B5B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2AD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BA8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CAC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5CF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0FDC812">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08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20805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76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行政事业单位养老支出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05E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216.61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86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216.61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C64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CA1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1E6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CAF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56C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189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407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F05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68B82F69">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B39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2080505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5C1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机关事业单位基本养老保险缴费支出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F2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81.74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75E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81.74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4B3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46D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0D1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60D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5C6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60E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ED7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B05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0A77090F">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A82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2080506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63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机关事业单位职业年金缴费支出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7EF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40.87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7A0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40.87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094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BBA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0D9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C4A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796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339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2CB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B7A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07562841">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FA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2080599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2F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其他行政事业单位养老支出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288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94.01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3F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94.01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871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FA2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3AA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3F8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B46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5C8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21B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FDB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E7D07D4">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B83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20808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AD9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抚恤</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68F5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0F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0E1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D45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76B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F0B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764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6B1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D87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2D8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36E0AB28">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30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2080899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F77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其他优抚支出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9EDF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B10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40B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6D2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E95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DC3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99E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52B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5F03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829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07CE3137">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7D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29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社会福利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B7A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99.08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F32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99.08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998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B47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843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DFE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35F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1F3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9C0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D4E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277FE2AB">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A8D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2081002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1D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老年福利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BA6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99.08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29A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99.08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637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000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58C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C8E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677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492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FE4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E9A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5AB1E429">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9E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20811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B80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残疾人事业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70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10.67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BA7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10.67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1F8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7B4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F20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AD5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43B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B5C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573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173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C819A2D">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844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2081199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26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其他残疾人事业支出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F5A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10.67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FE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10.67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DC1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C81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E04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7A0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164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13C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C68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482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5B96510A">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AC7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20821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E3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特困人员救助供养</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54A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19.20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85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19.20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8E0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C6D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ADB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287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C60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5E4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D4E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85B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3865AF3A">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284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2082101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A19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城市特困人员救助供养支出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6D4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19.20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198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19.20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CA1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A7A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E67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DD8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116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6D1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D73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F7E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2AE35BEE">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AC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20828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56B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退役军人管理事务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9C8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6D2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190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9B8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AFC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05E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AAE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564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C85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9CB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344D272B">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F6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2082899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E5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其他退役军人事务管理支出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73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3E1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B8D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7B6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E55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E25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ECA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27C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3FB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226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6B06660">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FF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F4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卫生健康支出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9E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61.41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A30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61.41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AA0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E8A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253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A6D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8F2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EC2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89A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607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9DC640D">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1F0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21011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8B6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行政事业单位医疗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A54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61.41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181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61.41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98D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264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3B6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C10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E0C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A9B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1B4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F82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3B76CED4">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65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2101101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47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行政单位医疗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D97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43.42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90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43.42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8D8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088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588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224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921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7D9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18A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59B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06612A04">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DBF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2101103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072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公务员医疗补助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7E0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4D7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3CF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EC3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ADF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4AF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546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8E6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D8B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3DD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0D661FCB">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85C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2101199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69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其他行政事业单位医疗支出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5B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7.66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91B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7.66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7FD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770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641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3AC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DFB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6FD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B2A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9AB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50DCFA30">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C3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85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城乡社区支出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EE5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1,748.46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10E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1,748.46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2E4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3C5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86C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FF6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42F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2EF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0F2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937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3D240F44">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08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21201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251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城乡社区管理事务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FA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589.10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92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589.10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9AB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158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3A3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B0E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676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B0B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EAC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068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1D8FD54C">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63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2120199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EBE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其他城乡社区管理事务支出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0A7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589.10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C1D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589.10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BE6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FC5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EBA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B8F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526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994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F44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251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32697C8C">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CC7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21205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130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城乡社区环境卫生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77F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1,159.36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5C4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1,159.36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3E6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75A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CE5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BF6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23D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95A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8E5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DCF4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469AEF7F">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78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2120501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77E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城乡社区环境卫生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BA4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1,159.36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97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1,159.36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C6E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886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FE7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2E6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1D1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713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CDE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B7B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11EAC8A2">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14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48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资源勘探工业信息等支出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3E9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30.00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CA4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30.00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C02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699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4D3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840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6CB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E60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9F6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575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2E65FF5">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28A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21508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428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支持中小企业发展和管理支出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45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30.00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0E8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30.00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112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3F9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388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53F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2D1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5FA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671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F14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2DA90047">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CC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2150899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C3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其他支持中小企业发展和管理支出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E5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30.00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4F4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30.00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182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6DE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87B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2A8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BF3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0EF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282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CCE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239C5CB3">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53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217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A1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金融支出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1D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5.00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DC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5.00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DBA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1E3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5FE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BFF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490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7FE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485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A34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20ADDE06">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17D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21702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1E2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金融部门监管支出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DF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5.00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1B0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5.00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D75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6D0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9DA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2A3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22D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E46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363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ABA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65BD026C">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A15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2170299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60E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金融部门其他监管支出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A84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5.00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E2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5.00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345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1CD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0F1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556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70B9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B52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E75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4CA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6DEAA691">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00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221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B6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住房保障支出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978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73.79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06C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73.79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5BE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979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EAD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847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C43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2EB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3B0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E02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676F3FF">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9F7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22102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E1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住房改革支出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480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73.79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F85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73.79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C3F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189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1B9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E6A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A0A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71F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6E5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2EA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231BFDE7">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CAF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2210201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FB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住房公积金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FC6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70.07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1B1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70.07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32C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1A7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317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1C6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F5A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930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3D6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E28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6115ABB4">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BF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2210203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ED3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购房补贴</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53A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3.73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BF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3.73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70A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B96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3B0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756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60D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ACB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C9E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7DF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702CBDEB">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71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224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7C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highlight w:val="none"/>
                <w:u w:val="none"/>
                <w:lang w:val="en-US" w:eastAsia="zh-CN" w:bidi="ar"/>
              </w:rPr>
              <w:t>灾害防治及应急管理支出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37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CFC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737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F22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3CB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A7E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399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D16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D8B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8B2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4163C5AF">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B7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22401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86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应急管理事务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AA4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CA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90D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FBA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C6B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628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395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EEB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D05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053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4440FE3F">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6CC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2240199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976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18"/>
                <w:szCs w:val="18"/>
                <w:highlight w:val="none"/>
                <w:u w:val="none"/>
              </w:rPr>
            </w:pPr>
            <w:r>
              <w:rPr>
                <w:rStyle w:val="9"/>
                <w:color w:val="auto"/>
                <w:highlight w:val="none"/>
                <w:lang w:val="en-US" w:eastAsia="zh-CN" w:bidi="ar"/>
              </w:rPr>
              <w:t xml:space="preserve">  其他应急管理支出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BA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100.00</w:t>
            </w:r>
          </w:p>
        </w:tc>
        <w:tc>
          <w:tcPr>
            <w:tcW w:w="77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D83820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100.00</w:t>
            </w:r>
          </w:p>
        </w:tc>
        <w:tc>
          <w:tcPr>
            <w:tcW w:w="83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AED078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A061FB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3E4083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1C0476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28F23B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26D366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44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4506A0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c>
          <w:tcPr>
            <w:tcW w:w="69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087885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18"/>
                <w:szCs w:val="18"/>
                <w:highlight w:val="none"/>
                <w:u w:val="none"/>
              </w:rPr>
            </w:pPr>
          </w:p>
        </w:tc>
      </w:tr>
      <w:tr w14:paraId="3EA3635F">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D3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2120803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39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城市建设支出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E9B2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4.98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030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385B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4.98</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DB6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752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C25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DC2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68E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F63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766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r>
      <w:tr w14:paraId="22BA5677">
        <w:tblPrEx>
          <w:tblCellMar>
            <w:top w:w="0" w:type="dxa"/>
            <w:left w:w="0" w:type="dxa"/>
            <w:bottom w:w="0" w:type="dxa"/>
            <w:right w:w="0"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D4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2120899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27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其他国有土地使用权出让收入安排的支出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22B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490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A1B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20.00</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D31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0E2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BF2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082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5C1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6EF8">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6F1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r>
    </w:tbl>
    <w:p w14:paraId="15F47D6E">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406AD10">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36228E48">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E002702">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534A3AB">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E952902">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F6278B5">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01BA2A98">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670C4AA3">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969E2E1">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7E76FE3F">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74E95DAA">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630A1B6D">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6B02C9B1">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455CB521">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附件9</w:t>
      </w:r>
    </w:p>
    <w:tbl>
      <w:tblPr>
        <w:tblStyle w:val="4"/>
        <w:tblW w:w="9180" w:type="dxa"/>
        <w:jc w:val="center"/>
        <w:shd w:val="clear" w:color="auto" w:fill="auto"/>
        <w:tblLayout w:type="fixed"/>
        <w:tblCellMar>
          <w:top w:w="0" w:type="dxa"/>
          <w:left w:w="0" w:type="dxa"/>
          <w:bottom w:w="0" w:type="dxa"/>
          <w:right w:w="0" w:type="dxa"/>
        </w:tblCellMar>
      </w:tblPr>
      <w:tblGrid>
        <w:gridCol w:w="1856"/>
        <w:gridCol w:w="3189"/>
        <w:gridCol w:w="1212"/>
        <w:gridCol w:w="1539"/>
        <w:gridCol w:w="1384"/>
      </w:tblGrid>
      <w:tr w14:paraId="2F89D9E5">
        <w:tblPrEx>
          <w:shd w:val="clear" w:color="auto" w:fill="auto"/>
          <w:tblCellMar>
            <w:top w:w="0" w:type="dxa"/>
            <w:left w:w="0" w:type="dxa"/>
            <w:bottom w:w="0" w:type="dxa"/>
            <w:right w:w="0" w:type="dxa"/>
          </w:tblCellMar>
        </w:tblPrEx>
        <w:trPr>
          <w:trHeight w:val="312" w:hRule="atLeast"/>
          <w:jc w:val="center"/>
        </w:trPr>
        <w:tc>
          <w:tcPr>
            <w:tcW w:w="9180" w:type="dxa"/>
            <w:gridSpan w:val="5"/>
            <w:vMerge w:val="restart"/>
            <w:tcBorders>
              <w:top w:val="nil"/>
              <w:left w:val="nil"/>
              <w:bottom w:val="nil"/>
              <w:right w:val="nil"/>
            </w:tcBorders>
            <w:shd w:val="clear" w:color="auto" w:fill="auto"/>
            <w:tcMar>
              <w:top w:w="15" w:type="dxa"/>
              <w:left w:w="15" w:type="dxa"/>
              <w:right w:w="15" w:type="dxa"/>
            </w:tcMar>
            <w:vAlign w:val="center"/>
          </w:tcPr>
          <w:p w14:paraId="3F3D41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小标宋_GBK" w:hAnsi="方正小标宋_GBK" w:eastAsia="方正小标宋_GBK" w:cs="方正小标宋_GBK"/>
                <w:i w:val="0"/>
                <w:color w:val="auto"/>
                <w:sz w:val="30"/>
                <w:szCs w:val="30"/>
                <w:highlight w:val="none"/>
                <w:u w:val="none"/>
              </w:rPr>
            </w:pPr>
            <w:r>
              <w:rPr>
                <w:rFonts w:hint="eastAsia" w:ascii="方正小标宋_GBK" w:hAnsi="方正小标宋_GBK" w:eastAsia="方正小标宋_GBK" w:cs="方正小标宋_GBK"/>
                <w:i w:val="0"/>
                <w:color w:val="auto"/>
                <w:kern w:val="0"/>
                <w:sz w:val="30"/>
                <w:szCs w:val="30"/>
                <w:highlight w:val="none"/>
                <w:u w:val="none"/>
                <w:lang w:val="en-US" w:eastAsia="zh-CN" w:bidi="ar"/>
              </w:rPr>
              <w:t>重庆市九龙坡区人民政府渝州路街道办事处部门支出总表</w:t>
            </w:r>
          </w:p>
        </w:tc>
      </w:tr>
      <w:tr w14:paraId="3E2E80E0">
        <w:tblPrEx>
          <w:tblCellMar>
            <w:top w:w="0" w:type="dxa"/>
            <w:left w:w="0" w:type="dxa"/>
            <w:bottom w:w="0" w:type="dxa"/>
            <w:right w:w="0" w:type="dxa"/>
          </w:tblCellMar>
        </w:tblPrEx>
        <w:trPr>
          <w:trHeight w:val="312" w:hRule="atLeast"/>
          <w:jc w:val="center"/>
        </w:trPr>
        <w:tc>
          <w:tcPr>
            <w:tcW w:w="9180" w:type="dxa"/>
            <w:gridSpan w:val="5"/>
            <w:vMerge w:val="continue"/>
            <w:tcBorders>
              <w:top w:val="nil"/>
              <w:left w:val="nil"/>
              <w:bottom w:val="nil"/>
              <w:right w:val="nil"/>
            </w:tcBorders>
            <w:shd w:val="clear" w:color="auto" w:fill="auto"/>
            <w:tcMar>
              <w:top w:w="15" w:type="dxa"/>
              <w:left w:w="15" w:type="dxa"/>
              <w:right w:w="15" w:type="dxa"/>
            </w:tcMar>
            <w:vAlign w:val="center"/>
          </w:tcPr>
          <w:p w14:paraId="1BBB815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小标宋_GBK" w:hAnsi="方正小标宋_GBK" w:eastAsia="方正小标宋_GBK" w:cs="方正小标宋_GBK"/>
                <w:i w:val="0"/>
                <w:color w:val="auto"/>
                <w:sz w:val="30"/>
                <w:szCs w:val="30"/>
                <w:highlight w:val="none"/>
                <w:u w:val="none"/>
              </w:rPr>
            </w:pPr>
          </w:p>
        </w:tc>
      </w:tr>
      <w:tr w14:paraId="4B79D228">
        <w:tblPrEx>
          <w:tblCellMar>
            <w:top w:w="0" w:type="dxa"/>
            <w:left w:w="0" w:type="dxa"/>
            <w:bottom w:w="0" w:type="dxa"/>
            <w:right w:w="0" w:type="dxa"/>
          </w:tblCellMar>
        </w:tblPrEx>
        <w:trPr>
          <w:trHeight w:val="283" w:hRule="atLeast"/>
          <w:jc w:val="center"/>
        </w:trPr>
        <w:tc>
          <w:tcPr>
            <w:tcW w:w="1856" w:type="dxa"/>
            <w:tcBorders>
              <w:top w:val="nil"/>
              <w:left w:val="nil"/>
              <w:bottom w:val="nil"/>
              <w:right w:val="nil"/>
            </w:tcBorders>
            <w:shd w:val="clear" w:color="auto" w:fill="auto"/>
            <w:tcMar>
              <w:top w:w="15" w:type="dxa"/>
              <w:left w:w="15" w:type="dxa"/>
              <w:right w:w="15" w:type="dxa"/>
            </w:tcMar>
            <w:vAlign w:val="center"/>
          </w:tcPr>
          <w:p w14:paraId="7B30BA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8"/>
                <w:szCs w:val="18"/>
                <w:highlight w:val="none"/>
                <w:u w:val="none"/>
              </w:rPr>
            </w:pPr>
          </w:p>
        </w:tc>
        <w:tc>
          <w:tcPr>
            <w:tcW w:w="3189" w:type="dxa"/>
            <w:tcBorders>
              <w:top w:val="nil"/>
              <w:left w:val="nil"/>
              <w:bottom w:val="nil"/>
              <w:right w:val="nil"/>
            </w:tcBorders>
            <w:shd w:val="clear" w:color="auto" w:fill="auto"/>
            <w:tcMar>
              <w:top w:w="15" w:type="dxa"/>
              <w:left w:w="15" w:type="dxa"/>
              <w:right w:w="15" w:type="dxa"/>
            </w:tcMar>
            <w:vAlign w:val="center"/>
          </w:tcPr>
          <w:p w14:paraId="240212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8"/>
                <w:szCs w:val="18"/>
                <w:highlight w:val="none"/>
                <w:u w:val="none"/>
              </w:rPr>
            </w:pPr>
          </w:p>
        </w:tc>
        <w:tc>
          <w:tcPr>
            <w:tcW w:w="1212" w:type="dxa"/>
            <w:tcBorders>
              <w:top w:val="nil"/>
              <w:left w:val="nil"/>
              <w:bottom w:val="nil"/>
              <w:right w:val="nil"/>
            </w:tcBorders>
            <w:shd w:val="clear" w:color="auto" w:fill="auto"/>
            <w:tcMar>
              <w:top w:w="15" w:type="dxa"/>
              <w:left w:w="15" w:type="dxa"/>
              <w:right w:w="15" w:type="dxa"/>
            </w:tcMar>
            <w:vAlign w:val="center"/>
          </w:tcPr>
          <w:p w14:paraId="1105AD7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8"/>
                <w:szCs w:val="18"/>
                <w:highlight w:val="none"/>
                <w:u w:val="none"/>
              </w:rPr>
            </w:pPr>
          </w:p>
        </w:tc>
        <w:tc>
          <w:tcPr>
            <w:tcW w:w="1539" w:type="dxa"/>
            <w:tcBorders>
              <w:top w:val="nil"/>
              <w:left w:val="nil"/>
              <w:bottom w:val="nil"/>
              <w:right w:val="nil"/>
            </w:tcBorders>
            <w:shd w:val="clear" w:color="auto" w:fill="auto"/>
            <w:tcMar>
              <w:top w:w="15" w:type="dxa"/>
              <w:left w:w="15" w:type="dxa"/>
              <w:right w:w="15" w:type="dxa"/>
            </w:tcMar>
            <w:vAlign w:val="center"/>
          </w:tcPr>
          <w:p w14:paraId="1B6D2E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8"/>
                <w:szCs w:val="18"/>
                <w:highlight w:val="none"/>
                <w:u w:val="none"/>
              </w:rPr>
            </w:pPr>
          </w:p>
        </w:tc>
        <w:tc>
          <w:tcPr>
            <w:tcW w:w="1384" w:type="dxa"/>
            <w:tcBorders>
              <w:top w:val="nil"/>
              <w:left w:val="nil"/>
              <w:bottom w:val="nil"/>
              <w:right w:val="nil"/>
            </w:tcBorders>
            <w:shd w:val="clear" w:color="auto" w:fill="auto"/>
            <w:tcMar>
              <w:top w:w="15" w:type="dxa"/>
              <w:left w:w="15" w:type="dxa"/>
              <w:right w:w="15" w:type="dxa"/>
            </w:tcMar>
            <w:vAlign w:val="center"/>
          </w:tcPr>
          <w:p w14:paraId="459F7F9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ascii="方正楷体_GBK" w:hAnsi="方正楷体_GBK" w:eastAsia="方正楷体_GBK" w:cs="方正楷体_GBK"/>
                <w:i w:val="0"/>
                <w:color w:val="auto"/>
                <w:sz w:val="20"/>
                <w:szCs w:val="20"/>
                <w:highlight w:val="none"/>
                <w:u w:val="none"/>
              </w:rPr>
            </w:pPr>
            <w:r>
              <w:rPr>
                <w:rFonts w:hint="eastAsia" w:ascii="方正楷体_GBK" w:hAnsi="方正楷体_GBK" w:eastAsia="方正楷体_GBK" w:cs="方正楷体_GBK"/>
                <w:i w:val="0"/>
                <w:color w:val="auto"/>
                <w:kern w:val="0"/>
                <w:sz w:val="20"/>
                <w:szCs w:val="20"/>
                <w:highlight w:val="none"/>
                <w:u w:val="none"/>
                <w:lang w:val="en-US" w:eastAsia="zh-CN" w:bidi="ar"/>
              </w:rPr>
              <w:t>单位：万元</w:t>
            </w:r>
          </w:p>
        </w:tc>
      </w:tr>
      <w:tr w14:paraId="7FBF5B58">
        <w:tblPrEx>
          <w:tblCellMar>
            <w:top w:w="0" w:type="dxa"/>
            <w:left w:w="0" w:type="dxa"/>
            <w:bottom w:w="0" w:type="dxa"/>
            <w:right w:w="0" w:type="dxa"/>
          </w:tblCellMar>
        </w:tblPrEx>
        <w:trPr>
          <w:trHeight w:val="635"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B3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科目编码</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CA8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科目名称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B61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总计</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6F3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基本支出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8EB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项目支出</w:t>
            </w:r>
          </w:p>
        </w:tc>
      </w:tr>
      <w:tr w14:paraId="4F4F33E6">
        <w:tblPrEx>
          <w:tblCellMar>
            <w:top w:w="0" w:type="dxa"/>
            <w:left w:w="0" w:type="dxa"/>
            <w:bottom w:w="0" w:type="dxa"/>
            <w:right w:w="0" w:type="dxa"/>
          </w:tblCellMar>
        </w:tblPrEx>
        <w:trPr>
          <w:trHeight w:val="283" w:hRule="atLeast"/>
          <w:jc w:val="center"/>
        </w:trPr>
        <w:tc>
          <w:tcPr>
            <w:tcW w:w="50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A7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合计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E65C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6,422.17</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03E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1,153.91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24AA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5,268.26</w:t>
            </w:r>
          </w:p>
        </w:tc>
      </w:tr>
      <w:tr w14:paraId="5D00A7F4">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48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201</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9D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一般公共服务支出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718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2,982.61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839F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802.10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F80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2,180.51</w:t>
            </w:r>
          </w:p>
        </w:tc>
      </w:tr>
      <w:tr w14:paraId="25BA7C28">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CC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20101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67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人大事务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19F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27.29</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833D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3108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27.29</w:t>
            </w:r>
          </w:p>
        </w:tc>
      </w:tr>
      <w:tr w14:paraId="54236C5D">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CE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2010199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7F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其他人大事务支出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AE4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27.29</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5332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3729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27.29</w:t>
            </w:r>
          </w:p>
        </w:tc>
      </w:tr>
      <w:tr w14:paraId="2821B96D">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37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20103</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39E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政府办公厅（室）及相关机构事务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9A4B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830.10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BAA2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802.10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972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28.00</w:t>
            </w:r>
          </w:p>
        </w:tc>
      </w:tr>
      <w:tr w14:paraId="7C691973">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C3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2010301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307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行政运行</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846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802.10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1362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802.10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5B1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72CCD514">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279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2010302</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BD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一般行政管理事务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3E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8AE4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F54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w:t>
            </w:r>
          </w:p>
        </w:tc>
      </w:tr>
      <w:tr w14:paraId="5A09897C">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EB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2010399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30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其他政府办公厅（室）及相关机构事务支出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8CD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18.00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36F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259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18.00</w:t>
            </w:r>
          </w:p>
        </w:tc>
      </w:tr>
      <w:tr w14:paraId="7C86185E">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599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20123</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34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民族事务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F5E0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5A5C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384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r>
      <w:tr w14:paraId="52EBEF8A">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A0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2012399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77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其他民族事务支出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057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E34E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522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r>
      <w:tr w14:paraId="25AEE462">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D45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20136</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D5C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其他共产党事务支出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954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109.41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F404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07F2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109.41</w:t>
            </w:r>
          </w:p>
        </w:tc>
      </w:tr>
      <w:tr w14:paraId="4F49A9BC">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8E0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2013699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A8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其他共产党事务支出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BA7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109.41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6FA0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5FC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109.41</w:t>
            </w:r>
          </w:p>
        </w:tc>
      </w:tr>
      <w:tr w14:paraId="246E888F">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91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20138</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7D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市场监督管理事务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8D67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0.96</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D523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764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0.96</w:t>
            </w:r>
          </w:p>
        </w:tc>
      </w:tr>
      <w:tr w14:paraId="28864EBA">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0A3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2013899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54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其他市场监督管理事务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85AE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0.96</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DE8A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C56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0.96</w:t>
            </w:r>
          </w:p>
        </w:tc>
      </w:tr>
      <w:tr w14:paraId="2657C87F">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02B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20139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9FF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社会工作事务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442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2,013.85</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91F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0753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2,013.85</w:t>
            </w:r>
          </w:p>
        </w:tc>
      </w:tr>
      <w:tr w14:paraId="358B5CCD">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9A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2013904</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73E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专项业务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BFD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2,013.85</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E06D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0A9D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2,013.85</w:t>
            </w:r>
          </w:p>
        </w:tc>
      </w:tr>
      <w:tr w14:paraId="7D2A8AF9">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38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203</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EB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国防支出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9F2C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F9A7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E6D3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r>
      <w:tr w14:paraId="3E201A87">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28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20306</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2B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国防动员</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1768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8FC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F10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r>
      <w:tr w14:paraId="7D9F653A">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1B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2030699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04F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其他国防动员支出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5E90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5A47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3E3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r>
      <w:tr w14:paraId="2925B31B">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3E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204</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70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公共安全支出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579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5D0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E93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2.00</w:t>
            </w:r>
          </w:p>
        </w:tc>
      </w:tr>
      <w:tr w14:paraId="775598F0">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AEC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20402</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DF8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公安</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595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94B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F7E0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r>
      <w:tr w14:paraId="382382F5">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98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2040299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E6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其他公安支出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E8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F2A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B4C8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r>
      <w:tr w14:paraId="618AE0E6">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BCF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20406</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75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司法</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B1D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6B6F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375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r>
      <w:tr w14:paraId="4AF7AA58">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190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2040604</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C34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基层司法业务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FA7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BD1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21C3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w:t>
            </w:r>
          </w:p>
        </w:tc>
      </w:tr>
      <w:tr w14:paraId="6FF98A46">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37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207</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AD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文化旅游体育与传媒支出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44A7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DE5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B24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w:t>
            </w:r>
          </w:p>
        </w:tc>
      </w:tr>
      <w:tr w14:paraId="2B77FFEE">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5C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20701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68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文化和旅游</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A8A8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2F9A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D97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w:t>
            </w:r>
          </w:p>
        </w:tc>
      </w:tr>
      <w:tr w14:paraId="0B2185C7">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C3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2070109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03D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群众文化</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BE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A181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D17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w:t>
            </w:r>
          </w:p>
        </w:tc>
      </w:tr>
      <w:tr w14:paraId="1D06986F">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34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208</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5C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社会保障和就业支出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E093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1,313.48</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769D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216.61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0F7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1,096.87</w:t>
            </w:r>
          </w:p>
        </w:tc>
      </w:tr>
      <w:tr w14:paraId="3030B112">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D08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20801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A2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人力资源和社会保障管理事务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68EF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8.57</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FF69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14C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8.57</w:t>
            </w:r>
          </w:p>
        </w:tc>
      </w:tr>
      <w:tr w14:paraId="3997AE98">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33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2080199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58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其他人力资源和社会保障管理事务支出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6FA8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8.57</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73D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5CCC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8.57</w:t>
            </w:r>
          </w:p>
        </w:tc>
      </w:tr>
      <w:tr w14:paraId="0F9FD559">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51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20805</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09F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行政事业单位养老支出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6F32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216.61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C8DA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216.61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60E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328B83C7">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2BA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2080505</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9BF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机关事业单位基本养老保险缴费支出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82FE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81.74</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3059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81.74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D44A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74E11AFA">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253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2080506</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994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机关事业单位职业年金缴费支出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594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40.87</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76B8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40.87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75D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00A8C1B6">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5CC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2080599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53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其他行政事业单位养老支出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2C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94.01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00F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94.01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B43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046957FE">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66E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20808</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B5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抚恤</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95AE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1D88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CE44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r>
      <w:tr w14:paraId="04EBF0A3">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91F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2080899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49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其他优抚支出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E663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DAD7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EAC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1,021.81</w:t>
            </w:r>
          </w:p>
        </w:tc>
      </w:tr>
      <w:tr w14:paraId="03E2CDE6">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43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20810</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E9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社会福利</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31BC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99.08</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80E8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3C8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99.08</w:t>
            </w:r>
          </w:p>
        </w:tc>
      </w:tr>
      <w:tr w14:paraId="0C649773">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B7F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2081002</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EFA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老年福利</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49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99.08</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2CA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717F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99.08</w:t>
            </w:r>
          </w:p>
        </w:tc>
      </w:tr>
      <w:tr w14:paraId="1C12399C">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CC3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20811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2B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残疾人事业</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FB67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10.67</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8317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B6B5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10.67</w:t>
            </w:r>
          </w:p>
        </w:tc>
      </w:tr>
      <w:tr w14:paraId="5EBB0416">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193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2081199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49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其他残疾人事业支出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26B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10.67</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E87E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2EC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10.67</w:t>
            </w:r>
          </w:p>
        </w:tc>
      </w:tr>
      <w:tr w14:paraId="2FFB69E1">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8DF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20821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54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特困人员救助供养</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3905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19.20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351A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205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19.20</w:t>
            </w:r>
          </w:p>
        </w:tc>
      </w:tr>
      <w:tr w14:paraId="48867263">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24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2082101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1D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城市特困人员救助供养支出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89BF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19.20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EA45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07EB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19.20</w:t>
            </w:r>
          </w:p>
        </w:tc>
      </w:tr>
      <w:tr w14:paraId="2E3A274E">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B8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20828</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16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退役军人管理事务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EB67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489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FE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w:t>
            </w:r>
          </w:p>
        </w:tc>
      </w:tr>
      <w:tr w14:paraId="016D1131">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808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2082899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E8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其他退役军人事务管理支出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334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EF81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DB8B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w:t>
            </w:r>
          </w:p>
        </w:tc>
      </w:tr>
      <w:tr w14:paraId="6B229E67">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F3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210</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32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卫生健康支出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0D11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61.41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24D2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61.41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B82D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731418EF">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39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21011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2D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行政事业单位医疗</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1AC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61.41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F57C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61.41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4621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0B38670D">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92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2101101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23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行政单位医疗</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CA0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43.42</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EEE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43.42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4480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7753D4A4">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2D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2101103</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1C1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公务员医疗补助</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884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10.32</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037E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10.32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8DB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080A6A9B">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72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2101199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EF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其他行政事业单位医疗支出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B3C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7.66</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D14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7.66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B9E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151C6471">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A7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212</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FE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城乡社区支出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F5B0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1,748.46</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9F1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D353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1,748.46</w:t>
            </w:r>
          </w:p>
        </w:tc>
      </w:tr>
      <w:tr w14:paraId="673ED8F4">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3C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21201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1AB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城乡社区管理事务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C7C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589.10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13DF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037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589.10</w:t>
            </w:r>
          </w:p>
        </w:tc>
      </w:tr>
      <w:tr w14:paraId="5AF5A599">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C2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2120199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63C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其他城乡社区管理事务支出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AD26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589.10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0484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15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589.10</w:t>
            </w:r>
          </w:p>
        </w:tc>
      </w:tr>
      <w:tr w14:paraId="3C9A24D8">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5F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21205</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AA3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城乡社区环境卫生</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1AE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1,159.36</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84A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C20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1,159.36</w:t>
            </w:r>
          </w:p>
        </w:tc>
      </w:tr>
      <w:tr w14:paraId="378BF4CB">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5AB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2120501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C0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城乡社区环境卫生</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78C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1,159.36</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A9A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05F3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1,159.36</w:t>
            </w:r>
          </w:p>
        </w:tc>
      </w:tr>
      <w:tr w14:paraId="5FA380BF">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23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215</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2B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资源勘探工业信息等支出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B892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7E83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BFCA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30.00</w:t>
            </w:r>
          </w:p>
        </w:tc>
      </w:tr>
      <w:tr w14:paraId="2C4B9722">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3FD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21508</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C44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支持中小企业发展和管理支出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DE1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CC1F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4A4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30.00</w:t>
            </w:r>
          </w:p>
        </w:tc>
      </w:tr>
      <w:tr w14:paraId="2D2CF712">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B4C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2150899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7F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其他支持中小企业发展和管理支出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A2F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A34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8691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30.00</w:t>
            </w:r>
          </w:p>
        </w:tc>
      </w:tr>
      <w:tr w14:paraId="1783CBB5">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6A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217</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21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金融支出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44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258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CB5C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5.00</w:t>
            </w:r>
          </w:p>
        </w:tc>
      </w:tr>
      <w:tr w14:paraId="328B7CAD">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59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21702</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785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金融部门监管支出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40C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272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656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5.00</w:t>
            </w:r>
          </w:p>
        </w:tc>
      </w:tr>
      <w:tr w14:paraId="422F9871">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8E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2170299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9E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金融部门其他监管支出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DB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559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BBEB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5.00</w:t>
            </w:r>
          </w:p>
        </w:tc>
      </w:tr>
      <w:tr w14:paraId="1ED95D95">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21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221</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23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住房保障支出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17AA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73.79</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14B3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73.79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09C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581C697F">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22D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22102</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36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住房改革支出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73D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73.79</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F180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73.79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43C3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320A5284">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FE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2210201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3C3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住房公积金</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819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70.07</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887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70.07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EFF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4B508164">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390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2210203</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D1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购房补贴</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CB7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3.73</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7D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3.73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EF1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r>
      <w:tr w14:paraId="7B576D2E">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7D2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224</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37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灾害防治及应急管理支出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DA83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C91E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6786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100.00</w:t>
            </w:r>
          </w:p>
        </w:tc>
      </w:tr>
      <w:tr w14:paraId="7A12C0F1">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82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22401</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753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应急管理事务</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DA5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100.00</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C20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569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100.00</w:t>
            </w:r>
          </w:p>
        </w:tc>
      </w:tr>
      <w:tr w14:paraId="67FA01B5">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51B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2240199</w:t>
            </w:r>
          </w:p>
        </w:tc>
        <w:tc>
          <w:tcPr>
            <w:tcW w:w="3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3A0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4"/>
                <w:szCs w:val="24"/>
                <w:highlight w:val="none"/>
                <w:u w:val="none"/>
              </w:rPr>
            </w:pPr>
            <w:r>
              <w:rPr>
                <w:rStyle w:val="10"/>
                <w:color w:val="auto"/>
                <w:highlight w:val="none"/>
                <w:lang w:val="en-US" w:eastAsia="zh-CN" w:bidi="ar"/>
              </w:rPr>
              <w:t xml:space="preserve">  其他应急管理支出</w:t>
            </w:r>
          </w:p>
        </w:tc>
        <w:tc>
          <w:tcPr>
            <w:tcW w:w="12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5D73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100.00</w:t>
            </w:r>
          </w:p>
        </w:tc>
        <w:tc>
          <w:tcPr>
            <w:tcW w:w="15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1024C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auto"/>
                <w:sz w:val="24"/>
                <w:szCs w:val="24"/>
                <w:highlight w:val="none"/>
                <w:u w:val="none"/>
              </w:rPr>
            </w:pPr>
          </w:p>
        </w:tc>
        <w:tc>
          <w:tcPr>
            <w:tcW w:w="138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E1873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100.00</w:t>
            </w:r>
          </w:p>
        </w:tc>
      </w:tr>
      <w:tr w14:paraId="3AACBBC3">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07C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2120803</w:t>
            </w:r>
          </w:p>
        </w:tc>
        <w:tc>
          <w:tcPr>
            <w:tcW w:w="31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1AB5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城市建设支出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9DE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8AC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A38B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4.98</w:t>
            </w:r>
          </w:p>
        </w:tc>
      </w:tr>
      <w:tr w14:paraId="01E524D5">
        <w:tblPrEx>
          <w:tblCellMar>
            <w:top w:w="0" w:type="dxa"/>
            <w:left w:w="0" w:type="dxa"/>
            <w:bottom w:w="0" w:type="dxa"/>
            <w:right w:w="0" w:type="dxa"/>
          </w:tblCellMar>
        </w:tblPrEx>
        <w:trPr>
          <w:trHeight w:val="283"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F87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2120899</w:t>
            </w:r>
          </w:p>
        </w:tc>
        <w:tc>
          <w:tcPr>
            <w:tcW w:w="31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D37C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其他国有土地使用权出让收入安排的支出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270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7ED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248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20.00</w:t>
            </w:r>
          </w:p>
        </w:tc>
      </w:tr>
    </w:tbl>
    <w:p w14:paraId="55048571">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792C9F90">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68E60A7D">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附件10</w:t>
      </w:r>
    </w:p>
    <w:tbl>
      <w:tblPr>
        <w:tblStyle w:val="4"/>
        <w:tblW w:w="8940" w:type="dxa"/>
        <w:jc w:val="center"/>
        <w:shd w:val="clear" w:color="auto" w:fill="auto"/>
        <w:tblLayout w:type="fixed"/>
        <w:tblCellMar>
          <w:top w:w="0" w:type="dxa"/>
          <w:left w:w="0" w:type="dxa"/>
          <w:bottom w:w="0" w:type="dxa"/>
          <w:right w:w="0" w:type="dxa"/>
        </w:tblCellMar>
      </w:tblPr>
      <w:tblGrid>
        <w:gridCol w:w="1952"/>
        <w:gridCol w:w="3847"/>
        <w:gridCol w:w="3141"/>
      </w:tblGrid>
      <w:tr w14:paraId="1CBF788A">
        <w:tblPrEx>
          <w:shd w:val="clear" w:color="auto" w:fill="auto"/>
          <w:tblCellMar>
            <w:top w:w="0" w:type="dxa"/>
            <w:left w:w="0" w:type="dxa"/>
            <w:bottom w:w="0" w:type="dxa"/>
            <w:right w:w="0" w:type="dxa"/>
          </w:tblCellMar>
        </w:tblPrEx>
        <w:trPr>
          <w:trHeight w:val="1293" w:hRule="atLeast"/>
          <w:jc w:val="center"/>
        </w:trPr>
        <w:tc>
          <w:tcPr>
            <w:tcW w:w="8940" w:type="dxa"/>
            <w:gridSpan w:val="3"/>
            <w:tcBorders>
              <w:top w:val="nil"/>
              <w:left w:val="nil"/>
              <w:bottom w:val="nil"/>
              <w:right w:val="nil"/>
            </w:tcBorders>
            <w:shd w:val="clear" w:color="auto" w:fill="auto"/>
            <w:tcMar>
              <w:top w:w="15" w:type="dxa"/>
              <w:left w:w="15" w:type="dxa"/>
              <w:right w:w="15" w:type="dxa"/>
            </w:tcMar>
            <w:vAlign w:val="center"/>
          </w:tcPr>
          <w:p w14:paraId="40E299B6">
            <w:pPr>
              <w:keepNext w:val="0"/>
              <w:keepLines w:val="0"/>
              <w:widowControl/>
              <w:suppressLineNumbers w:val="0"/>
              <w:jc w:val="center"/>
              <w:textAlignment w:val="center"/>
              <w:rPr>
                <w:rFonts w:ascii="方正小标宋_GBK" w:hAnsi="方正小标宋_GBK" w:eastAsia="方正小标宋_GBK" w:cs="方正小标宋_GBK"/>
                <w:i w:val="0"/>
                <w:color w:val="auto"/>
                <w:sz w:val="32"/>
                <w:szCs w:val="32"/>
                <w:highlight w:val="none"/>
                <w:u w:val="none"/>
              </w:rPr>
            </w:pPr>
            <w:r>
              <w:rPr>
                <w:rFonts w:hint="eastAsia" w:ascii="方正小标宋_GBK" w:hAnsi="方正小标宋_GBK" w:eastAsia="方正小标宋_GBK" w:cs="方正小标宋_GBK"/>
                <w:i w:val="0"/>
                <w:color w:val="auto"/>
                <w:kern w:val="0"/>
                <w:sz w:val="32"/>
                <w:szCs w:val="32"/>
                <w:highlight w:val="none"/>
                <w:u w:val="none"/>
                <w:lang w:val="en-US" w:eastAsia="zh-CN" w:bidi="ar"/>
              </w:rPr>
              <w:t>重庆市九龙坡区人民政府渝州路街道办事处一般公共预算财政拨款项目支出预算表</w:t>
            </w:r>
          </w:p>
        </w:tc>
      </w:tr>
      <w:tr w14:paraId="41E4A5A5">
        <w:tblPrEx>
          <w:tblCellMar>
            <w:top w:w="0" w:type="dxa"/>
            <w:left w:w="0" w:type="dxa"/>
            <w:bottom w:w="0" w:type="dxa"/>
            <w:right w:w="0" w:type="dxa"/>
          </w:tblCellMar>
        </w:tblPrEx>
        <w:trPr>
          <w:trHeight w:val="654" w:hRule="atLeast"/>
          <w:jc w:val="center"/>
        </w:trPr>
        <w:tc>
          <w:tcPr>
            <w:tcW w:w="8940" w:type="dxa"/>
            <w:gridSpan w:val="3"/>
            <w:tcBorders>
              <w:top w:val="nil"/>
              <w:left w:val="nil"/>
              <w:bottom w:val="nil"/>
              <w:right w:val="nil"/>
            </w:tcBorders>
            <w:shd w:val="clear" w:color="auto" w:fill="auto"/>
            <w:tcMar>
              <w:top w:w="15" w:type="dxa"/>
              <w:left w:w="15" w:type="dxa"/>
              <w:right w:w="15" w:type="dxa"/>
            </w:tcMar>
            <w:vAlign w:val="center"/>
          </w:tcPr>
          <w:p w14:paraId="537FC7EA">
            <w:pPr>
              <w:keepNext w:val="0"/>
              <w:keepLines w:val="0"/>
              <w:widowControl/>
              <w:suppressLineNumbers w:val="0"/>
              <w:jc w:val="center"/>
              <w:textAlignment w:val="center"/>
              <w:rPr>
                <w:rFonts w:ascii="方正楷体_GBK" w:hAnsi="方正楷体_GBK" w:eastAsia="方正楷体_GBK" w:cs="方正楷体_GBK"/>
                <w:i w:val="0"/>
                <w:color w:val="auto"/>
                <w:sz w:val="24"/>
                <w:szCs w:val="24"/>
                <w:highlight w:val="none"/>
                <w:u w:val="none"/>
              </w:rPr>
            </w:pPr>
            <w:r>
              <w:rPr>
                <w:rFonts w:hint="eastAsia" w:ascii="方正楷体_GBK" w:hAnsi="方正楷体_GBK" w:eastAsia="方正楷体_GBK" w:cs="方正楷体_GBK"/>
                <w:i w:val="0"/>
                <w:color w:val="auto"/>
                <w:kern w:val="0"/>
                <w:sz w:val="24"/>
                <w:szCs w:val="24"/>
                <w:highlight w:val="none"/>
                <w:u w:val="none"/>
                <w:lang w:val="en-US" w:eastAsia="zh-CN" w:bidi="ar"/>
              </w:rPr>
              <w:t>（部门预算支出经济分类科目）</w:t>
            </w:r>
          </w:p>
        </w:tc>
      </w:tr>
      <w:tr w14:paraId="227EF61F">
        <w:tblPrEx>
          <w:tblCellMar>
            <w:top w:w="0" w:type="dxa"/>
            <w:left w:w="0" w:type="dxa"/>
            <w:bottom w:w="0" w:type="dxa"/>
            <w:right w:w="0" w:type="dxa"/>
          </w:tblCellMar>
        </w:tblPrEx>
        <w:trPr>
          <w:trHeight w:val="654" w:hRule="atLeast"/>
          <w:jc w:val="center"/>
        </w:trPr>
        <w:tc>
          <w:tcPr>
            <w:tcW w:w="1952" w:type="dxa"/>
            <w:tcBorders>
              <w:top w:val="nil"/>
              <w:left w:val="nil"/>
              <w:bottom w:val="nil"/>
              <w:right w:val="nil"/>
            </w:tcBorders>
            <w:shd w:val="clear" w:color="auto" w:fill="auto"/>
            <w:noWrap/>
            <w:tcMar>
              <w:top w:w="15" w:type="dxa"/>
              <w:left w:w="15" w:type="dxa"/>
              <w:right w:w="15" w:type="dxa"/>
            </w:tcMar>
            <w:vAlign w:val="center"/>
          </w:tcPr>
          <w:p w14:paraId="087DE013">
            <w:pPr>
              <w:rPr>
                <w:rFonts w:hint="eastAsia" w:ascii="宋体" w:hAnsi="宋体" w:eastAsia="宋体" w:cs="宋体"/>
                <w:i w:val="0"/>
                <w:color w:val="auto"/>
                <w:sz w:val="22"/>
                <w:szCs w:val="22"/>
                <w:highlight w:val="none"/>
                <w:u w:val="none"/>
              </w:rPr>
            </w:pPr>
          </w:p>
        </w:tc>
        <w:tc>
          <w:tcPr>
            <w:tcW w:w="3847" w:type="dxa"/>
            <w:tcBorders>
              <w:top w:val="nil"/>
              <w:left w:val="nil"/>
              <w:bottom w:val="nil"/>
              <w:right w:val="nil"/>
            </w:tcBorders>
            <w:shd w:val="clear" w:color="auto" w:fill="auto"/>
            <w:noWrap/>
            <w:tcMar>
              <w:top w:w="15" w:type="dxa"/>
              <w:left w:w="15" w:type="dxa"/>
              <w:right w:w="15" w:type="dxa"/>
            </w:tcMar>
            <w:vAlign w:val="center"/>
          </w:tcPr>
          <w:p w14:paraId="6118EF15">
            <w:pPr>
              <w:rPr>
                <w:rFonts w:hint="eastAsia" w:ascii="宋体" w:hAnsi="宋体" w:eastAsia="宋体" w:cs="宋体"/>
                <w:i w:val="0"/>
                <w:color w:val="auto"/>
                <w:sz w:val="22"/>
                <w:szCs w:val="22"/>
                <w:highlight w:val="none"/>
                <w:u w:val="none"/>
              </w:rPr>
            </w:pPr>
          </w:p>
        </w:tc>
        <w:tc>
          <w:tcPr>
            <w:tcW w:w="3141" w:type="dxa"/>
            <w:tcBorders>
              <w:top w:val="nil"/>
              <w:left w:val="nil"/>
              <w:bottom w:val="nil"/>
              <w:right w:val="nil"/>
            </w:tcBorders>
            <w:shd w:val="clear" w:color="auto" w:fill="auto"/>
            <w:tcMar>
              <w:top w:w="15" w:type="dxa"/>
              <w:left w:w="15" w:type="dxa"/>
              <w:right w:w="15" w:type="dxa"/>
            </w:tcMar>
            <w:vAlign w:val="center"/>
          </w:tcPr>
          <w:p w14:paraId="18806F36">
            <w:pPr>
              <w:keepNext w:val="0"/>
              <w:keepLines w:val="0"/>
              <w:widowControl/>
              <w:suppressLineNumbers w:val="0"/>
              <w:jc w:val="right"/>
              <w:textAlignment w:val="center"/>
              <w:rPr>
                <w:rFonts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单位：万元</w:t>
            </w:r>
          </w:p>
        </w:tc>
      </w:tr>
      <w:tr w14:paraId="685271B0">
        <w:tblPrEx>
          <w:tblCellMar>
            <w:top w:w="0" w:type="dxa"/>
            <w:left w:w="0" w:type="dxa"/>
            <w:bottom w:w="0" w:type="dxa"/>
            <w:right w:w="0" w:type="dxa"/>
          </w:tblCellMar>
        </w:tblPrEx>
        <w:trPr>
          <w:trHeight w:val="784" w:hRule="atLeast"/>
          <w:jc w:val="center"/>
        </w:trPr>
        <w:tc>
          <w:tcPr>
            <w:tcW w:w="57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2B5EC">
            <w:pPr>
              <w:keepNext w:val="0"/>
              <w:keepLines w:val="0"/>
              <w:widowControl/>
              <w:suppressLineNumbers w:val="0"/>
              <w:jc w:val="center"/>
              <w:textAlignment w:val="center"/>
              <w:rPr>
                <w:rFonts w:ascii="方正大黑_GBK" w:hAnsi="方正大黑_GBK" w:eastAsia="方正大黑_GBK" w:cs="方正大黑_GBK"/>
                <w:i w:val="0"/>
                <w:color w:val="auto"/>
                <w:sz w:val="28"/>
                <w:szCs w:val="28"/>
                <w:highlight w:val="none"/>
                <w:u w:val="none"/>
              </w:rPr>
            </w:pPr>
            <w:r>
              <w:rPr>
                <w:rFonts w:hint="eastAsia" w:ascii="方正大黑_GBK" w:hAnsi="方正大黑_GBK" w:eastAsia="方正大黑_GBK" w:cs="方正大黑_GBK"/>
                <w:i w:val="0"/>
                <w:color w:val="auto"/>
                <w:kern w:val="0"/>
                <w:sz w:val="28"/>
                <w:szCs w:val="28"/>
                <w:highlight w:val="none"/>
                <w:u w:val="none"/>
                <w:lang w:val="en-US" w:eastAsia="zh-CN" w:bidi="ar"/>
              </w:rPr>
              <w:t>政府预算经济科目</w:t>
            </w: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3C438">
            <w:pPr>
              <w:keepNext w:val="0"/>
              <w:keepLines w:val="0"/>
              <w:widowControl/>
              <w:suppressLineNumbers w:val="0"/>
              <w:jc w:val="center"/>
              <w:textAlignment w:val="center"/>
              <w:rPr>
                <w:rFonts w:hint="eastAsia" w:ascii="方正大黑_GBK" w:hAnsi="方正大黑_GBK" w:eastAsia="方正大黑_GBK" w:cs="方正大黑_GBK"/>
                <w:i w:val="0"/>
                <w:color w:val="auto"/>
                <w:sz w:val="28"/>
                <w:szCs w:val="28"/>
                <w:highlight w:val="none"/>
                <w:u w:val="none"/>
              </w:rPr>
            </w:pPr>
            <w:r>
              <w:rPr>
                <w:rFonts w:hint="eastAsia" w:ascii="方正大黑_GBK" w:hAnsi="方正大黑_GBK" w:eastAsia="方正大黑_GBK" w:cs="方正大黑_GBK"/>
                <w:i w:val="0"/>
                <w:color w:val="auto"/>
                <w:kern w:val="0"/>
                <w:sz w:val="28"/>
                <w:szCs w:val="28"/>
                <w:highlight w:val="none"/>
                <w:u w:val="none"/>
                <w:lang w:val="en-US" w:eastAsia="zh-CN" w:bidi="ar"/>
              </w:rPr>
              <w:t>项目支出</w:t>
            </w:r>
          </w:p>
        </w:tc>
      </w:tr>
      <w:tr w14:paraId="02F3D4F9">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989D1">
            <w:pPr>
              <w:keepNext w:val="0"/>
              <w:keepLines w:val="0"/>
              <w:widowControl/>
              <w:suppressLineNumbers w:val="0"/>
              <w:jc w:val="center"/>
              <w:textAlignment w:val="center"/>
              <w:rPr>
                <w:rFonts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科目编码</w:t>
            </w:r>
          </w:p>
        </w:tc>
        <w:tc>
          <w:tcPr>
            <w:tcW w:w="3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87FF">
            <w:pPr>
              <w:keepNext w:val="0"/>
              <w:keepLines w:val="0"/>
              <w:widowControl/>
              <w:suppressLineNumbers w:val="0"/>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科目名称</w:t>
            </w: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08C29">
            <w:pPr>
              <w:jc w:val="center"/>
              <w:rPr>
                <w:rFonts w:hint="eastAsia" w:ascii="方正大黑_GBK" w:hAnsi="方正大黑_GBK" w:eastAsia="方正大黑_GBK" w:cs="方正大黑_GBK"/>
                <w:i w:val="0"/>
                <w:color w:val="auto"/>
                <w:sz w:val="28"/>
                <w:szCs w:val="28"/>
                <w:highlight w:val="none"/>
                <w:u w:val="none"/>
              </w:rPr>
            </w:pPr>
          </w:p>
        </w:tc>
      </w:tr>
      <w:tr w14:paraId="00FD3481">
        <w:tblPrEx>
          <w:tblCellMar>
            <w:top w:w="0" w:type="dxa"/>
            <w:left w:w="0" w:type="dxa"/>
            <w:bottom w:w="0" w:type="dxa"/>
            <w:right w:w="0" w:type="dxa"/>
          </w:tblCellMar>
        </w:tblPrEx>
        <w:trPr>
          <w:trHeight w:val="664" w:hRule="atLeast"/>
          <w:jc w:val="center"/>
        </w:trPr>
        <w:tc>
          <w:tcPr>
            <w:tcW w:w="57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55309">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合计</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BEA7B">
            <w:pPr>
              <w:keepNext w:val="0"/>
              <w:keepLines w:val="0"/>
              <w:widowControl/>
              <w:suppressLineNumbers w:val="0"/>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5,268.26</w:t>
            </w:r>
          </w:p>
        </w:tc>
      </w:tr>
      <w:tr w14:paraId="2004439F">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079A">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302</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605A">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商品和服务支出</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2F34">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4,080.88</w:t>
            </w:r>
          </w:p>
        </w:tc>
      </w:tr>
      <w:tr w14:paraId="39E708C1">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41BF5">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30201</w:t>
            </w:r>
          </w:p>
        </w:tc>
        <w:tc>
          <w:tcPr>
            <w:tcW w:w="3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B9A4">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办公费</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4ED1E">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2.00</w:t>
            </w:r>
          </w:p>
        </w:tc>
      </w:tr>
      <w:tr w14:paraId="66D358CF">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27A8C">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30209</w:t>
            </w:r>
          </w:p>
        </w:tc>
        <w:tc>
          <w:tcPr>
            <w:tcW w:w="3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7F01">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物业管理费</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643D3">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79.60</w:t>
            </w:r>
          </w:p>
        </w:tc>
      </w:tr>
      <w:tr w14:paraId="27A65F45">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6169">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30226</w:t>
            </w:r>
          </w:p>
        </w:tc>
        <w:tc>
          <w:tcPr>
            <w:tcW w:w="3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59CF">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劳务费</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8382">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1,806.52</w:t>
            </w:r>
          </w:p>
        </w:tc>
      </w:tr>
      <w:tr w14:paraId="5B87B869">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2A50F">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30227</w:t>
            </w:r>
          </w:p>
        </w:tc>
        <w:tc>
          <w:tcPr>
            <w:tcW w:w="3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08F8E">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委托业务费</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29DBB">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2,191.22</w:t>
            </w:r>
          </w:p>
        </w:tc>
      </w:tr>
      <w:tr w14:paraId="594ADF19">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778B8">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30299</w:t>
            </w:r>
          </w:p>
        </w:tc>
        <w:tc>
          <w:tcPr>
            <w:tcW w:w="3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72E1C">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其他商品和服务支出</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761AA">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1.54</w:t>
            </w:r>
          </w:p>
        </w:tc>
      </w:tr>
      <w:tr w14:paraId="00841FEE">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983B">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303</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C2AF">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对个人和家庭的补助</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C25A">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1,149.38</w:t>
            </w:r>
          </w:p>
        </w:tc>
      </w:tr>
      <w:tr w14:paraId="6FC3E51D">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47B42">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30305</w:t>
            </w:r>
          </w:p>
        </w:tc>
        <w:tc>
          <w:tcPr>
            <w:tcW w:w="3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B228">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生活补助</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47C0">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1,130.18</w:t>
            </w:r>
          </w:p>
        </w:tc>
      </w:tr>
      <w:tr w14:paraId="130E53F5">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DB1A8">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30306</w:t>
            </w:r>
          </w:p>
        </w:tc>
        <w:tc>
          <w:tcPr>
            <w:tcW w:w="3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1F1DC">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救济费</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A569">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19.20</w:t>
            </w:r>
          </w:p>
        </w:tc>
      </w:tr>
      <w:tr w14:paraId="6D6C0891">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6A13">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310</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B644">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资本性支出</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650C9">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38.00</w:t>
            </w:r>
          </w:p>
        </w:tc>
      </w:tr>
      <w:tr w14:paraId="5A39CC79">
        <w:tblPrEx>
          <w:tblCellMar>
            <w:top w:w="0" w:type="dxa"/>
            <w:left w:w="0" w:type="dxa"/>
            <w:bottom w:w="0" w:type="dxa"/>
            <w:right w:w="0" w:type="dxa"/>
          </w:tblCellMar>
        </w:tblPrEx>
        <w:trPr>
          <w:trHeight w:val="66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56DDE">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31013</w:t>
            </w:r>
          </w:p>
        </w:tc>
        <w:tc>
          <w:tcPr>
            <w:tcW w:w="3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ACE5A">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Style w:val="11"/>
                <w:color w:val="auto"/>
                <w:highlight w:val="none"/>
                <w:lang w:val="en-US" w:eastAsia="zh-CN" w:bidi="ar"/>
              </w:rPr>
              <w:t xml:space="preserve"> 公务用车购置</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930AF">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18.00</w:t>
            </w:r>
          </w:p>
        </w:tc>
      </w:tr>
      <w:tr w14:paraId="0D18AD4E">
        <w:tblPrEx>
          <w:tblCellMar>
            <w:top w:w="0" w:type="dxa"/>
            <w:left w:w="0" w:type="dxa"/>
            <w:bottom w:w="0" w:type="dxa"/>
            <w:right w:w="0" w:type="dxa"/>
          </w:tblCellMar>
        </w:tblPrEx>
        <w:trPr>
          <w:trHeight w:val="674" w:hRule="atLeast"/>
          <w:jc w:val="center"/>
        </w:trPr>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3956">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31099</w:t>
            </w:r>
          </w:p>
        </w:tc>
        <w:tc>
          <w:tcPr>
            <w:tcW w:w="3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58488">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其他资本性支出</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B923E">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20.00</w:t>
            </w:r>
          </w:p>
        </w:tc>
      </w:tr>
    </w:tbl>
    <w:p w14:paraId="05684FB1">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2CFABDF">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附件11</w:t>
      </w:r>
    </w:p>
    <w:tbl>
      <w:tblPr>
        <w:tblStyle w:val="4"/>
        <w:tblW w:w="8960" w:type="dxa"/>
        <w:jc w:val="center"/>
        <w:shd w:val="clear" w:color="auto" w:fill="auto"/>
        <w:tblLayout w:type="fixed"/>
        <w:tblCellMar>
          <w:top w:w="0" w:type="dxa"/>
          <w:left w:w="0" w:type="dxa"/>
          <w:bottom w:w="0" w:type="dxa"/>
          <w:right w:w="0" w:type="dxa"/>
        </w:tblCellMar>
      </w:tblPr>
      <w:tblGrid>
        <w:gridCol w:w="2402"/>
        <w:gridCol w:w="4174"/>
        <w:gridCol w:w="2384"/>
      </w:tblGrid>
      <w:tr w14:paraId="0E93F567">
        <w:tblPrEx>
          <w:shd w:val="clear" w:color="auto" w:fill="auto"/>
          <w:tblCellMar>
            <w:top w:w="0" w:type="dxa"/>
            <w:left w:w="0" w:type="dxa"/>
            <w:bottom w:w="0" w:type="dxa"/>
            <w:right w:w="0" w:type="dxa"/>
          </w:tblCellMar>
        </w:tblPrEx>
        <w:trPr>
          <w:trHeight w:val="1307" w:hRule="atLeast"/>
          <w:jc w:val="center"/>
        </w:trPr>
        <w:tc>
          <w:tcPr>
            <w:tcW w:w="8960" w:type="dxa"/>
            <w:gridSpan w:val="3"/>
            <w:tcBorders>
              <w:top w:val="nil"/>
              <w:left w:val="nil"/>
              <w:bottom w:val="nil"/>
              <w:right w:val="nil"/>
            </w:tcBorders>
            <w:shd w:val="clear" w:color="auto" w:fill="auto"/>
            <w:tcMar>
              <w:top w:w="15" w:type="dxa"/>
              <w:left w:w="15" w:type="dxa"/>
              <w:right w:w="15" w:type="dxa"/>
            </w:tcMar>
            <w:vAlign w:val="center"/>
          </w:tcPr>
          <w:p w14:paraId="1CD72BF2">
            <w:pPr>
              <w:keepNext w:val="0"/>
              <w:keepLines w:val="0"/>
              <w:widowControl/>
              <w:suppressLineNumbers w:val="0"/>
              <w:jc w:val="center"/>
              <w:textAlignment w:val="center"/>
              <w:rPr>
                <w:rFonts w:ascii="方正小标宋_GBK" w:hAnsi="方正小标宋_GBK" w:eastAsia="方正小标宋_GBK" w:cs="方正小标宋_GBK"/>
                <w:i w:val="0"/>
                <w:color w:val="auto"/>
                <w:sz w:val="34"/>
                <w:szCs w:val="34"/>
                <w:highlight w:val="none"/>
                <w:u w:val="none"/>
              </w:rPr>
            </w:pPr>
            <w:r>
              <w:rPr>
                <w:rFonts w:hint="eastAsia" w:ascii="方正小标宋_GBK" w:hAnsi="方正小标宋_GBK" w:eastAsia="方正小标宋_GBK" w:cs="方正小标宋_GBK"/>
                <w:i w:val="0"/>
                <w:color w:val="auto"/>
                <w:kern w:val="0"/>
                <w:sz w:val="34"/>
                <w:szCs w:val="34"/>
                <w:highlight w:val="none"/>
                <w:u w:val="none"/>
                <w:lang w:val="en-US" w:eastAsia="zh-CN" w:bidi="ar"/>
              </w:rPr>
              <w:t>重庆市九龙坡区人民政府渝州路街道办事处一般公共预算财政拨款项目支出预算表</w:t>
            </w:r>
          </w:p>
        </w:tc>
      </w:tr>
      <w:tr w14:paraId="3E58D8D9">
        <w:tblPrEx>
          <w:tblCellMar>
            <w:top w:w="0" w:type="dxa"/>
            <w:left w:w="0" w:type="dxa"/>
            <w:bottom w:w="0" w:type="dxa"/>
            <w:right w:w="0" w:type="dxa"/>
          </w:tblCellMar>
        </w:tblPrEx>
        <w:trPr>
          <w:trHeight w:val="661" w:hRule="atLeast"/>
          <w:jc w:val="center"/>
        </w:trPr>
        <w:tc>
          <w:tcPr>
            <w:tcW w:w="8960" w:type="dxa"/>
            <w:gridSpan w:val="3"/>
            <w:tcBorders>
              <w:top w:val="nil"/>
              <w:left w:val="nil"/>
              <w:bottom w:val="nil"/>
              <w:right w:val="nil"/>
            </w:tcBorders>
            <w:shd w:val="clear" w:color="auto" w:fill="auto"/>
            <w:tcMar>
              <w:top w:w="15" w:type="dxa"/>
              <w:left w:w="15" w:type="dxa"/>
              <w:right w:w="15" w:type="dxa"/>
            </w:tcMar>
            <w:vAlign w:val="center"/>
          </w:tcPr>
          <w:p w14:paraId="7E534A45">
            <w:pPr>
              <w:keepNext w:val="0"/>
              <w:keepLines w:val="0"/>
              <w:widowControl/>
              <w:suppressLineNumbers w:val="0"/>
              <w:jc w:val="center"/>
              <w:textAlignment w:val="center"/>
              <w:rPr>
                <w:rFonts w:ascii="方正楷体_GBK" w:hAnsi="方正楷体_GBK" w:eastAsia="方正楷体_GBK" w:cs="方正楷体_GBK"/>
                <w:i w:val="0"/>
                <w:color w:val="auto"/>
                <w:sz w:val="24"/>
                <w:szCs w:val="24"/>
                <w:highlight w:val="none"/>
                <w:u w:val="none"/>
              </w:rPr>
            </w:pPr>
            <w:r>
              <w:rPr>
                <w:rFonts w:hint="eastAsia" w:ascii="方正楷体_GBK" w:hAnsi="方正楷体_GBK" w:eastAsia="方正楷体_GBK" w:cs="方正楷体_GBK"/>
                <w:i w:val="0"/>
                <w:color w:val="auto"/>
                <w:kern w:val="0"/>
                <w:sz w:val="24"/>
                <w:szCs w:val="24"/>
                <w:highlight w:val="none"/>
                <w:u w:val="none"/>
                <w:lang w:val="en-US" w:eastAsia="zh-CN" w:bidi="ar"/>
              </w:rPr>
              <w:t>（政府预算支出经济分类科目）</w:t>
            </w:r>
          </w:p>
        </w:tc>
      </w:tr>
      <w:tr w14:paraId="171CE5BB">
        <w:tblPrEx>
          <w:tblCellMar>
            <w:top w:w="0" w:type="dxa"/>
            <w:left w:w="0" w:type="dxa"/>
            <w:bottom w:w="0" w:type="dxa"/>
            <w:right w:w="0" w:type="dxa"/>
          </w:tblCellMar>
        </w:tblPrEx>
        <w:trPr>
          <w:trHeight w:val="661" w:hRule="atLeast"/>
          <w:jc w:val="center"/>
        </w:trPr>
        <w:tc>
          <w:tcPr>
            <w:tcW w:w="2402" w:type="dxa"/>
            <w:tcBorders>
              <w:top w:val="nil"/>
              <w:left w:val="nil"/>
              <w:bottom w:val="nil"/>
              <w:right w:val="nil"/>
            </w:tcBorders>
            <w:shd w:val="clear" w:color="auto" w:fill="auto"/>
            <w:noWrap/>
            <w:tcMar>
              <w:top w:w="15" w:type="dxa"/>
              <w:left w:w="15" w:type="dxa"/>
              <w:right w:w="15" w:type="dxa"/>
            </w:tcMar>
            <w:vAlign w:val="center"/>
          </w:tcPr>
          <w:p w14:paraId="7D2CC0DF">
            <w:pPr>
              <w:rPr>
                <w:rFonts w:hint="eastAsia" w:ascii="宋体" w:hAnsi="宋体" w:eastAsia="宋体" w:cs="宋体"/>
                <w:i w:val="0"/>
                <w:color w:val="auto"/>
                <w:sz w:val="22"/>
                <w:szCs w:val="22"/>
                <w:highlight w:val="none"/>
                <w:u w:val="none"/>
              </w:rPr>
            </w:pPr>
          </w:p>
        </w:tc>
        <w:tc>
          <w:tcPr>
            <w:tcW w:w="4174" w:type="dxa"/>
            <w:tcBorders>
              <w:top w:val="nil"/>
              <w:left w:val="nil"/>
              <w:bottom w:val="nil"/>
              <w:right w:val="nil"/>
            </w:tcBorders>
            <w:shd w:val="clear" w:color="auto" w:fill="auto"/>
            <w:noWrap/>
            <w:tcMar>
              <w:top w:w="15" w:type="dxa"/>
              <w:left w:w="15" w:type="dxa"/>
              <w:right w:w="15" w:type="dxa"/>
            </w:tcMar>
            <w:vAlign w:val="center"/>
          </w:tcPr>
          <w:p w14:paraId="684C09CD">
            <w:pPr>
              <w:rPr>
                <w:rFonts w:hint="eastAsia" w:ascii="宋体" w:hAnsi="宋体" w:eastAsia="宋体" w:cs="宋体"/>
                <w:i w:val="0"/>
                <w:color w:val="auto"/>
                <w:sz w:val="22"/>
                <w:szCs w:val="22"/>
                <w:highlight w:val="none"/>
                <w:u w:val="none"/>
              </w:rPr>
            </w:pPr>
          </w:p>
        </w:tc>
        <w:tc>
          <w:tcPr>
            <w:tcW w:w="2384" w:type="dxa"/>
            <w:tcBorders>
              <w:top w:val="nil"/>
              <w:left w:val="nil"/>
              <w:bottom w:val="nil"/>
              <w:right w:val="nil"/>
            </w:tcBorders>
            <w:shd w:val="clear" w:color="auto" w:fill="auto"/>
            <w:tcMar>
              <w:top w:w="15" w:type="dxa"/>
              <w:left w:w="15" w:type="dxa"/>
              <w:right w:w="15" w:type="dxa"/>
            </w:tcMar>
            <w:vAlign w:val="center"/>
          </w:tcPr>
          <w:p w14:paraId="2CFB7A1D">
            <w:pPr>
              <w:keepNext w:val="0"/>
              <w:keepLines w:val="0"/>
              <w:widowControl/>
              <w:suppressLineNumbers w:val="0"/>
              <w:jc w:val="right"/>
              <w:textAlignment w:val="center"/>
              <w:rPr>
                <w:rFonts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单位：万元</w:t>
            </w:r>
          </w:p>
        </w:tc>
      </w:tr>
      <w:tr w14:paraId="5514B051">
        <w:tblPrEx>
          <w:tblCellMar>
            <w:top w:w="0" w:type="dxa"/>
            <w:left w:w="0" w:type="dxa"/>
            <w:bottom w:w="0" w:type="dxa"/>
            <w:right w:w="0" w:type="dxa"/>
          </w:tblCellMar>
        </w:tblPrEx>
        <w:trPr>
          <w:trHeight w:val="846" w:hRule="atLeast"/>
          <w:jc w:val="center"/>
        </w:trPr>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5A21">
            <w:pPr>
              <w:keepNext w:val="0"/>
              <w:keepLines w:val="0"/>
              <w:widowControl/>
              <w:suppressLineNumbers w:val="0"/>
              <w:jc w:val="center"/>
              <w:textAlignment w:val="center"/>
              <w:rPr>
                <w:rFonts w:ascii="方正大黑_GBK" w:hAnsi="方正大黑_GBK" w:eastAsia="方正大黑_GBK" w:cs="方正大黑_GBK"/>
                <w:i w:val="0"/>
                <w:color w:val="auto"/>
                <w:sz w:val="28"/>
                <w:szCs w:val="28"/>
                <w:highlight w:val="none"/>
                <w:u w:val="none"/>
              </w:rPr>
            </w:pPr>
            <w:r>
              <w:rPr>
                <w:rFonts w:hint="eastAsia" w:ascii="方正大黑_GBK" w:hAnsi="方正大黑_GBK" w:eastAsia="方正大黑_GBK" w:cs="方正大黑_GBK"/>
                <w:i w:val="0"/>
                <w:color w:val="auto"/>
                <w:kern w:val="0"/>
                <w:sz w:val="28"/>
                <w:szCs w:val="28"/>
                <w:highlight w:val="none"/>
                <w:u w:val="none"/>
                <w:lang w:val="en-US" w:eastAsia="zh-CN" w:bidi="ar"/>
              </w:rPr>
              <w:t>政府预算经济科目</w:t>
            </w:r>
          </w:p>
        </w:tc>
        <w:tc>
          <w:tcPr>
            <w:tcW w:w="2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C7A0E">
            <w:pPr>
              <w:keepNext w:val="0"/>
              <w:keepLines w:val="0"/>
              <w:widowControl/>
              <w:suppressLineNumbers w:val="0"/>
              <w:jc w:val="center"/>
              <w:textAlignment w:val="center"/>
              <w:rPr>
                <w:rFonts w:hint="eastAsia" w:ascii="方正大黑_GBK" w:hAnsi="方正大黑_GBK" w:eastAsia="方正大黑_GBK" w:cs="方正大黑_GBK"/>
                <w:i w:val="0"/>
                <w:color w:val="auto"/>
                <w:sz w:val="28"/>
                <w:szCs w:val="28"/>
                <w:highlight w:val="none"/>
                <w:u w:val="none"/>
              </w:rPr>
            </w:pPr>
            <w:r>
              <w:rPr>
                <w:rFonts w:hint="eastAsia" w:ascii="方正大黑_GBK" w:hAnsi="方正大黑_GBK" w:eastAsia="方正大黑_GBK" w:cs="方正大黑_GBK"/>
                <w:i w:val="0"/>
                <w:color w:val="auto"/>
                <w:kern w:val="0"/>
                <w:sz w:val="28"/>
                <w:szCs w:val="28"/>
                <w:highlight w:val="none"/>
                <w:u w:val="none"/>
                <w:lang w:val="en-US" w:eastAsia="zh-CN" w:bidi="ar"/>
              </w:rPr>
              <w:t>项目支出</w:t>
            </w:r>
          </w:p>
        </w:tc>
      </w:tr>
      <w:tr w14:paraId="7A5D559D">
        <w:tblPrEx>
          <w:tblCellMar>
            <w:top w:w="0" w:type="dxa"/>
            <w:left w:w="0" w:type="dxa"/>
            <w:bottom w:w="0" w:type="dxa"/>
            <w:right w:w="0" w:type="dxa"/>
          </w:tblCellMar>
        </w:tblPrEx>
        <w:trPr>
          <w:trHeight w:val="671" w:hRule="atLeast"/>
          <w:jc w:val="center"/>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8852">
            <w:pPr>
              <w:keepNext w:val="0"/>
              <w:keepLines w:val="0"/>
              <w:widowControl/>
              <w:suppressLineNumbers w:val="0"/>
              <w:jc w:val="center"/>
              <w:textAlignment w:val="center"/>
              <w:rPr>
                <w:rFonts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科目编码</w:t>
            </w:r>
          </w:p>
        </w:tc>
        <w:tc>
          <w:tcPr>
            <w:tcW w:w="4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D292">
            <w:pPr>
              <w:keepNext w:val="0"/>
              <w:keepLines w:val="0"/>
              <w:widowControl/>
              <w:suppressLineNumbers w:val="0"/>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
              </w:rPr>
              <w:t>科目名称</w:t>
            </w:r>
          </w:p>
        </w:tc>
        <w:tc>
          <w:tcPr>
            <w:tcW w:w="2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B6DF">
            <w:pPr>
              <w:jc w:val="center"/>
              <w:rPr>
                <w:rFonts w:hint="eastAsia" w:ascii="方正大黑_GBK" w:hAnsi="方正大黑_GBK" w:eastAsia="方正大黑_GBK" w:cs="方正大黑_GBK"/>
                <w:i w:val="0"/>
                <w:color w:val="auto"/>
                <w:sz w:val="28"/>
                <w:szCs w:val="28"/>
                <w:highlight w:val="none"/>
                <w:u w:val="none"/>
              </w:rPr>
            </w:pPr>
          </w:p>
        </w:tc>
      </w:tr>
      <w:tr w14:paraId="1CDEFA2C">
        <w:tblPrEx>
          <w:tblCellMar>
            <w:top w:w="0" w:type="dxa"/>
            <w:left w:w="0" w:type="dxa"/>
            <w:bottom w:w="0" w:type="dxa"/>
            <w:right w:w="0" w:type="dxa"/>
          </w:tblCellMar>
        </w:tblPrEx>
        <w:trPr>
          <w:trHeight w:val="671" w:hRule="atLeast"/>
          <w:jc w:val="center"/>
        </w:trPr>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DBA5A">
            <w:pPr>
              <w:keepNext w:val="0"/>
              <w:keepLines w:val="0"/>
              <w:widowControl/>
              <w:suppressLineNumbers w:val="0"/>
              <w:jc w:val="center"/>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
              </w:rPr>
              <w:t>合计</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C92C3">
            <w:pPr>
              <w:keepNext w:val="0"/>
              <w:keepLines w:val="0"/>
              <w:widowControl/>
              <w:suppressLineNumbers w:val="0"/>
              <w:jc w:val="right"/>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5,268.26</w:t>
            </w:r>
          </w:p>
        </w:tc>
      </w:tr>
      <w:tr w14:paraId="1E2F9477">
        <w:tblPrEx>
          <w:tblCellMar>
            <w:top w:w="0" w:type="dxa"/>
            <w:left w:w="0" w:type="dxa"/>
            <w:bottom w:w="0" w:type="dxa"/>
            <w:right w:w="0" w:type="dxa"/>
          </w:tblCellMar>
        </w:tblPrEx>
        <w:trPr>
          <w:trHeight w:val="671" w:hRule="atLeast"/>
          <w:jc w:val="center"/>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74C9F">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502</w:t>
            </w:r>
          </w:p>
        </w:tc>
        <w:tc>
          <w:tcPr>
            <w:tcW w:w="4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5A7A">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机关商品和服务支出</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BA56D">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4,080.88</w:t>
            </w:r>
          </w:p>
        </w:tc>
      </w:tr>
      <w:tr w14:paraId="4499341C">
        <w:tblPrEx>
          <w:tblCellMar>
            <w:top w:w="0" w:type="dxa"/>
            <w:left w:w="0" w:type="dxa"/>
            <w:bottom w:w="0" w:type="dxa"/>
            <w:right w:w="0" w:type="dxa"/>
          </w:tblCellMar>
        </w:tblPrEx>
        <w:trPr>
          <w:trHeight w:val="671" w:hRule="atLeast"/>
          <w:jc w:val="center"/>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0795">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50201</w:t>
            </w:r>
          </w:p>
        </w:tc>
        <w:tc>
          <w:tcPr>
            <w:tcW w:w="4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EA6DE">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办公经费</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BEFF">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81.60</w:t>
            </w:r>
          </w:p>
        </w:tc>
      </w:tr>
      <w:tr w14:paraId="71F30447">
        <w:tblPrEx>
          <w:tblCellMar>
            <w:top w:w="0" w:type="dxa"/>
            <w:left w:w="0" w:type="dxa"/>
            <w:bottom w:w="0" w:type="dxa"/>
            <w:right w:w="0" w:type="dxa"/>
          </w:tblCellMar>
        </w:tblPrEx>
        <w:trPr>
          <w:trHeight w:val="671" w:hRule="atLeast"/>
          <w:jc w:val="center"/>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C861">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50205</w:t>
            </w:r>
          </w:p>
        </w:tc>
        <w:tc>
          <w:tcPr>
            <w:tcW w:w="4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FEE7">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委托业务费</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DDFD2">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3,997.74</w:t>
            </w:r>
          </w:p>
        </w:tc>
      </w:tr>
      <w:tr w14:paraId="4346E01F">
        <w:tblPrEx>
          <w:tblCellMar>
            <w:top w:w="0" w:type="dxa"/>
            <w:left w:w="0" w:type="dxa"/>
            <w:bottom w:w="0" w:type="dxa"/>
            <w:right w:w="0" w:type="dxa"/>
          </w:tblCellMar>
        </w:tblPrEx>
        <w:trPr>
          <w:trHeight w:val="671" w:hRule="atLeast"/>
          <w:jc w:val="center"/>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763B3">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50299</w:t>
            </w:r>
          </w:p>
        </w:tc>
        <w:tc>
          <w:tcPr>
            <w:tcW w:w="4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70188">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其他商品和服务支出</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7A60">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1.54</w:t>
            </w:r>
          </w:p>
        </w:tc>
      </w:tr>
      <w:tr w14:paraId="3B25AFE6">
        <w:tblPrEx>
          <w:tblCellMar>
            <w:top w:w="0" w:type="dxa"/>
            <w:left w:w="0" w:type="dxa"/>
            <w:bottom w:w="0" w:type="dxa"/>
            <w:right w:w="0" w:type="dxa"/>
          </w:tblCellMar>
        </w:tblPrEx>
        <w:trPr>
          <w:trHeight w:val="671" w:hRule="atLeast"/>
          <w:jc w:val="center"/>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6EFEF">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503</w:t>
            </w:r>
          </w:p>
        </w:tc>
        <w:tc>
          <w:tcPr>
            <w:tcW w:w="4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3A019">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机关资本性支出</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533F">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38.00</w:t>
            </w:r>
          </w:p>
        </w:tc>
      </w:tr>
      <w:tr w14:paraId="4DDCAB2D">
        <w:tblPrEx>
          <w:tblCellMar>
            <w:top w:w="0" w:type="dxa"/>
            <w:left w:w="0" w:type="dxa"/>
            <w:bottom w:w="0" w:type="dxa"/>
            <w:right w:w="0" w:type="dxa"/>
          </w:tblCellMar>
        </w:tblPrEx>
        <w:trPr>
          <w:trHeight w:val="671" w:hRule="atLeast"/>
          <w:jc w:val="center"/>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38786">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50303</w:t>
            </w:r>
          </w:p>
        </w:tc>
        <w:tc>
          <w:tcPr>
            <w:tcW w:w="4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2DF33">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公务用车购置</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4BC7">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18.00</w:t>
            </w:r>
          </w:p>
        </w:tc>
      </w:tr>
      <w:tr w14:paraId="5DA0379D">
        <w:tblPrEx>
          <w:tblCellMar>
            <w:top w:w="0" w:type="dxa"/>
            <w:left w:w="0" w:type="dxa"/>
            <w:bottom w:w="0" w:type="dxa"/>
            <w:right w:w="0" w:type="dxa"/>
          </w:tblCellMar>
        </w:tblPrEx>
        <w:trPr>
          <w:trHeight w:val="671" w:hRule="atLeast"/>
          <w:jc w:val="center"/>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655C0">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50399</w:t>
            </w:r>
          </w:p>
        </w:tc>
        <w:tc>
          <w:tcPr>
            <w:tcW w:w="4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5AE2">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其他资本性支出</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7E7A">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20.00</w:t>
            </w:r>
          </w:p>
        </w:tc>
      </w:tr>
      <w:tr w14:paraId="4162AD5F">
        <w:tblPrEx>
          <w:tblCellMar>
            <w:top w:w="0" w:type="dxa"/>
            <w:left w:w="0" w:type="dxa"/>
            <w:bottom w:w="0" w:type="dxa"/>
            <w:right w:w="0" w:type="dxa"/>
          </w:tblCellMar>
        </w:tblPrEx>
        <w:trPr>
          <w:trHeight w:val="671" w:hRule="atLeast"/>
          <w:jc w:val="center"/>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5AF1">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509</w:t>
            </w:r>
          </w:p>
        </w:tc>
        <w:tc>
          <w:tcPr>
            <w:tcW w:w="4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F9CC">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对个人和家庭的补助</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BBB1">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1,149.38</w:t>
            </w:r>
          </w:p>
        </w:tc>
      </w:tr>
      <w:tr w14:paraId="51601AF9">
        <w:tblPrEx>
          <w:tblCellMar>
            <w:top w:w="0" w:type="dxa"/>
            <w:left w:w="0" w:type="dxa"/>
            <w:bottom w:w="0" w:type="dxa"/>
            <w:right w:w="0" w:type="dxa"/>
          </w:tblCellMar>
        </w:tblPrEx>
        <w:trPr>
          <w:trHeight w:val="682" w:hRule="atLeast"/>
          <w:jc w:val="center"/>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87DCB">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50901</w:t>
            </w:r>
          </w:p>
        </w:tc>
        <w:tc>
          <w:tcPr>
            <w:tcW w:w="4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E5CB">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 xml:space="preserve"> 社会福利和救助</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A02E9">
            <w:pPr>
              <w:keepNext w:val="0"/>
              <w:keepLines w:val="0"/>
              <w:widowControl/>
              <w:suppressLineNumbers w:val="0"/>
              <w:jc w:val="righ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1,149.38</w:t>
            </w:r>
          </w:p>
        </w:tc>
      </w:tr>
    </w:tbl>
    <w:p w14:paraId="2AD42BA0">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6BB6E808">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E7D9580">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3CE1D30F">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72B90B0F">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0DF3C1BB">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64842A1F">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6A356A4B">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462963EF">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附件12</w:t>
      </w:r>
    </w:p>
    <w:tbl>
      <w:tblPr>
        <w:tblStyle w:val="4"/>
        <w:tblW w:w="10124" w:type="dxa"/>
        <w:jc w:val="center"/>
        <w:shd w:val="clear" w:color="auto" w:fill="auto"/>
        <w:tblLayout w:type="fixed"/>
        <w:tblCellMar>
          <w:top w:w="0" w:type="dxa"/>
          <w:left w:w="0" w:type="dxa"/>
          <w:bottom w:w="0" w:type="dxa"/>
          <w:right w:w="0" w:type="dxa"/>
        </w:tblCellMar>
      </w:tblPr>
      <w:tblGrid>
        <w:gridCol w:w="1368"/>
        <w:gridCol w:w="939"/>
        <w:gridCol w:w="898"/>
        <w:gridCol w:w="653"/>
        <w:gridCol w:w="439"/>
        <w:gridCol w:w="439"/>
        <w:gridCol w:w="166"/>
        <w:gridCol w:w="469"/>
        <w:gridCol w:w="434"/>
        <w:gridCol w:w="433"/>
        <w:gridCol w:w="450"/>
        <w:gridCol w:w="90"/>
        <w:gridCol w:w="166"/>
        <w:gridCol w:w="76"/>
        <w:gridCol w:w="90"/>
        <w:gridCol w:w="166"/>
        <w:gridCol w:w="166"/>
        <w:gridCol w:w="76"/>
        <w:gridCol w:w="90"/>
        <w:gridCol w:w="76"/>
        <w:gridCol w:w="90"/>
        <w:gridCol w:w="76"/>
        <w:gridCol w:w="90"/>
        <w:gridCol w:w="166"/>
        <w:gridCol w:w="277"/>
        <w:gridCol w:w="267"/>
        <w:gridCol w:w="416"/>
        <w:gridCol w:w="467"/>
        <w:gridCol w:w="591"/>
      </w:tblGrid>
      <w:tr w14:paraId="14F88000">
        <w:tblPrEx>
          <w:shd w:val="clear" w:color="auto" w:fill="auto"/>
          <w:tblCellMar>
            <w:top w:w="0" w:type="dxa"/>
            <w:left w:w="0" w:type="dxa"/>
            <w:bottom w:w="0" w:type="dxa"/>
            <w:right w:w="0" w:type="dxa"/>
          </w:tblCellMar>
        </w:tblPrEx>
        <w:trPr>
          <w:trHeight w:val="1095" w:hRule="atLeast"/>
          <w:jc w:val="center"/>
        </w:trPr>
        <w:tc>
          <w:tcPr>
            <w:tcW w:w="10124" w:type="dxa"/>
            <w:gridSpan w:val="29"/>
            <w:vMerge w:val="restart"/>
            <w:tcBorders>
              <w:top w:val="nil"/>
              <w:left w:val="nil"/>
              <w:bottom w:val="nil"/>
              <w:right w:val="nil"/>
            </w:tcBorders>
            <w:shd w:val="clear" w:color="auto" w:fill="auto"/>
            <w:tcMar>
              <w:top w:w="15" w:type="dxa"/>
              <w:left w:w="15" w:type="dxa"/>
              <w:right w:w="15" w:type="dxa"/>
            </w:tcMar>
            <w:vAlign w:val="center"/>
          </w:tcPr>
          <w:p w14:paraId="29A27B1E">
            <w:pPr>
              <w:keepNext w:val="0"/>
              <w:keepLines w:val="0"/>
              <w:widowControl/>
              <w:suppressLineNumbers w:val="0"/>
              <w:jc w:val="center"/>
              <w:textAlignment w:val="center"/>
              <w:rPr>
                <w:rFonts w:ascii="宋体" w:hAnsi="宋体" w:eastAsia="宋体" w:cs="宋体"/>
                <w:i w:val="0"/>
                <w:color w:val="auto"/>
                <w:sz w:val="38"/>
                <w:szCs w:val="38"/>
                <w:highlight w:val="none"/>
                <w:u w:val="none"/>
              </w:rPr>
            </w:pPr>
            <w:r>
              <w:rPr>
                <w:rFonts w:hint="eastAsia" w:ascii="方正小标宋_GBK" w:hAnsi="方正小标宋_GBK" w:eastAsia="方正小标宋_GBK" w:cs="方正小标宋_GBK"/>
                <w:i w:val="0"/>
                <w:color w:val="auto"/>
                <w:kern w:val="0"/>
                <w:sz w:val="34"/>
                <w:szCs w:val="34"/>
                <w:highlight w:val="none"/>
                <w:u w:val="none"/>
                <w:lang w:val="en-US" w:eastAsia="zh-CN" w:bidi="ar"/>
              </w:rPr>
              <w:t>政府采购明细表</w:t>
            </w:r>
          </w:p>
        </w:tc>
      </w:tr>
      <w:tr w14:paraId="43ACB28F">
        <w:tblPrEx>
          <w:tblCellMar>
            <w:top w:w="0" w:type="dxa"/>
            <w:left w:w="0" w:type="dxa"/>
            <w:bottom w:w="0" w:type="dxa"/>
            <w:right w:w="0" w:type="dxa"/>
          </w:tblCellMar>
        </w:tblPrEx>
        <w:trPr>
          <w:trHeight w:val="312" w:hRule="atLeast"/>
          <w:jc w:val="center"/>
        </w:trPr>
        <w:tc>
          <w:tcPr>
            <w:tcW w:w="10124" w:type="dxa"/>
            <w:gridSpan w:val="29"/>
            <w:vMerge w:val="continue"/>
            <w:tcBorders>
              <w:top w:val="nil"/>
              <w:left w:val="nil"/>
              <w:bottom w:val="nil"/>
              <w:right w:val="nil"/>
            </w:tcBorders>
            <w:shd w:val="clear" w:color="auto" w:fill="auto"/>
            <w:tcMar>
              <w:top w:w="15" w:type="dxa"/>
              <w:left w:w="15" w:type="dxa"/>
              <w:right w:w="15" w:type="dxa"/>
            </w:tcMar>
            <w:vAlign w:val="center"/>
          </w:tcPr>
          <w:p w14:paraId="622C1859">
            <w:pPr>
              <w:jc w:val="center"/>
              <w:rPr>
                <w:rFonts w:hint="eastAsia" w:ascii="宋体" w:hAnsi="宋体" w:eastAsia="宋体" w:cs="宋体"/>
                <w:i w:val="0"/>
                <w:color w:val="auto"/>
                <w:sz w:val="38"/>
                <w:szCs w:val="38"/>
                <w:highlight w:val="none"/>
                <w:u w:val="none"/>
              </w:rPr>
            </w:pPr>
          </w:p>
        </w:tc>
      </w:tr>
      <w:tr w14:paraId="49D466EF">
        <w:tblPrEx>
          <w:tblCellMar>
            <w:top w:w="0" w:type="dxa"/>
            <w:left w:w="0" w:type="dxa"/>
            <w:bottom w:w="0" w:type="dxa"/>
            <w:right w:w="0" w:type="dxa"/>
          </w:tblCellMar>
        </w:tblPrEx>
        <w:trPr>
          <w:trHeight w:val="460" w:hRule="atLeast"/>
          <w:jc w:val="center"/>
        </w:trPr>
        <w:tc>
          <w:tcPr>
            <w:tcW w:w="1368" w:type="dxa"/>
            <w:tcBorders>
              <w:top w:val="nil"/>
              <w:left w:val="nil"/>
              <w:bottom w:val="nil"/>
              <w:right w:val="nil"/>
            </w:tcBorders>
            <w:shd w:val="clear" w:color="auto" w:fill="auto"/>
            <w:noWrap/>
            <w:tcMar>
              <w:top w:w="15" w:type="dxa"/>
              <w:left w:w="15" w:type="dxa"/>
              <w:right w:w="15" w:type="dxa"/>
            </w:tcMar>
            <w:vAlign w:val="center"/>
          </w:tcPr>
          <w:p w14:paraId="2195A95E">
            <w:pPr>
              <w:rPr>
                <w:rFonts w:hint="eastAsia" w:ascii="宋体" w:hAnsi="宋体" w:eastAsia="宋体" w:cs="宋体"/>
                <w:i w:val="0"/>
                <w:color w:val="auto"/>
                <w:sz w:val="22"/>
                <w:szCs w:val="22"/>
                <w:highlight w:val="none"/>
                <w:u w:val="none"/>
              </w:rPr>
            </w:pPr>
          </w:p>
        </w:tc>
        <w:tc>
          <w:tcPr>
            <w:tcW w:w="939" w:type="dxa"/>
            <w:tcBorders>
              <w:top w:val="nil"/>
              <w:left w:val="nil"/>
              <w:bottom w:val="nil"/>
              <w:right w:val="nil"/>
            </w:tcBorders>
            <w:shd w:val="clear" w:color="auto" w:fill="auto"/>
            <w:noWrap/>
            <w:tcMar>
              <w:top w:w="15" w:type="dxa"/>
              <w:left w:w="15" w:type="dxa"/>
              <w:right w:w="15" w:type="dxa"/>
            </w:tcMar>
            <w:vAlign w:val="center"/>
          </w:tcPr>
          <w:p w14:paraId="7B96E94D">
            <w:pPr>
              <w:rPr>
                <w:rFonts w:hint="eastAsia" w:ascii="宋体" w:hAnsi="宋体" w:eastAsia="宋体" w:cs="宋体"/>
                <w:i w:val="0"/>
                <w:color w:val="auto"/>
                <w:sz w:val="22"/>
                <w:szCs w:val="22"/>
                <w:highlight w:val="none"/>
                <w:u w:val="none"/>
              </w:rPr>
            </w:pPr>
          </w:p>
        </w:tc>
        <w:tc>
          <w:tcPr>
            <w:tcW w:w="898" w:type="dxa"/>
            <w:tcBorders>
              <w:top w:val="nil"/>
              <w:left w:val="nil"/>
              <w:bottom w:val="nil"/>
              <w:right w:val="nil"/>
            </w:tcBorders>
            <w:shd w:val="clear" w:color="auto" w:fill="auto"/>
            <w:noWrap/>
            <w:tcMar>
              <w:top w:w="15" w:type="dxa"/>
              <w:left w:w="15" w:type="dxa"/>
              <w:right w:w="15" w:type="dxa"/>
            </w:tcMar>
            <w:vAlign w:val="center"/>
          </w:tcPr>
          <w:p w14:paraId="79BD549D">
            <w:pPr>
              <w:rPr>
                <w:rFonts w:hint="eastAsia" w:ascii="宋体" w:hAnsi="宋体" w:eastAsia="宋体" w:cs="宋体"/>
                <w:i w:val="0"/>
                <w:color w:val="auto"/>
                <w:sz w:val="22"/>
                <w:szCs w:val="22"/>
                <w:highlight w:val="none"/>
                <w:u w:val="none"/>
              </w:rPr>
            </w:pPr>
          </w:p>
        </w:tc>
        <w:tc>
          <w:tcPr>
            <w:tcW w:w="653" w:type="dxa"/>
            <w:tcBorders>
              <w:top w:val="nil"/>
              <w:left w:val="nil"/>
              <w:bottom w:val="nil"/>
              <w:right w:val="nil"/>
            </w:tcBorders>
            <w:shd w:val="clear" w:color="auto" w:fill="auto"/>
            <w:noWrap/>
            <w:tcMar>
              <w:top w:w="15" w:type="dxa"/>
              <w:left w:w="15" w:type="dxa"/>
              <w:right w:w="15" w:type="dxa"/>
            </w:tcMar>
            <w:vAlign w:val="center"/>
          </w:tcPr>
          <w:p w14:paraId="39E1D5F1">
            <w:pPr>
              <w:rPr>
                <w:rFonts w:hint="eastAsia" w:ascii="宋体" w:hAnsi="宋体" w:eastAsia="宋体" w:cs="宋体"/>
                <w:i w:val="0"/>
                <w:color w:val="auto"/>
                <w:sz w:val="22"/>
                <w:szCs w:val="22"/>
                <w:highlight w:val="none"/>
                <w:u w:val="none"/>
              </w:rPr>
            </w:pPr>
          </w:p>
        </w:tc>
        <w:tc>
          <w:tcPr>
            <w:tcW w:w="439" w:type="dxa"/>
            <w:tcBorders>
              <w:top w:val="nil"/>
              <w:left w:val="nil"/>
              <w:bottom w:val="nil"/>
              <w:right w:val="nil"/>
            </w:tcBorders>
            <w:shd w:val="clear" w:color="auto" w:fill="auto"/>
            <w:noWrap/>
            <w:tcMar>
              <w:top w:w="15" w:type="dxa"/>
              <w:left w:w="15" w:type="dxa"/>
              <w:right w:w="15" w:type="dxa"/>
            </w:tcMar>
            <w:vAlign w:val="center"/>
          </w:tcPr>
          <w:p w14:paraId="09922609">
            <w:pPr>
              <w:rPr>
                <w:rFonts w:hint="eastAsia" w:ascii="宋体" w:hAnsi="宋体" w:eastAsia="宋体" w:cs="宋体"/>
                <w:i w:val="0"/>
                <w:color w:val="auto"/>
                <w:sz w:val="22"/>
                <w:szCs w:val="22"/>
                <w:highlight w:val="none"/>
                <w:u w:val="none"/>
              </w:rPr>
            </w:pPr>
          </w:p>
        </w:tc>
        <w:tc>
          <w:tcPr>
            <w:tcW w:w="439" w:type="dxa"/>
            <w:tcBorders>
              <w:top w:val="nil"/>
              <w:left w:val="nil"/>
              <w:bottom w:val="nil"/>
              <w:right w:val="nil"/>
            </w:tcBorders>
            <w:shd w:val="clear" w:color="auto" w:fill="auto"/>
            <w:noWrap/>
            <w:tcMar>
              <w:top w:w="15" w:type="dxa"/>
              <w:left w:w="15" w:type="dxa"/>
              <w:right w:w="15" w:type="dxa"/>
            </w:tcMar>
            <w:vAlign w:val="center"/>
          </w:tcPr>
          <w:p w14:paraId="760DFFE7">
            <w:pPr>
              <w:rPr>
                <w:rFonts w:hint="eastAsia" w:ascii="宋体" w:hAnsi="宋体" w:eastAsia="宋体" w:cs="宋体"/>
                <w:i w:val="0"/>
                <w:color w:val="auto"/>
                <w:sz w:val="22"/>
                <w:szCs w:val="22"/>
                <w:highlight w:val="none"/>
                <w:u w:val="none"/>
              </w:rPr>
            </w:pPr>
          </w:p>
        </w:tc>
        <w:tc>
          <w:tcPr>
            <w:tcW w:w="166" w:type="dxa"/>
            <w:tcBorders>
              <w:top w:val="nil"/>
              <w:left w:val="nil"/>
              <w:bottom w:val="nil"/>
              <w:right w:val="nil"/>
            </w:tcBorders>
            <w:shd w:val="clear" w:color="auto" w:fill="auto"/>
            <w:noWrap/>
            <w:tcMar>
              <w:top w:w="15" w:type="dxa"/>
              <w:left w:w="15" w:type="dxa"/>
              <w:right w:w="15" w:type="dxa"/>
            </w:tcMar>
            <w:vAlign w:val="center"/>
          </w:tcPr>
          <w:p w14:paraId="1AB9E8B5">
            <w:pPr>
              <w:rPr>
                <w:rFonts w:hint="eastAsia" w:ascii="宋体" w:hAnsi="宋体" w:eastAsia="宋体" w:cs="宋体"/>
                <w:i w:val="0"/>
                <w:color w:val="auto"/>
                <w:sz w:val="22"/>
                <w:szCs w:val="22"/>
                <w:highlight w:val="none"/>
                <w:u w:val="none"/>
              </w:rPr>
            </w:pPr>
          </w:p>
        </w:tc>
        <w:tc>
          <w:tcPr>
            <w:tcW w:w="469" w:type="dxa"/>
            <w:tcBorders>
              <w:top w:val="nil"/>
              <w:left w:val="nil"/>
              <w:bottom w:val="nil"/>
              <w:right w:val="nil"/>
            </w:tcBorders>
            <w:shd w:val="clear" w:color="auto" w:fill="auto"/>
            <w:tcMar>
              <w:top w:w="15" w:type="dxa"/>
              <w:left w:w="15" w:type="dxa"/>
              <w:right w:w="15" w:type="dxa"/>
            </w:tcMar>
            <w:vAlign w:val="center"/>
          </w:tcPr>
          <w:p w14:paraId="41551BA6">
            <w:pPr>
              <w:rPr>
                <w:rFonts w:hint="eastAsia" w:ascii="宋体" w:hAnsi="宋体" w:eastAsia="宋体" w:cs="宋体"/>
                <w:i w:val="0"/>
                <w:color w:val="auto"/>
                <w:sz w:val="22"/>
                <w:szCs w:val="22"/>
                <w:highlight w:val="none"/>
                <w:u w:val="none"/>
              </w:rPr>
            </w:pPr>
          </w:p>
        </w:tc>
        <w:tc>
          <w:tcPr>
            <w:tcW w:w="434" w:type="dxa"/>
            <w:tcBorders>
              <w:top w:val="nil"/>
              <w:left w:val="nil"/>
              <w:bottom w:val="nil"/>
              <w:right w:val="nil"/>
            </w:tcBorders>
            <w:shd w:val="clear" w:color="auto" w:fill="auto"/>
            <w:noWrap/>
            <w:tcMar>
              <w:top w:w="15" w:type="dxa"/>
              <w:left w:w="15" w:type="dxa"/>
              <w:right w:w="15" w:type="dxa"/>
            </w:tcMar>
            <w:vAlign w:val="center"/>
          </w:tcPr>
          <w:p w14:paraId="2E700517">
            <w:pPr>
              <w:rPr>
                <w:rFonts w:hint="eastAsia" w:ascii="宋体" w:hAnsi="宋体" w:eastAsia="宋体" w:cs="宋体"/>
                <w:i w:val="0"/>
                <w:color w:val="auto"/>
                <w:sz w:val="22"/>
                <w:szCs w:val="22"/>
                <w:highlight w:val="none"/>
                <w:u w:val="none"/>
              </w:rPr>
            </w:pPr>
          </w:p>
        </w:tc>
        <w:tc>
          <w:tcPr>
            <w:tcW w:w="433" w:type="dxa"/>
            <w:tcBorders>
              <w:top w:val="nil"/>
              <w:left w:val="nil"/>
              <w:bottom w:val="nil"/>
              <w:right w:val="nil"/>
            </w:tcBorders>
            <w:shd w:val="clear" w:color="auto" w:fill="auto"/>
            <w:noWrap/>
            <w:tcMar>
              <w:top w:w="15" w:type="dxa"/>
              <w:left w:w="15" w:type="dxa"/>
              <w:right w:w="15" w:type="dxa"/>
            </w:tcMar>
            <w:vAlign w:val="center"/>
          </w:tcPr>
          <w:p w14:paraId="03E92645">
            <w:pPr>
              <w:rPr>
                <w:rFonts w:hint="eastAsia" w:ascii="宋体" w:hAnsi="宋体" w:eastAsia="宋体" w:cs="宋体"/>
                <w:i w:val="0"/>
                <w:color w:val="auto"/>
                <w:sz w:val="22"/>
                <w:szCs w:val="22"/>
                <w:highlight w:val="none"/>
                <w:u w:val="none"/>
              </w:rPr>
            </w:pPr>
          </w:p>
        </w:tc>
        <w:tc>
          <w:tcPr>
            <w:tcW w:w="450" w:type="dxa"/>
            <w:tcBorders>
              <w:top w:val="nil"/>
              <w:left w:val="nil"/>
              <w:bottom w:val="nil"/>
              <w:right w:val="nil"/>
            </w:tcBorders>
            <w:shd w:val="clear" w:color="auto" w:fill="auto"/>
            <w:noWrap/>
            <w:tcMar>
              <w:top w:w="15" w:type="dxa"/>
              <w:left w:w="15" w:type="dxa"/>
              <w:right w:w="15" w:type="dxa"/>
            </w:tcMar>
            <w:vAlign w:val="center"/>
          </w:tcPr>
          <w:p w14:paraId="24A8CF2F">
            <w:pPr>
              <w:rPr>
                <w:rFonts w:hint="eastAsia" w:ascii="宋体" w:hAnsi="宋体" w:eastAsia="宋体" w:cs="宋体"/>
                <w:i w:val="0"/>
                <w:color w:val="auto"/>
                <w:sz w:val="22"/>
                <w:szCs w:val="22"/>
                <w:highlight w:val="none"/>
                <w:u w:val="none"/>
              </w:rPr>
            </w:pPr>
          </w:p>
        </w:tc>
        <w:tc>
          <w:tcPr>
            <w:tcW w:w="90" w:type="dxa"/>
            <w:tcBorders>
              <w:top w:val="nil"/>
              <w:left w:val="nil"/>
              <w:bottom w:val="nil"/>
              <w:right w:val="nil"/>
            </w:tcBorders>
            <w:shd w:val="clear" w:color="auto" w:fill="auto"/>
            <w:noWrap/>
            <w:tcMar>
              <w:top w:w="15" w:type="dxa"/>
              <w:left w:w="15" w:type="dxa"/>
              <w:right w:w="15" w:type="dxa"/>
            </w:tcMar>
            <w:vAlign w:val="center"/>
          </w:tcPr>
          <w:p w14:paraId="22C8A70C">
            <w:pPr>
              <w:rPr>
                <w:rFonts w:hint="eastAsia" w:ascii="宋体" w:hAnsi="宋体" w:eastAsia="宋体" w:cs="宋体"/>
                <w:i w:val="0"/>
                <w:color w:val="auto"/>
                <w:sz w:val="22"/>
                <w:szCs w:val="22"/>
                <w:highlight w:val="none"/>
                <w:u w:val="none"/>
              </w:rPr>
            </w:pPr>
          </w:p>
        </w:tc>
        <w:tc>
          <w:tcPr>
            <w:tcW w:w="166" w:type="dxa"/>
            <w:tcBorders>
              <w:top w:val="nil"/>
              <w:left w:val="nil"/>
              <w:bottom w:val="nil"/>
              <w:right w:val="nil"/>
            </w:tcBorders>
            <w:shd w:val="clear" w:color="auto" w:fill="auto"/>
            <w:noWrap/>
            <w:tcMar>
              <w:top w:w="15" w:type="dxa"/>
              <w:left w:w="15" w:type="dxa"/>
              <w:right w:w="15" w:type="dxa"/>
            </w:tcMar>
            <w:vAlign w:val="center"/>
          </w:tcPr>
          <w:p w14:paraId="6252D6EF">
            <w:pPr>
              <w:rPr>
                <w:rFonts w:hint="eastAsia" w:ascii="宋体" w:hAnsi="宋体" w:eastAsia="宋体" w:cs="宋体"/>
                <w:i w:val="0"/>
                <w:color w:val="auto"/>
                <w:sz w:val="22"/>
                <w:szCs w:val="22"/>
                <w:highlight w:val="none"/>
                <w:u w:val="none"/>
              </w:rPr>
            </w:pPr>
          </w:p>
        </w:tc>
        <w:tc>
          <w:tcPr>
            <w:tcW w:w="166" w:type="dxa"/>
            <w:gridSpan w:val="2"/>
            <w:tcBorders>
              <w:top w:val="nil"/>
              <w:left w:val="nil"/>
              <w:bottom w:val="nil"/>
              <w:right w:val="nil"/>
            </w:tcBorders>
            <w:shd w:val="clear" w:color="auto" w:fill="auto"/>
            <w:noWrap/>
            <w:tcMar>
              <w:top w:w="15" w:type="dxa"/>
              <w:left w:w="15" w:type="dxa"/>
              <w:right w:w="15" w:type="dxa"/>
            </w:tcMar>
            <w:vAlign w:val="center"/>
          </w:tcPr>
          <w:p w14:paraId="302957B7">
            <w:pPr>
              <w:rPr>
                <w:rFonts w:hint="eastAsia" w:ascii="宋体" w:hAnsi="宋体" w:eastAsia="宋体" w:cs="宋体"/>
                <w:i w:val="0"/>
                <w:color w:val="auto"/>
                <w:sz w:val="22"/>
                <w:szCs w:val="22"/>
                <w:highlight w:val="none"/>
                <w:u w:val="none"/>
              </w:rPr>
            </w:pPr>
          </w:p>
        </w:tc>
        <w:tc>
          <w:tcPr>
            <w:tcW w:w="166" w:type="dxa"/>
            <w:tcBorders>
              <w:top w:val="nil"/>
              <w:left w:val="nil"/>
              <w:bottom w:val="nil"/>
              <w:right w:val="nil"/>
            </w:tcBorders>
            <w:shd w:val="clear" w:color="auto" w:fill="auto"/>
            <w:noWrap/>
            <w:tcMar>
              <w:top w:w="15" w:type="dxa"/>
              <w:left w:w="15" w:type="dxa"/>
              <w:right w:w="15" w:type="dxa"/>
            </w:tcMar>
            <w:vAlign w:val="center"/>
          </w:tcPr>
          <w:p w14:paraId="2B4F1E34">
            <w:pPr>
              <w:rPr>
                <w:rFonts w:hint="eastAsia" w:ascii="宋体" w:hAnsi="宋体" w:eastAsia="宋体" w:cs="宋体"/>
                <w:i w:val="0"/>
                <w:color w:val="auto"/>
                <w:sz w:val="22"/>
                <w:szCs w:val="22"/>
                <w:highlight w:val="none"/>
                <w:u w:val="none"/>
              </w:rPr>
            </w:pPr>
          </w:p>
        </w:tc>
        <w:tc>
          <w:tcPr>
            <w:tcW w:w="166" w:type="dxa"/>
            <w:tcBorders>
              <w:top w:val="nil"/>
              <w:left w:val="nil"/>
              <w:bottom w:val="nil"/>
              <w:right w:val="nil"/>
            </w:tcBorders>
            <w:shd w:val="clear" w:color="auto" w:fill="auto"/>
            <w:noWrap/>
            <w:tcMar>
              <w:top w:w="15" w:type="dxa"/>
              <w:left w:w="15" w:type="dxa"/>
              <w:right w:w="15" w:type="dxa"/>
            </w:tcMar>
            <w:vAlign w:val="center"/>
          </w:tcPr>
          <w:p w14:paraId="7DB0ECD3">
            <w:pPr>
              <w:rPr>
                <w:rFonts w:hint="eastAsia" w:ascii="宋体" w:hAnsi="宋体" w:eastAsia="宋体" w:cs="宋体"/>
                <w:i w:val="0"/>
                <w:color w:val="auto"/>
                <w:sz w:val="22"/>
                <w:szCs w:val="22"/>
                <w:highlight w:val="none"/>
                <w:u w:val="none"/>
              </w:rPr>
            </w:pPr>
          </w:p>
        </w:tc>
        <w:tc>
          <w:tcPr>
            <w:tcW w:w="166" w:type="dxa"/>
            <w:gridSpan w:val="2"/>
            <w:tcBorders>
              <w:top w:val="nil"/>
              <w:left w:val="nil"/>
              <w:bottom w:val="nil"/>
              <w:right w:val="nil"/>
            </w:tcBorders>
            <w:shd w:val="clear" w:color="auto" w:fill="auto"/>
            <w:noWrap/>
            <w:tcMar>
              <w:top w:w="15" w:type="dxa"/>
              <w:left w:w="15" w:type="dxa"/>
              <w:right w:w="15" w:type="dxa"/>
            </w:tcMar>
            <w:vAlign w:val="center"/>
          </w:tcPr>
          <w:p w14:paraId="1F241735">
            <w:pPr>
              <w:rPr>
                <w:rFonts w:hint="eastAsia" w:ascii="宋体" w:hAnsi="宋体" w:eastAsia="宋体" w:cs="宋体"/>
                <w:i w:val="0"/>
                <w:color w:val="auto"/>
                <w:sz w:val="22"/>
                <w:szCs w:val="22"/>
                <w:highlight w:val="none"/>
                <w:u w:val="none"/>
              </w:rPr>
            </w:pPr>
          </w:p>
        </w:tc>
        <w:tc>
          <w:tcPr>
            <w:tcW w:w="166" w:type="dxa"/>
            <w:gridSpan w:val="2"/>
            <w:tcBorders>
              <w:top w:val="nil"/>
              <w:left w:val="nil"/>
              <w:bottom w:val="nil"/>
              <w:right w:val="nil"/>
            </w:tcBorders>
            <w:shd w:val="clear" w:color="auto" w:fill="auto"/>
            <w:noWrap/>
            <w:tcMar>
              <w:top w:w="15" w:type="dxa"/>
              <w:left w:w="15" w:type="dxa"/>
              <w:right w:w="15" w:type="dxa"/>
            </w:tcMar>
            <w:vAlign w:val="center"/>
          </w:tcPr>
          <w:p w14:paraId="1921FF47">
            <w:pPr>
              <w:rPr>
                <w:rFonts w:hint="eastAsia" w:ascii="宋体" w:hAnsi="宋体" w:eastAsia="宋体" w:cs="宋体"/>
                <w:i w:val="0"/>
                <w:color w:val="auto"/>
                <w:sz w:val="22"/>
                <w:szCs w:val="22"/>
                <w:highlight w:val="none"/>
                <w:u w:val="none"/>
              </w:rPr>
            </w:pPr>
          </w:p>
        </w:tc>
        <w:tc>
          <w:tcPr>
            <w:tcW w:w="166" w:type="dxa"/>
            <w:gridSpan w:val="2"/>
            <w:tcBorders>
              <w:top w:val="nil"/>
              <w:left w:val="nil"/>
              <w:bottom w:val="nil"/>
              <w:right w:val="nil"/>
            </w:tcBorders>
            <w:shd w:val="clear" w:color="auto" w:fill="auto"/>
            <w:noWrap/>
            <w:tcMar>
              <w:top w:w="15" w:type="dxa"/>
              <w:left w:w="15" w:type="dxa"/>
              <w:right w:w="15" w:type="dxa"/>
            </w:tcMar>
            <w:vAlign w:val="center"/>
          </w:tcPr>
          <w:p w14:paraId="0A8FE45A">
            <w:pPr>
              <w:rPr>
                <w:rFonts w:hint="eastAsia" w:ascii="宋体" w:hAnsi="宋体" w:eastAsia="宋体" w:cs="宋体"/>
                <w:i w:val="0"/>
                <w:color w:val="auto"/>
                <w:sz w:val="22"/>
                <w:szCs w:val="22"/>
                <w:highlight w:val="none"/>
                <w:u w:val="none"/>
              </w:rPr>
            </w:pPr>
          </w:p>
        </w:tc>
        <w:tc>
          <w:tcPr>
            <w:tcW w:w="166" w:type="dxa"/>
            <w:tcBorders>
              <w:top w:val="nil"/>
              <w:left w:val="nil"/>
              <w:bottom w:val="nil"/>
              <w:right w:val="nil"/>
            </w:tcBorders>
            <w:shd w:val="clear" w:color="auto" w:fill="auto"/>
            <w:noWrap/>
            <w:tcMar>
              <w:top w:w="15" w:type="dxa"/>
              <w:left w:w="15" w:type="dxa"/>
              <w:right w:w="15" w:type="dxa"/>
            </w:tcMar>
            <w:vAlign w:val="center"/>
          </w:tcPr>
          <w:p w14:paraId="2308EF3F">
            <w:pPr>
              <w:rPr>
                <w:rFonts w:hint="eastAsia" w:ascii="宋体" w:hAnsi="宋体" w:eastAsia="宋体" w:cs="宋体"/>
                <w:i w:val="0"/>
                <w:color w:val="auto"/>
                <w:sz w:val="22"/>
                <w:szCs w:val="22"/>
                <w:highlight w:val="none"/>
                <w:u w:val="none"/>
              </w:rPr>
            </w:pPr>
          </w:p>
        </w:tc>
        <w:tc>
          <w:tcPr>
            <w:tcW w:w="2018" w:type="dxa"/>
            <w:gridSpan w:val="5"/>
            <w:tcBorders>
              <w:top w:val="nil"/>
              <w:left w:val="nil"/>
              <w:bottom w:val="nil"/>
              <w:right w:val="nil"/>
            </w:tcBorders>
            <w:shd w:val="clear" w:color="auto" w:fill="auto"/>
            <w:noWrap/>
            <w:tcMar>
              <w:top w:w="15" w:type="dxa"/>
              <w:left w:w="15" w:type="dxa"/>
              <w:right w:w="15" w:type="dxa"/>
            </w:tcMar>
            <w:vAlign w:val="center"/>
          </w:tcPr>
          <w:p w14:paraId="118CD164">
            <w:pPr>
              <w:keepNext w:val="0"/>
              <w:keepLines w:val="0"/>
              <w:widowControl/>
              <w:suppressLineNumbers w:val="0"/>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金额单位：</w:t>
            </w:r>
            <w:r>
              <w:rPr>
                <w:rFonts w:hint="eastAsia" w:ascii="宋体" w:hAnsi="宋体" w:eastAsia="宋体" w:cs="宋体"/>
                <w:i w:val="0"/>
                <w:color w:val="auto"/>
                <w:kern w:val="0"/>
                <w:sz w:val="18"/>
                <w:szCs w:val="18"/>
                <w:highlight w:val="none"/>
                <w:u w:val="none"/>
                <w:lang w:val="en-US" w:eastAsia="zh-CN" w:bidi="ar"/>
              </w:rPr>
              <w:t>万</w:t>
            </w:r>
            <w:r>
              <w:rPr>
                <w:rFonts w:ascii="宋体" w:hAnsi="宋体" w:eastAsia="宋体" w:cs="宋体"/>
                <w:i w:val="0"/>
                <w:color w:val="auto"/>
                <w:kern w:val="0"/>
                <w:sz w:val="18"/>
                <w:szCs w:val="18"/>
                <w:highlight w:val="none"/>
                <w:u w:val="none"/>
                <w:lang w:val="en-US" w:eastAsia="zh-CN" w:bidi="ar"/>
              </w:rPr>
              <w:t>元</w:t>
            </w:r>
          </w:p>
        </w:tc>
      </w:tr>
      <w:tr w14:paraId="66B9E03D">
        <w:tblPrEx>
          <w:tblCellMar>
            <w:top w:w="0" w:type="dxa"/>
            <w:left w:w="0" w:type="dxa"/>
            <w:bottom w:w="0" w:type="dxa"/>
            <w:right w:w="0" w:type="dxa"/>
          </w:tblCellMar>
        </w:tblPrEx>
        <w:trPr>
          <w:trHeight w:val="2184"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DDC4">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部门单位</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F70F6">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项目编码</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EE19">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项目名称</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3760">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功能科目</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0120">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政府经济科目</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33135">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部门经济科目</w:t>
            </w:r>
          </w:p>
        </w:tc>
        <w:tc>
          <w:tcPr>
            <w:tcW w:w="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9BD1">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是否政府采购</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101CE">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项目状态</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CEC8">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总计</w:t>
            </w:r>
          </w:p>
        </w:tc>
        <w:tc>
          <w:tcPr>
            <w:tcW w:w="12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CB4B">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一般公共预算</w:t>
            </w:r>
          </w:p>
        </w:tc>
        <w:tc>
          <w:tcPr>
            <w:tcW w:w="498"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3DFCA8">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政府性基金预算</w:t>
            </w:r>
          </w:p>
        </w:tc>
        <w:tc>
          <w:tcPr>
            <w:tcW w:w="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81AE">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国有资本经营预算</w:t>
            </w:r>
          </w:p>
        </w:tc>
        <w:tc>
          <w:tcPr>
            <w:tcW w:w="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1031">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财政专户管理资金</w:t>
            </w:r>
          </w:p>
        </w:tc>
        <w:tc>
          <w:tcPr>
            <w:tcW w:w="227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BACD">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单位资金</w:t>
            </w:r>
          </w:p>
        </w:tc>
      </w:tr>
      <w:tr w14:paraId="42BFF992">
        <w:tblPrEx>
          <w:tblCellMar>
            <w:top w:w="0" w:type="dxa"/>
            <w:left w:w="0" w:type="dxa"/>
            <w:bottom w:w="0" w:type="dxa"/>
            <w:right w:w="0" w:type="dxa"/>
          </w:tblCellMar>
        </w:tblPrEx>
        <w:trPr>
          <w:trHeight w:val="3057"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62C5">
            <w:pPr>
              <w:jc w:val="center"/>
              <w:rPr>
                <w:rFonts w:hint="eastAsia" w:ascii="宋体" w:hAnsi="宋体" w:eastAsia="宋体" w:cs="宋体"/>
                <w:i w:val="0"/>
                <w:color w:val="auto"/>
                <w:sz w:val="18"/>
                <w:szCs w:val="18"/>
                <w:highlight w:val="none"/>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9A2BE">
            <w:pPr>
              <w:jc w:val="center"/>
              <w:rPr>
                <w:rFonts w:hint="eastAsia" w:ascii="宋体" w:hAnsi="宋体" w:eastAsia="宋体" w:cs="宋体"/>
                <w:i w:val="0"/>
                <w:color w:val="auto"/>
                <w:sz w:val="18"/>
                <w:szCs w:val="18"/>
                <w:highlight w:val="none"/>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124F">
            <w:pPr>
              <w:jc w:val="center"/>
              <w:rPr>
                <w:rFonts w:hint="eastAsia" w:ascii="宋体" w:hAnsi="宋体" w:eastAsia="宋体" w:cs="宋体"/>
                <w:i w:val="0"/>
                <w:color w:val="auto"/>
                <w:sz w:val="18"/>
                <w:szCs w:val="18"/>
                <w:highlight w:val="none"/>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75E6">
            <w:pPr>
              <w:jc w:val="center"/>
              <w:rPr>
                <w:rFonts w:hint="eastAsia" w:ascii="宋体" w:hAnsi="宋体" w:eastAsia="宋体" w:cs="宋体"/>
                <w:i w:val="0"/>
                <w:color w:val="auto"/>
                <w:sz w:val="18"/>
                <w:szCs w:val="18"/>
                <w:highlight w:val="none"/>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F42E">
            <w:pPr>
              <w:jc w:val="center"/>
              <w:rPr>
                <w:rFonts w:hint="eastAsia" w:ascii="宋体" w:hAnsi="宋体" w:eastAsia="宋体" w:cs="宋体"/>
                <w:i w:val="0"/>
                <w:color w:val="auto"/>
                <w:sz w:val="18"/>
                <w:szCs w:val="18"/>
                <w:highlight w:val="none"/>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ABB0">
            <w:pPr>
              <w:jc w:val="center"/>
              <w:rPr>
                <w:rFonts w:hint="eastAsia" w:ascii="宋体" w:hAnsi="宋体" w:eastAsia="宋体" w:cs="宋体"/>
                <w:i w:val="0"/>
                <w:color w:val="auto"/>
                <w:sz w:val="18"/>
                <w:szCs w:val="18"/>
                <w:highlight w:val="none"/>
                <w:u w:val="none"/>
              </w:rPr>
            </w:pPr>
          </w:p>
        </w:tc>
        <w:tc>
          <w:tcPr>
            <w:tcW w:w="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8C27">
            <w:pPr>
              <w:jc w:val="center"/>
              <w:rPr>
                <w:rFonts w:hint="eastAsia" w:ascii="宋体" w:hAnsi="宋体" w:eastAsia="宋体" w:cs="宋体"/>
                <w:i w:val="0"/>
                <w:color w:val="auto"/>
                <w:sz w:val="18"/>
                <w:szCs w:val="18"/>
                <w:highlight w:val="none"/>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8F35C">
            <w:pPr>
              <w:jc w:val="center"/>
              <w:rPr>
                <w:rFonts w:hint="eastAsia" w:ascii="宋体" w:hAnsi="宋体" w:eastAsia="宋体" w:cs="宋体"/>
                <w:i w:val="0"/>
                <w:color w:val="auto"/>
                <w:sz w:val="18"/>
                <w:szCs w:val="18"/>
                <w:highlight w:val="none"/>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DCB2">
            <w:pPr>
              <w:jc w:val="center"/>
              <w:rPr>
                <w:rFonts w:hint="eastAsia" w:ascii="宋体" w:hAnsi="宋体" w:eastAsia="宋体" w:cs="宋体"/>
                <w:i w:val="0"/>
                <w:color w:val="auto"/>
                <w:sz w:val="18"/>
                <w:szCs w:val="18"/>
                <w:highlight w:val="none"/>
                <w:u w:val="none"/>
              </w:rPr>
            </w:pPr>
          </w:p>
        </w:tc>
        <w:tc>
          <w:tcPr>
            <w:tcW w:w="43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E7E9">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小计</w:t>
            </w:r>
          </w:p>
        </w:tc>
        <w:tc>
          <w:tcPr>
            <w:tcW w:w="4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92C87">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一般公共预算资金</w:t>
            </w:r>
          </w:p>
        </w:tc>
        <w:tc>
          <w:tcPr>
            <w:tcW w:w="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911A">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一般债券</w:t>
            </w:r>
          </w:p>
        </w:tc>
        <w:tc>
          <w:tcPr>
            <w:tcW w:w="1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D4F2">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外国政府和国际组织贷款</w:t>
            </w:r>
          </w:p>
        </w:tc>
        <w:tc>
          <w:tcPr>
            <w:tcW w:w="16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D95F">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外国政府和国际组织赠款</w:t>
            </w:r>
          </w:p>
        </w:tc>
        <w:tc>
          <w:tcPr>
            <w:tcW w:w="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2A5BB">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小计</w:t>
            </w:r>
          </w:p>
        </w:tc>
        <w:tc>
          <w:tcPr>
            <w:tcW w:w="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DCAA">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政府性基金预算</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921C">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专项债券</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5438">
            <w:pPr>
              <w:jc w:val="center"/>
              <w:rPr>
                <w:rFonts w:hint="eastAsia" w:ascii="宋体" w:hAnsi="宋体" w:eastAsia="宋体" w:cs="宋体"/>
                <w:i w:val="0"/>
                <w:color w:val="auto"/>
                <w:sz w:val="18"/>
                <w:szCs w:val="18"/>
                <w:highlight w:val="none"/>
                <w:u w:val="none"/>
              </w:rPr>
            </w:pP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2B162">
            <w:pPr>
              <w:jc w:val="center"/>
              <w:rPr>
                <w:rFonts w:hint="eastAsia" w:ascii="宋体" w:hAnsi="宋体" w:eastAsia="宋体" w:cs="宋体"/>
                <w:i w:val="0"/>
                <w:color w:val="auto"/>
                <w:sz w:val="18"/>
                <w:szCs w:val="18"/>
                <w:highlight w:val="none"/>
                <w:u w:val="none"/>
              </w:rPr>
            </w:pPr>
          </w:p>
        </w:tc>
        <w:tc>
          <w:tcPr>
            <w:tcW w:w="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2A296">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小计</w:t>
            </w:r>
          </w:p>
        </w:tc>
        <w:tc>
          <w:tcPr>
            <w:tcW w:w="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B8FA3">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事业收入资金</w:t>
            </w:r>
          </w:p>
        </w:tc>
        <w:tc>
          <w:tcPr>
            <w:tcW w:w="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8191">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上级补助收入资金</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12976">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附属单位上缴收入资金</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6DED">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事业单位经营收入资金</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02059">
            <w:pPr>
              <w:keepNext w:val="0"/>
              <w:keepLines w:val="0"/>
              <w:widowControl/>
              <w:suppressLineNumbers w:val="0"/>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其他收入资金</w:t>
            </w:r>
          </w:p>
        </w:tc>
      </w:tr>
      <w:tr w14:paraId="798A08FC">
        <w:tblPrEx>
          <w:tblCellMar>
            <w:top w:w="0" w:type="dxa"/>
            <w:left w:w="0" w:type="dxa"/>
            <w:bottom w:w="0" w:type="dxa"/>
            <w:right w:w="0" w:type="dxa"/>
          </w:tblCellMar>
        </w:tblPrEx>
        <w:trPr>
          <w:trHeight w:val="808"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95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10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highlight w:val="none"/>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54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highlight w:val="none"/>
                <w:u w:val="none"/>
              </w:rPr>
            </w:pPr>
          </w:p>
        </w:tc>
        <w:tc>
          <w:tcPr>
            <w:tcW w:w="653" w:type="dxa"/>
            <w:tcBorders>
              <w:top w:val="nil"/>
              <w:left w:val="nil"/>
              <w:bottom w:val="nil"/>
              <w:right w:val="nil"/>
            </w:tcBorders>
            <w:shd w:val="clear" w:color="auto" w:fill="auto"/>
            <w:noWrap/>
            <w:tcMar>
              <w:top w:w="15" w:type="dxa"/>
              <w:left w:w="15" w:type="dxa"/>
              <w:right w:w="15" w:type="dxa"/>
            </w:tcMar>
            <w:vAlign w:val="center"/>
          </w:tcPr>
          <w:p w14:paraId="07D4F103">
            <w:pPr>
              <w:keepNext w:val="0"/>
              <w:keepLines w:val="0"/>
              <w:pageBreakBefore w:val="0"/>
              <w:widowControl/>
              <w:kinsoku/>
              <w:wordWrap/>
              <w:overflowPunct/>
              <w:topLinePunct w:val="0"/>
              <w:autoSpaceDE/>
              <w:autoSpaceDN/>
              <w:bidi w:val="0"/>
              <w:adjustRightInd/>
              <w:snapToGrid/>
              <w:spacing w:line="240" w:lineRule="exact"/>
              <w:rPr>
                <w:rFonts w:hint="eastAsia" w:ascii="WenQuanYi Micro Hei" w:hAnsi="WenQuanYi Micro Hei" w:eastAsia="WenQuanYi Micro Hei" w:cs="WenQuanYi Micro Hei"/>
                <w:i w:val="0"/>
                <w:color w:val="auto"/>
                <w:sz w:val="18"/>
                <w:szCs w:val="18"/>
                <w:highlight w:val="none"/>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C6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highlight w:val="none"/>
                <w:u w:val="none"/>
              </w:rPr>
            </w:pPr>
          </w:p>
        </w:tc>
        <w:tc>
          <w:tcPr>
            <w:tcW w:w="439" w:type="dxa"/>
            <w:tcBorders>
              <w:top w:val="nil"/>
              <w:left w:val="nil"/>
              <w:bottom w:val="nil"/>
              <w:right w:val="nil"/>
            </w:tcBorders>
            <w:shd w:val="clear" w:color="auto" w:fill="auto"/>
            <w:noWrap/>
            <w:tcMar>
              <w:top w:w="15" w:type="dxa"/>
              <w:left w:w="15" w:type="dxa"/>
              <w:right w:w="15" w:type="dxa"/>
            </w:tcMar>
            <w:vAlign w:val="center"/>
          </w:tcPr>
          <w:p w14:paraId="477461D7">
            <w:pPr>
              <w:keepNext w:val="0"/>
              <w:keepLines w:val="0"/>
              <w:pageBreakBefore w:val="0"/>
              <w:widowControl/>
              <w:kinsoku/>
              <w:wordWrap/>
              <w:overflowPunct/>
              <w:topLinePunct w:val="0"/>
              <w:autoSpaceDE/>
              <w:autoSpaceDN/>
              <w:bidi w:val="0"/>
              <w:adjustRightInd/>
              <w:snapToGrid/>
              <w:spacing w:line="240" w:lineRule="exact"/>
              <w:rPr>
                <w:rFonts w:hint="default" w:ascii="WenQuanYi Micro Hei" w:hAnsi="WenQuanYi Micro Hei" w:eastAsia="WenQuanYi Micro Hei" w:cs="WenQuanYi Micro Hei"/>
                <w:i w:val="0"/>
                <w:color w:val="auto"/>
                <w:sz w:val="18"/>
                <w:szCs w:val="18"/>
                <w:highlight w:val="none"/>
                <w:u w:val="none"/>
              </w:rPr>
            </w:pP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36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highlight w:val="none"/>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28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合计：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6B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317.96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C2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317.96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7E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317.96</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4E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C6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16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2E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3E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FF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F0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BD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A1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E3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8F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7F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A2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A8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r>
      <w:tr w14:paraId="47487905">
        <w:tblPrEx>
          <w:tblCellMar>
            <w:top w:w="0" w:type="dxa"/>
            <w:left w:w="0" w:type="dxa"/>
            <w:bottom w:w="0" w:type="dxa"/>
            <w:right w:w="0" w:type="dxa"/>
          </w:tblCellMar>
        </w:tblPrEx>
        <w:trPr>
          <w:trHeight w:val="848"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AE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Dialog . plain" w:hAnsi="Dialog . plain" w:eastAsia="Dialog . plain" w:cs="Dialog . plain"/>
                <w:i w:val="0"/>
                <w:color w:val="auto"/>
                <w:kern w:val="0"/>
                <w:sz w:val="18"/>
                <w:szCs w:val="18"/>
                <w:highlight w:val="none"/>
                <w:u w:val="none"/>
                <w:lang w:val="en-US" w:eastAsia="zh-CN" w:bidi="ar"/>
              </w:rPr>
            </w:pPr>
            <w:r>
              <w:rPr>
                <w:rFonts w:ascii="Dialog . plain" w:hAnsi="Dialog . plain" w:eastAsia="Dialog . plain" w:cs="Dialog . plain"/>
                <w:i w:val="0"/>
                <w:color w:val="auto"/>
                <w:kern w:val="0"/>
                <w:sz w:val="18"/>
                <w:szCs w:val="18"/>
                <w:highlight w:val="none"/>
                <w:u w:val="none"/>
                <w:lang w:val="en-US" w:eastAsia="zh-CN" w:bidi="ar"/>
              </w:rPr>
              <w:t xml:space="preserve">  919001-重庆市九龙坡区人民政府渝州路街道办事处（本级）</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E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Dialog . plain" w:hAnsi="Dialog . plain" w:eastAsia="Dialog . plain" w:cs="Dialog . plain"/>
                <w:i w:val="0"/>
                <w:color w:val="auto"/>
                <w:kern w:val="0"/>
                <w:sz w:val="18"/>
                <w:szCs w:val="18"/>
                <w:highlight w:val="none"/>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B87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739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highlight w:val="none"/>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7F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highlight w:val="none"/>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46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highlight w:val="none"/>
                <w:u w:val="none"/>
              </w:rPr>
            </w:pP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D5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highlight w:val="none"/>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B7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highlight w:val="none"/>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A0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317.96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E5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317.96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F7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317.96</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F6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82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AF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CB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05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B2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7F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B5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88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A8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0E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76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C5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4A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r>
      <w:tr w14:paraId="6A95A47A">
        <w:tblPrEx>
          <w:tblCellMar>
            <w:top w:w="0" w:type="dxa"/>
            <w:left w:w="0" w:type="dxa"/>
            <w:bottom w:w="0" w:type="dxa"/>
            <w:right w:w="0" w:type="dxa"/>
          </w:tblCellMar>
        </w:tblPrEx>
        <w:trPr>
          <w:trHeight w:val="1740"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35A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Dialog . plain" w:hAnsi="Dialog . plain" w:eastAsia="Dialog . plain" w:cs="Dialog . plain"/>
                <w:i w:val="0"/>
                <w:color w:val="auto"/>
                <w:kern w:val="0"/>
                <w:sz w:val="18"/>
                <w:szCs w:val="18"/>
                <w:highlight w:val="none"/>
                <w:u w:val="none"/>
                <w:lang w:val="en-US" w:eastAsia="zh-CN" w:bidi="ar"/>
              </w:rPr>
              <w:t xml:space="preserve">   919001-重庆市九龙坡区人民政府渝州路街道办事处（本级）</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B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50010721Y000000026901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FF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公用经费综合定额（行政）</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7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2010301-行政运行</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C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50201-办公经费</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C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30201-办公费</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D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是</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D7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预算局确认已审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3B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12.22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5D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12.22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18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12.22</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5E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52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88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3C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3E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8A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F5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48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6D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08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51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81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8C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73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r>
      <w:tr w14:paraId="12808591">
        <w:tblPrEx>
          <w:tblCellMar>
            <w:top w:w="0" w:type="dxa"/>
            <w:left w:w="0" w:type="dxa"/>
            <w:bottom w:w="0" w:type="dxa"/>
            <w:right w:w="0" w:type="dxa"/>
          </w:tblCellMar>
        </w:tblPrEx>
        <w:trPr>
          <w:trHeight w:val="1068"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6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Dialog . plain" w:hAnsi="Dialog . plain" w:eastAsia="Dialog . plain" w:cs="Dialog . plain"/>
                <w:i w:val="0"/>
                <w:color w:val="auto"/>
                <w:kern w:val="0"/>
                <w:sz w:val="18"/>
                <w:szCs w:val="18"/>
                <w:highlight w:val="none"/>
                <w:u w:val="none"/>
                <w:lang w:val="en-US" w:eastAsia="zh-CN" w:bidi="ar"/>
              </w:rPr>
              <w:t xml:space="preserve">   919001-重庆市九龙坡区人民政府渝州路街道办事处（本级）</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4D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50010724T000004147637</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B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城市长效管理—清扫保洁经费</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AA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2120501-城乡社区环境卫生</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AE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50205-委托业务费</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2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30227-委托业务费</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E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是</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4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预算局确认已审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85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287.74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DF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287.74</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C8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287.74</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60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FE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8E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27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EA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A6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34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53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D0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66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57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1F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12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84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r>
      <w:tr w14:paraId="212395A2">
        <w:tblPrEx>
          <w:tblCellMar>
            <w:top w:w="0" w:type="dxa"/>
            <w:left w:w="0" w:type="dxa"/>
            <w:bottom w:w="0" w:type="dxa"/>
            <w:right w:w="0" w:type="dxa"/>
          </w:tblCellMar>
        </w:tblPrEx>
        <w:trPr>
          <w:trHeight w:val="1570"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3B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Dialog . plain" w:hAnsi="Dialog . plain" w:eastAsia="Dialog . plain" w:cs="Dialog . plain"/>
                <w:i w:val="0"/>
                <w:color w:val="auto"/>
                <w:kern w:val="0"/>
                <w:sz w:val="18"/>
                <w:szCs w:val="18"/>
                <w:highlight w:val="none"/>
                <w:u w:val="none"/>
                <w:lang w:val="en-US" w:eastAsia="zh-CN" w:bidi="ar"/>
              </w:rPr>
              <w:t xml:space="preserve">   919001-重庆市九龙坡区人民政府渝州路街道办事处（本级）</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8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50010725T000005007363</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64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行政单位公务用车购置</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B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2010399-其他政府办公厅（室）及相关机构事务支出</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10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50303-公务用车购置</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B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31013-公务用车购置</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8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是</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BF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预算局确认已审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AC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18.00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3B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18.00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26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18.00</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40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D7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E6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BA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7F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35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61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91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96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7F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23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56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F4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4D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 xml:space="preserve"> </w:t>
            </w:r>
          </w:p>
        </w:tc>
      </w:tr>
    </w:tbl>
    <w:p w14:paraId="3D677EA6">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0F09895E">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BA1172F">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17C91A3">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81B2C15">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6BF323AC">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1D9CFAB">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41A54EB1">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40950A42">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37B43AE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F75AB9A">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1CEFC1E1">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18D64FC5">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4DDC3B30">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3CA69E3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5191742">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D0EA3E3">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EE8DDA6">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4AE06935">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37445C96">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798D9D95">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812350C">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06A2F948">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A71A3FF">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4D34B160">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7C0EE88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1E0F9F4F">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9B25DE0">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33B56CB5">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00C452C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76355A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2D69DCAC">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0F609A6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44603FF6">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E4B44E5">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78DF7C6B">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4AF378A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6D3830DD">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5CC5C8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color w:val="auto"/>
          <w:highlight w:val="none"/>
          <w:lang w:val="en-US" w:eastAsia="zh-CN"/>
        </w:rPr>
      </w:pPr>
    </w:p>
    <w:p w14:paraId="5272A37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附件13</w:t>
      </w:r>
    </w:p>
    <w:tbl>
      <w:tblPr>
        <w:tblStyle w:val="4"/>
        <w:tblW w:w="9483" w:type="dxa"/>
        <w:jc w:val="center"/>
        <w:shd w:val="clear" w:color="auto" w:fill="auto"/>
        <w:tblLayout w:type="fixed"/>
        <w:tblCellMar>
          <w:top w:w="0" w:type="dxa"/>
          <w:left w:w="0" w:type="dxa"/>
          <w:bottom w:w="0" w:type="dxa"/>
          <w:right w:w="0" w:type="dxa"/>
        </w:tblCellMar>
      </w:tblPr>
      <w:tblGrid>
        <w:gridCol w:w="914"/>
        <w:gridCol w:w="667"/>
        <w:gridCol w:w="1700"/>
        <w:gridCol w:w="800"/>
        <w:gridCol w:w="506"/>
        <w:gridCol w:w="897"/>
        <w:gridCol w:w="408"/>
        <w:gridCol w:w="480"/>
        <w:gridCol w:w="212"/>
        <w:gridCol w:w="390"/>
        <w:gridCol w:w="505"/>
        <w:gridCol w:w="503"/>
        <w:gridCol w:w="504"/>
        <w:gridCol w:w="504"/>
        <w:gridCol w:w="493"/>
      </w:tblGrid>
      <w:tr w14:paraId="2DBC1B10">
        <w:tblPrEx>
          <w:shd w:val="clear" w:color="auto" w:fill="auto"/>
          <w:tblCellMar>
            <w:top w:w="0" w:type="dxa"/>
            <w:left w:w="0" w:type="dxa"/>
            <w:bottom w:w="0" w:type="dxa"/>
            <w:right w:w="0" w:type="dxa"/>
          </w:tblCellMar>
        </w:tblPrEx>
        <w:trPr>
          <w:trHeight w:val="995" w:hRule="atLeast"/>
          <w:jc w:val="center"/>
        </w:trPr>
        <w:tc>
          <w:tcPr>
            <w:tcW w:w="9483"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61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等线" w:hAnsi="等线" w:eastAsia="等线" w:cs="等线"/>
                <w:b/>
                <w:i w:val="0"/>
                <w:color w:val="auto"/>
                <w:sz w:val="24"/>
                <w:szCs w:val="24"/>
                <w:highlight w:val="none"/>
                <w:u w:val="none"/>
              </w:rPr>
            </w:pPr>
            <w:r>
              <w:rPr>
                <w:rFonts w:hint="eastAsia" w:ascii="方正小标宋_GBK" w:hAnsi="方正小标宋_GBK" w:eastAsia="方正小标宋_GBK" w:cs="方正小标宋_GBK"/>
                <w:color w:val="auto"/>
                <w:szCs w:val="32"/>
                <w:highlight w:val="none"/>
              </w:rPr>
              <w:t>2025年九龙坡区</w:t>
            </w:r>
            <w:r>
              <w:rPr>
                <w:rFonts w:hint="eastAsia" w:ascii="方正小标宋_GBK" w:hAnsi="方正小标宋_GBK" w:eastAsia="方正小标宋_GBK" w:cs="方正小标宋_GBK"/>
                <w:color w:val="auto"/>
                <w:szCs w:val="32"/>
                <w:highlight w:val="none"/>
                <w:lang w:val="en-US" w:eastAsia="zh-CN"/>
              </w:rPr>
              <w:t>渝州路街道</w:t>
            </w:r>
            <w:r>
              <w:rPr>
                <w:rFonts w:hint="eastAsia" w:ascii="方正小标宋_GBK" w:hAnsi="方正小标宋_GBK" w:eastAsia="方正小标宋_GBK" w:cs="方正小标宋_GBK"/>
                <w:color w:val="auto"/>
                <w:szCs w:val="32"/>
                <w:highlight w:val="none"/>
              </w:rPr>
              <w:t>项目绩效目标表</w:t>
            </w:r>
          </w:p>
        </w:tc>
      </w:tr>
      <w:tr w14:paraId="25A062BE">
        <w:tblPrEx>
          <w:tblCellMar>
            <w:top w:w="0" w:type="dxa"/>
            <w:left w:w="0" w:type="dxa"/>
            <w:bottom w:w="0" w:type="dxa"/>
            <w:right w:w="0" w:type="dxa"/>
          </w:tblCellMar>
        </w:tblPrEx>
        <w:trPr>
          <w:trHeight w:val="671"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9443">
            <w:pPr>
              <w:keepNext w:val="0"/>
              <w:keepLines w:val="0"/>
              <w:widowControl/>
              <w:suppressLineNumbers w:val="0"/>
              <w:jc w:val="lef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单位信息：</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4076">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919001-重庆市九龙坡区人民政府渝州路街道办事处（本级）</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D096">
            <w:pPr>
              <w:keepNext w:val="0"/>
              <w:keepLines w:val="0"/>
              <w:widowControl/>
              <w:suppressLineNumbers w:val="0"/>
              <w:jc w:val="lef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项目名称：</w:t>
            </w:r>
          </w:p>
        </w:tc>
        <w:tc>
          <w:tcPr>
            <w:tcW w:w="250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F45B">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城镇危房动态监测工作经费</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94DE">
            <w:pPr>
              <w:keepNext w:val="0"/>
              <w:keepLines w:val="0"/>
              <w:widowControl/>
              <w:suppressLineNumbers w:val="0"/>
              <w:jc w:val="righ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职能职责与活动：</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C95F">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1201-规划建设和环保工作/01-规划建设和环保工作</w:t>
            </w:r>
          </w:p>
        </w:tc>
      </w:tr>
      <w:tr w14:paraId="3C2842EC">
        <w:tblPrEx>
          <w:tblCellMar>
            <w:top w:w="0" w:type="dxa"/>
            <w:left w:w="0" w:type="dxa"/>
            <w:bottom w:w="0" w:type="dxa"/>
            <w:right w:w="0" w:type="dxa"/>
          </w:tblCellMar>
        </w:tblPrEx>
        <w:trPr>
          <w:trHeight w:val="671"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BC3D">
            <w:pPr>
              <w:keepNext w:val="0"/>
              <w:keepLines w:val="0"/>
              <w:widowControl/>
              <w:suppressLineNumbers w:val="0"/>
              <w:jc w:val="lef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主管部门：</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3EB8">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919-重庆市九龙坡区人民政府渝州路街道办事处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4FDA">
            <w:pPr>
              <w:keepNext w:val="0"/>
              <w:keepLines w:val="0"/>
              <w:widowControl/>
              <w:suppressLineNumbers w:val="0"/>
              <w:jc w:val="lef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项目经办人：</w:t>
            </w:r>
          </w:p>
        </w:tc>
        <w:tc>
          <w:tcPr>
            <w:tcW w:w="250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2593">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张斌</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DAA0">
            <w:pPr>
              <w:keepNext w:val="0"/>
              <w:keepLines w:val="0"/>
              <w:widowControl/>
              <w:suppressLineNumbers w:val="0"/>
              <w:jc w:val="righ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项目总额：</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FF769">
            <w:pPr>
              <w:keepNext w:val="0"/>
              <w:keepLines w:val="0"/>
              <w:widowControl/>
              <w:suppressLineNumbers w:val="0"/>
              <w:jc w:val="righ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9000</w:t>
            </w:r>
          </w:p>
        </w:tc>
      </w:tr>
      <w:tr w14:paraId="17EC481F">
        <w:tblPrEx>
          <w:tblCellMar>
            <w:top w:w="0" w:type="dxa"/>
            <w:left w:w="0" w:type="dxa"/>
            <w:bottom w:w="0" w:type="dxa"/>
            <w:right w:w="0" w:type="dxa"/>
          </w:tblCellMar>
        </w:tblPrEx>
        <w:trPr>
          <w:trHeight w:val="671"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96C8">
            <w:pPr>
              <w:keepNext w:val="0"/>
              <w:keepLines w:val="0"/>
              <w:widowControl/>
              <w:suppressLineNumbers w:val="0"/>
              <w:jc w:val="lef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预算执行率权重(%)：</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C9D3">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E658">
            <w:pPr>
              <w:keepNext w:val="0"/>
              <w:keepLines w:val="0"/>
              <w:widowControl/>
              <w:suppressLineNumbers w:val="0"/>
              <w:jc w:val="lef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项目经办人电话：</w:t>
            </w:r>
          </w:p>
        </w:tc>
        <w:tc>
          <w:tcPr>
            <w:tcW w:w="250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3888">
            <w:pPr>
              <w:jc w:val="left"/>
              <w:rPr>
                <w:rFonts w:hint="eastAsia" w:ascii="等线" w:hAnsi="等线" w:eastAsia="等线" w:cs="等线"/>
                <w:i w:val="0"/>
                <w:color w:val="auto"/>
                <w:sz w:val="18"/>
                <w:szCs w:val="18"/>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0BA9">
            <w:pPr>
              <w:keepNext w:val="0"/>
              <w:keepLines w:val="0"/>
              <w:widowControl/>
              <w:suppressLineNumbers w:val="0"/>
              <w:jc w:val="righ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其中：</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CE26">
            <w:pPr>
              <w:keepNext w:val="0"/>
              <w:keepLines w:val="0"/>
              <w:widowControl/>
              <w:suppressLineNumbers w:val="0"/>
              <w:jc w:val="righ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财政资金：</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16E5">
            <w:pPr>
              <w:keepNext w:val="0"/>
              <w:keepLines w:val="0"/>
              <w:widowControl/>
              <w:suppressLineNumbers w:val="0"/>
              <w:jc w:val="righ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 xml:space="preserve">9000 </w:t>
            </w:r>
          </w:p>
        </w:tc>
      </w:tr>
      <w:tr w14:paraId="0D54D2DA">
        <w:tblPrEx>
          <w:tblCellMar>
            <w:top w:w="0" w:type="dxa"/>
            <w:left w:w="0" w:type="dxa"/>
            <w:bottom w:w="0" w:type="dxa"/>
            <w:right w:w="0" w:type="dxa"/>
          </w:tblCellMar>
        </w:tblPrEx>
        <w:trPr>
          <w:trHeight w:val="671" w:hRule="atLeast"/>
          <w:jc w:val="center"/>
        </w:trPr>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E7ADB1">
            <w:pPr>
              <w:keepNext w:val="0"/>
              <w:keepLines w:val="0"/>
              <w:widowControl/>
              <w:suppressLineNumbers w:val="0"/>
              <w:jc w:val="left"/>
              <w:textAlignment w:val="top"/>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整体目标：</w:t>
            </w:r>
          </w:p>
        </w:tc>
        <w:tc>
          <w:tcPr>
            <w:tcW w:w="567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4AED38">
            <w:pPr>
              <w:keepNext w:val="0"/>
              <w:keepLines w:val="0"/>
              <w:widowControl/>
              <w:suppressLineNumbers w:val="0"/>
              <w:jc w:val="left"/>
              <w:textAlignment w:val="top"/>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根据区住建委《关于全区城镇危房动态监测工作相关事宜的请示》（九龙坡房管文【2017】291号），按照200/月/人编制，共计15个月，合计3000元。</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3B4C">
            <w:pPr>
              <w:keepNext w:val="0"/>
              <w:keepLines w:val="0"/>
              <w:widowControl/>
              <w:suppressLineNumbers w:val="0"/>
              <w:jc w:val="righ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财政专户管理资金：</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1E1D">
            <w:pPr>
              <w:keepNext w:val="0"/>
              <w:keepLines w:val="0"/>
              <w:widowControl/>
              <w:suppressLineNumbers w:val="0"/>
              <w:jc w:val="righ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 xml:space="preserve">0 </w:t>
            </w:r>
          </w:p>
        </w:tc>
      </w:tr>
      <w:tr w14:paraId="06CD90BF">
        <w:tblPrEx>
          <w:tblCellMar>
            <w:top w:w="0" w:type="dxa"/>
            <w:left w:w="0" w:type="dxa"/>
            <w:bottom w:w="0" w:type="dxa"/>
            <w:right w:w="0" w:type="dxa"/>
          </w:tblCellMar>
        </w:tblPrEx>
        <w:trPr>
          <w:trHeight w:val="671" w:hRule="atLeast"/>
          <w:jc w:val="center"/>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44CD5F">
            <w:pPr>
              <w:jc w:val="left"/>
              <w:rPr>
                <w:rFonts w:hint="eastAsia" w:ascii="等线" w:hAnsi="等线" w:eastAsia="等线" w:cs="等线"/>
                <w:b/>
                <w:i w:val="0"/>
                <w:color w:val="auto"/>
                <w:sz w:val="18"/>
                <w:szCs w:val="18"/>
                <w:highlight w:val="none"/>
                <w:u w:val="none"/>
              </w:rPr>
            </w:pPr>
          </w:p>
        </w:tc>
        <w:tc>
          <w:tcPr>
            <w:tcW w:w="56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BEEDBA">
            <w:pPr>
              <w:jc w:val="left"/>
              <w:rPr>
                <w:rFonts w:hint="eastAsia" w:ascii="等线" w:hAnsi="等线" w:eastAsia="等线" w:cs="等线"/>
                <w:i w:val="0"/>
                <w:color w:val="auto"/>
                <w:sz w:val="18"/>
                <w:szCs w:val="18"/>
                <w:highlight w:val="none"/>
                <w:u w:val="none"/>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6078">
            <w:pPr>
              <w:keepNext w:val="0"/>
              <w:keepLines w:val="0"/>
              <w:widowControl/>
              <w:suppressLineNumbers w:val="0"/>
              <w:jc w:val="righ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单位资金：</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B808">
            <w:pPr>
              <w:keepNext w:val="0"/>
              <w:keepLines w:val="0"/>
              <w:widowControl/>
              <w:suppressLineNumbers w:val="0"/>
              <w:jc w:val="righ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 xml:space="preserve">0 </w:t>
            </w:r>
          </w:p>
        </w:tc>
      </w:tr>
      <w:tr w14:paraId="5563A140">
        <w:tblPrEx>
          <w:tblCellMar>
            <w:top w:w="0" w:type="dxa"/>
            <w:left w:w="0" w:type="dxa"/>
            <w:bottom w:w="0" w:type="dxa"/>
            <w:right w:w="0" w:type="dxa"/>
          </w:tblCellMar>
        </w:tblPrEx>
        <w:trPr>
          <w:trHeight w:val="671" w:hRule="atLeast"/>
          <w:jc w:val="center"/>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D3E405">
            <w:pPr>
              <w:jc w:val="left"/>
              <w:rPr>
                <w:rFonts w:hint="eastAsia" w:ascii="等线" w:hAnsi="等线" w:eastAsia="等线" w:cs="等线"/>
                <w:b/>
                <w:i w:val="0"/>
                <w:color w:val="auto"/>
                <w:sz w:val="18"/>
                <w:szCs w:val="18"/>
                <w:highlight w:val="none"/>
                <w:u w:val="none"/>
              </w:rPr>
            </w:pPr>
          </w:p>
        </w:tc>
        <w:tc>
          <w:tcPr>
            <w:tcW w:w="56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3F518A">
            <w:pPr>
              <w:jc w:val="left"/>
              <w:rPr>
                <w:rFonts w:hint="eastAsia" w:ascii="等线" w:hAnsi="等线" w:eastAsia="等线" w:cs="等线"/>
                <w:i w:val="0"/>
                <w:color w:val="auto"/>
                <w:sz w:val="18"/>
                <w:szCs w:val="18"/>
                <w:highlight w:val="none"/>
                <w:u w:val="none"/>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7C06">
            <w:pPr>
              <w:keepNext w:val="0"/>
              <w:keepLines w:val="0"/>
              <w:widowControl/>
              <w:suppressLineNumbers w:val="0"/>
              <w:jc w:val="righ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社会投入资金：</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88E1">
            <w:pPr>
              <w:keepNext w:val="0"/>
              <w:keepLines w:val="0"/>
              <w:widowControl/>
              <w:suppressLineNumbers w:val="0"/>
              <w:jc w:val="righ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 xml:space="preserve">0 </w:t>
            </w:r>
          </w:p>
        </w:tc>
      </w:tr>
      <w:tr w14:paraId="2ABD1809">
        <w:tblPrEx>
          <w:tblCellMar>
            <w:top w:w="0" w:type="dxa"/>
            <w:left w:w="0" w:type="dxa"/>
            <w:bottom w:w="0" w:type="dxa"/>
            <w:right w:w="0" w:type="dxa"/>
          </w:tblCellMar>
        </w:tblPrEx>
        <w:trPr>
          <w:trHeight w:val="671" w:hRule="atLeast"/>
          <w:jc w:val="center"/>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F4F80C">
            <w:pPr>
              <w:jc w:val="left"/>
              <w:rPr>
                <w:rFonts w:hint="eastAsia" w:ascii="等线" w:hAnsi="等线" w:eastAsia="等线" w:cs="等线"/>
                <w:b/>
                <w:i w:val="0"/>
                <w:color w:val="auto"/>
                <w:sz w:val="18"/>
                <w:szCs w:val="18"/>
                <w:highlight w:val="none"/>
                <w:u w:val="none"/>
              </w:rPr>
            </w:pPr>
          </w:p>
        </w:tc>
        <w:tc>
          <w:tcPr>
            <w:tcW w:w="56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E172AF">
            <w:pPr>
              <w:jc w:val="left"/>
              <w:rPr>
                <w:rFonts w:hint="eastAsia" w:ascii="等线" w:hAnsi="等线" w:eastAsia="等线" w:cs="等线"/>
                <w:i w:val="0"/>
                <w:color w:val="auto"/>
                <w:sz w:val="18"/>
                <w:szCs w:val="18"/>
                <w:highlight w:val="none"/>
                <w:u w:val="none"/>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E352">
            <w:pPr>
              <w:keepNext w:val="0"/>
              <w:keepLines w:val="0"/>
              <w:widowControl/>
              <w:suppressLineNumbers w:val="0"/>
              <w:jc w:val="right"/>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银行贷款：</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C01D">
            <w:pPr>
              <w:keepNext w:val="0"/>
              <w:keepLines w:val="0"/>
              <w:widowControl/>
              <w:suppressLineNumbers w:val="0"/>
              <w:jc w:val="righ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 xml:space="preserve">0 </w:t>
            </w:r>
          </w:p>
        </w:tc>
      </w:tr>
      <w:tr w14:paraId="26366515">
        <w:tblPrEx>
          <w:tblCellMar>
            <w:top w:w="0" w:type="dxa"/>
            <w:left w:w="0" w:type="dxa"/>
            <w:bottom w:w="0" w:type="dxa"/>
            <w:right w:w="0" w:type="dxa"/>
          </w:tblCellMar>
        </w:tblPrEx>
        <w:trPr>
          <w:trHeight w:val="671"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12E3">
            <w:pPr>
              <w:keepNext w:val="0"/>
              <w:keepLines w:val="0"/>
              <w:widowControl/>
              <w:suppressLineNumbers w:val="0"/>
              <w:jc w:val="center"/>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一级指标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0A78">
            <w:pPr>
              <w:keepNext w:val="0"/>
              <w:keepLines w:val="0"/>
              <w:widowControl/>
              <w:suppressLineNumbers w:val="0"/>
              <w:jc w:val="center"/>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8F99">
            <w:pPr>
              <w:keepNext w:val="0"/>
              <w:keepLines w:val="0"/>
              <w:widowControl/>
              <w:suppressLineNumbers w:val="0"/>
              <w:jc w:val="center"/>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三级指标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B093">
            <w:pPr>
              <w:keepNext w:val="0"/>
              <w:keepLines w:val="0"/>
              <w:widowControl/>
              <w:suppressLineNumbers w:val="0"/>
              <w:jc w:val="center"/>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指标性质</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38E0">
            <w:pPr>
              <w:keepNext w:val="0"/>
              <w:keepLines w:val="0"/>
              <w:widowControl/>
              <w:suppressLineNumbers w:val="0"/>
              <w:jc w:val="center"/>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历史参考值</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815D">
            <w:pPr>
              <w:keepNext w:val="0"/>
              <w:keepLines w:val="0"/>
              <w:widowControl/>
              <w:suppressLineNumbers w:val="0"/>
              <w:jc w:val="center"/>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指标值</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4544">
            <w:pPr>
              <w:keepNext w:val="0"/>
              <w:keepLines w:val="0"/>
              <w:widowControl/>
              <w:suppressLineNumbers w:val="0"/>
              <w:jc w:val="center"/>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度量单位</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0CA8">
            <w:pPr>
              <w:keepNext w:val="0"/>
              <w:keepLines w:val="0"/>
              <w:widowControl/>
              <w:suppressLineNumbers w:val="0"/>
              <w:jc w:val="center"/>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权重（%）</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9C81">
            <w:pPr>
              <w:keepNext w:val="0"/>
              <w:keepLines w:val="0"/>
              <w:widowControl/>
              <w:suppressLineNumbers w:val="0"/>
              <w:jc w:val="center"/>
              <w:textAlignment w:val="center"/>
              <w:rPr>
                <w:rFonts w:hint="eastAsia" w:ascii="等线" w:hAnsi="等线" w:eastAsia="等线" w:cs="等线"/>
                <w:b/>
                <w:i w:val="0"/>
                <w:color w:val="auto"/>
                <w:sz w:val="18"/>
                <w:szCs w:val="18"/>
                <w:highlight w:val="none"/>
                <w:u w:val="none"/>
              </w:rPr>
            </w:pPr>
            <w:r>
              <w:rPr>
                <w:rFonts w:hint="eastAsia" w:ascii="等线" w:hAnsi="等线" w:eastAsia="等线" w:cs="等线"/>
                <w:b/>
                <w:i w:val="0"/>
                <w:color w:val="auto"/>
                <w:kern w:val="0"/>
                <w:sz w:val="18"/>
                <w:szCs w:val="18"/>
                <w:highlight w:val="none"/>
                <w:u w:val="none"/>
                <w:lang w:val="en-US" w:eastAsia="zh-CN" w:bidi="ar"/>
              </w:rPr>
              <w:t>备注</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8171">
            <w:pPr>
              <w:rPr>
                <w:rFonts w:hint="eastAsia" w:ascii="等线" w:hAnsi="等线" w:eastAsia="等线" w:cs="等线"/>
                <w:b/>
                <w:i w:val="0"/>
                <w:color w:val="auto"/>
                <w:sz w:val="18"/>
                <w:szCs w:val="18"/>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8078">
            <w:pPr>
              <w:jc w:val="center"/>
              <w:rPr>
                <w:rFonts w:hint="eastAsia" w:ascii="等线" w:hAnsi="等线" w:eastAsia="等线" w:cs="等线"/>
                <w:i w:val="0"/>
                <w:color w:val="auto"/>
                <w:sz w:val="18"/>
                <w:szCs w:val="18"/>
                <w:highlight w:val="none"/>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0EEE">
            <w:pPr>
              <w:jc w:val="cente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E8B4">
            <w:pPr>
              <w:jc w:val="cente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5D3E">
            <w:pPr>
              <w:jc w:val="center"/>
              <w:rPr>
                <w:rFonts w:hint="eastAsia" w:ascii="等线" w:hAnsi="等线" w:eastAsia="等线" w:cs="等线"/>
                <w:i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64FF">
            <w:pPr>
              <w:jc w:val="center"/>
              <w:rPr>
                <w:rFonts w:hint="eastAsia" w:ascii="等线" w:hAnsi="等线" w:eastAsia="等线" w:cs="等线"/>
                <w:i w:val="0"/>
                <w:color w:val="auto"/>
                <w:sz w:val="18"/>
                <w:szCs w:val="18"/>
                <w:highlight w:val="none"/>
                <w:u w:val="none"/>
              </w:rPr>
            </w:pPr>
          </w:p>
        </w:tc>
      </w:tr>
      <w:tr w14:paraId="0F2E8B0D">
        <w:tblPrEx>
          <w:tblCellMar>
            <w:top w:w="0" w:type="dxa"/>
            <w:left w:w="0" w:type="dxa"/>
            <w:bottom w:w="0" w:type="dxa"/>
            <w:right w:w="0" w:type="dxa"/>
          </w:tblCellMar>
        </w:tblPrEx>
        <w:trPr>
          <w:trHeight w:val="42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35B9">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7B2E">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A540">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保障时间</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6FFE">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0F96">
            <w:pPr>
              <w:rPr>
                <w:rFonts w:hint="eastAsia" w:ascii="等线" w:hAnsi="等线" w:eastAsia="等线" w:cs="等线"/>
                <w:i w:val="0"/>
                <w:color w:val="auto"/>
                <w:sz w:val="18"/>
                <w:szCs w:val="18"/>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3927">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15</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9494">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月</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32C9">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20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D76C">
            <w:pPr>
              <w:rPr>
                <w:rFonts w:hint="eastAsia" w:ascii="等线" w:hAnsi="等线" w:eastAsia="等线" w:cs="等线"/>
                <w:i w:val="0"/>
                <w:color w:val="auto"/>
                <w:sz w:val="18"/>
                <w:szCs w:val="18"/>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ACDB">
            <w:pPr>
              <w:rPr>
                <w:rFonts w:hint="eastAsia" w:ascii="等线" w:hAnsi="等线" w:eastAsia="等线" w:cs="等线"/>
                <w:i w:val="0"/>
                <w:color w:val="auto"/>
                <w:sz w:val="18"/>
                <w:szCs w:val="18"/>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44F5">
            <w:pPr>
              <w:rPr>
                <w:rFonts w:hint="eastAsia" w:ascii="等线" w:hAnsi="等线" w:eastAsia="等线" w:cs="等线"/>
                <w:i w:val="0"/>
                <w:color w:val="auto"/>
                <w:sz w:val="18"/>
                <w:szCs w:val="18"/>
                <w:highlight w:val="none"/>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F644">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41D8">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D493">
            <w:pPr>
              <w:rPr>
                <w:rFonts w:hint="eastAsia" w:ascii="等线" w:hAnsi="等线" w:eastAsia="等线" w:cs="等线"/>
                <w:i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1CAD">
            <w:pPr>
              <w:rPr>
                <w:rFonts w:hint="eastAsia" w:ascii="等线" w:hAnsi="等线" w:eastAsia="等线" w:cs="等线"/>
                <w:i w:val="0"/>
                <w:color w:val="auto"/>
                <w:sz w:val="18"/>
                <w:szCs w:val="18"/>
                <w:highlight w:val="none"/>
                <w:u w:val="none"/>
              </w:rPr>
            </w:pPr>
          </w:p>
        </w:tc>
      </w:tr>
      <w:tr w14:paraId="30036F61">
        <w:tblPrEx>
          <w:tblCellMar>
            <w:top w:w="0" w:type="dxa"/>
            <w:left w:w="0" w:type="dxa"/>
            <w:bottom w:w="0" w:type="dxa"/>
            <w:right w:w="0" w:type="dxa"/>
          </w:tblCellMar>
        </w:tblPrEx>
        <w:trPr>
          <w:trHeight w:val="42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77A0">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C90A">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DA29">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完成时间</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7234">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56D5">
            <w:pPr>
              <w:rPr>
                <w:rFonts w:hint="eastAsia" w:ascii="等线" w:hAnsi="等线" w:eastAsia="等线" w:cs="等线"/>
                <w:i w:val="0"/>
                <w:color w:val="auto"/>
                <w:sz w:val="18"/>
                <w:szCs w:val="18"/>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1429">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2025</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E531">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年</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5E64">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20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1C7C">
            <w:pPr>
              <w:rPr>
                <w:rFonts w:hint="eastAsia" w:ascii="等线" w:hAnsi="等线" w:eastAsia="等线" w:cs="等线"/>
                <w:i w:val="0"/>
                <w:color w:val="auto"/>
                <w:sz w:val="18"/>
                <w:szCs w:val="18"/>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585A">
            <w:pPr>
              <w:rPr>
                <w:rFonts w:hint="eastAsia" w:ascii="等线" w:hAnsi="等线" w:eastAsia="等线" w:cs="等线"/>
                <w:i w:val="0"/>
                <w:color w:val="auto"/>
                <w:sz w:val="18"/>
                <w:szCs w:val="18"/>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7AA0">
            <w:pPr>
              <w:rPr>
                <w:rFonts w:hint="eastAsia" w:ascii="等线" w:hAnsi="等线" w:eastAsia="等线" w:cs="等线"/>
                <w:i w:val="0"/>
                <w:color w:val="auto"/>
                <w:sz w:val="18"/>
                <w:szCs w:val="18"/>
                <w:highlight w:val="none"/>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5A4">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6DD1">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F1ED">
            <w:pPr>
              <w:rPr>
                <w:rFonts w:hint="eastAsia" w:ascii="等线" w:hAnsi="等线" w:eastAsia="等线" w:cs="等线"/>
                <w:i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209D">
            <w:pPr>
              <w:rPr>
                <w:rFonts w:hint="eastAsia" w:ascii="等线" w:hAnsi="等线" w:eastAsia="等线" w:cs="等线"/>
                <w:i w:val="0"/>
                <w:color w:val="auto"/>
                <w:sz w:val="18"/>
                <w:szCs w:val="18"/>
                <w:highlight w:val="none"/>
                <w:u w:val="none"/>
              </w:rPr>
            </w:pPr>
          </w:p>
        </w:tc>
      </w:tr>
      <w:tr w14:paraId="246595F0">
        <w:tblPrEx>
          <w:tblCellMar>
            <w:top w:w="0" w:type="dxa"/>
            <w:left w:w="0" w:type="dxa"/>
            <w:bottom w:w="0" w:type="dxa"/>
            <w:right w:w="0" w:type="dxa"/>
          </w:tblCellMar>
        </w:tblPrEx>
        <w:trPr>
          <w:trHeight w:val="42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40E4">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373E">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1AE8">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该项目取得的质量效益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C84D">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定性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2CF9">
            <w:pPr>
              <w:rPr>
                <w:rFonts w:hint="eastAsia" w:ascii="等线" w:hAnsi="等线" w:eastAsia="等线" w:cs="等线"/>
                <w:i w:val="0"/>
                <w:color w:val="auto"/>
                <w:sz w:val="18"/>
                <w:szCs w:val="18"/>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3177">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保质保量完成</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273F">
            <w:pPr>
              <w:rPr>
                <w:rFonts w:hint="eastAsia" w:ascii="等线" w:hAnsi="等线" w:eastAsia="等线" w:cs="等线"/>
                <w:i w:val="0"/>
                <w:color w:val="auto"/>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5693">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20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5046">
            <w:pPr>
              <w:rPr>
                <w:rFonts w:hint="eastAsia" w:ascii="等线" w:hAnsi="等线" w:eastAsia="等线" w:cs="等线"/>
                <w:i w:val="0"/>
                <w:color w:val="auto"/>
                <w:sz w:val="18"/>
                <w:szCs w:val="18"/>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D39D">
            <w:pPr>
              <w:rPr>
                <w:rFonts w:hint="eastAsia" w:ascii="等线" w:hAnsi="等线" w:eastAsia="等线" w:cs="等线"/>
                <w:i w:val="0"/>
                <w:color w:val="auto"/>
                <w:sz w:val="18"/>
                <w:szCs w:val="18"/>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E94D">
            <w:pPr>
              <w:rPr>
                <w:rFonts w:hint="eastAsia" w:ascii="等线" w:hAnsi="等线" w:eastAsia="等线" w:cs="等线"/>
                <w:i w:val="0"/>
                <w:color w:val="auto"/>
                <w:sz w:val="18"/>
                <w:szCs w:val="18"/>
                <w:highlight w:val="none"/>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CAEA">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AC63">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78B8">
            <w:pPr>
              <w:rPr>
                <w:rFonts w:hint="eastAsia" w:ascii="等线" w:hAnsi="等线" w:eastAsia="等线" w:cs="等线"/>
                <w:i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C5D1">
            <w:pPr>
              <w:rPr>
                <w:rFonts w:hint="eastAsia" w:ascii="等线" w:hAnsi="等线" w:eastAsia="等线" w:cs="等线"/>
                <w:i w:val="0"/>
                <w:color w:val="auto"/>
                <w:sz w:val="18"/>
                <w:szCs w:val="18"/>
                <w:highlight w:val="none"/>
                <w:u w:val="none"/>
              </w:rPr>
            </w:pPr>
          </w:p>
        </w:tc>
      </w:tr>
      <w:tr w14:paraId="607FED4F">
        <w:tblPrEx>
          <w:tblCellMar>
            <w:top w:w="0" w:type="dxa"/>
            <w:left w:w="0" w:type="dxa"/>
            <w:bottom w:w="0" w:type="dxa"/>
            <w:right w:w="0" w:type="dxa"/>
          </w:tblCellMar>
        </w:tblPrEx>
        <w:trPr>
          <w:trHeight w:val="42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6B73">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22BE">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社会效益</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6759">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该项目取得的社会效益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210A">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定性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0148">
            <w:pPr>
              <w:rPr>
                <w:rFonts w:hint="eastAsia" w:ascii="等线" w:hAnsi="等线" w:eastAsia="等线" w:cs="等线"/>
                <w:i w:val="0"/>
                <w:color w:val="auto"/>
                <w:sz w:val="18"/>
                <w:szCs w:val="18"/>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8776">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消除安全隐患</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358D">
            <w:pPr>
              <w:rPr>
                <w:rFonts w:hint="eastAsia" w:ascii="等线" w:hAnsi="等线" w:eastAsia="等线" w:cs="等线"/>
                <w:i w:val="0"/>
                <w:color w:val="auto"/>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5AFF">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10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2C58">
            <w:pPr>
              <w:rPr>
                <w:rFonts w:hint="eastAsia" w:ascii="等线" w:hAnsi="等线" w:eastAsia="等线" w:cs="等线"/>
                <w:i w:val="0"/>
                <w:color w:val="auto"/>
                <w:sz w:val="18"/>
                <w:szCs w:val="18"/>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AA9C">
            <w:pPr>
              <w:rPr>
                <w:rFonts w:hint="eastAsia" w:ascii="等线" w:hAnsi="等线" w:eastAsia="等线" w:cs="等线"/>
                <w:i w:val="0"/>
                <w:color w:val="auto"/>
                <w:sz w:val="18"/>
                <w:szCs w:val="18"/>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E691">
            <w:pPr>
              <w:rPr>
                <w:rFonts w:hint="eastAsia" w:ascii="等线" w:hAnsi="等线" w:eastAsia="等线" w:cs="等线"/>
                <w:i w:val="0"/>
                <w:color w:val="auto"/>
                <w:sz w:val="18"/>
                <w:szCs w:val="18"/>
                <w:highlight w:val="none"/>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996F5">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06A8">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6A5C">
            <w:pPr>
              <w:rPr>
                <w:rFonts w:hint="eastAsia" w:ascii="等线" w:hAnsi="等线" w:eastAsia="等线" w:cs="等线"/>
                <w:i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6A32">
            <w:pPr>
              <w:rPr>
                <w:rFonts w:hint="eastAsia" w:ascii="等线" w:hAnsi="等线" w:eastAsia="等线" w:cs="等线"/>
                <w:i w:val="0"/>
                <w:color w:val="auto"/>
                <w:sz w:val="18"/>
                <w:szCs w:val="18"/>
                <w:highlight w:val="none"/>
                <w:u w:val="none"/>
              </w:rPr>
            </w:pPr>
          </w:p>
        </w:tc>
      </w:tr>
      <w:tr w14:paraId="20DEC646">
        <w:tblPrEx>
          <w:tblCellMar>
            <w:top w:w="0" w:type="dxa"/>
            <w:left w:w="0" w:type="dxa"/>
            <w:bottom w:w="0" w:type="dxa"/>
            <w:right w:w="0" w:type="dxa"/>
          </w:tblCellMar>
        </w:tblPrEx>
        <w:trPr>
          <w:trHeight w:val="42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F70E">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66FB">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可持续发展</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1ACB">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该项目取得的可持续发展效益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BAA3">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定性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72F9">
            <w:pPr>
              <w:rPr>
                <w:rFonts w:hint="eastAsia" w:ascii="等线" w:hAnsi="等线" w:eastAsia="等线" w:cs="等线"/>
                <w:i w:val="0"/>
                <w:color w:val="auto"/>
                <w:sz w:val="18"/>
                <w:szCs w:val="18"/>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56FA">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营造良好的生活环境</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A079">
            <w:pPr>
              <w:rPr>
                <w:rFonts w:hint="eastAsia" w:ascii="等线" w:hAnsi="等线" w:eastAsia="等线" w:cs="等线"/>
                <w:i w:val="0"/>
                <w:color w:val="auto"/>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7EE8">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10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2F94">
            <w:pPr>
              <w:rPr>
                <w:rFonts w:hint="eastAsia" w:ascii="等线" w:hAnsi="等线" w:eastAsia="等线" w:cs="等线"/>
                <w:i w:val="0"/>
                <w:color w:val="auto"/>
                <w:sz w:val="18"/>
                <w:szCs w:val="18"/>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F89B">
            <w:pPr>
              <w:rPr>
                <w:rFonts w:hint="eastAsia" w:ascii="等线" w:hAnsi="等线" w:eastAsia="等线" w:cs="等线"/>
                <w:i w:val="0"/>
                <w:color w:val="auto"/>
                <w:sz w:val="18"/>
                <w:szCs w:val="18"/>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0B9F">
            <w:pPr>
              <w:rPr>
                <w:rFonts w:hint="eastAsia" w:ascii="等线" w:hAnsi="等线" w:eastAsia="等线" w:cs="等线"/>
                <w:i w:val="0"/>
                <w:color w:val="auto"/>
                <w:sz w:val="18"/>
                <w:szCs w:val="18"/>
                <w:highlight w:val="none"/>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51CC">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C9BB">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C98F">
            <w:pPr>
              <w:rPr>
                <w:rFonts w:hint="eastAsia" w:ascii="等线" w:hAnsi="等线" w:eastAsia="等线" w:cs="等线"/>
                <w:i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3185">
            <w:pPr>
              <w:rPr>
                <w:rFonts w:hint="eastAsia" w:ascii="等线" w:hAnsi="等线" w:eastAsia="等线" w:cs="等线"/>
                <w:i w:val="0"/>
                <w:color w:val="auto"/>
                <w:sz w:val="18"/>
                <w:szCs w:val="18"/>
                <w:highlight w:val="none"/>
                <w:u w:val="none"/>
              </w:rPr>
            </w:pPr>
          </w:p>
        </w:tc>
      </w:tr>
      <w:tr w14:paraId="6D6FA41D">
        <w:tblPrEx>
          <w:tblCellMar>
            <w:top w:w="0" w:type="dxa"/>
            <w:left w:w="0" w:type="dxa"/>
            <w:bottom w:w="0" w:type="dxa"/>
            <w:right w:w="0" w:type="dxa"/>
          </w:tblCellMar>
        </w:tblPrEx>
        <w:trPr>
          <w:trHeight w:val="441"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8CF7">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满意度指标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A042">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05BB">
            <w:pPr>
              <w:keepNext w:val="0"/>
              <w:keepLines w:val="0"/>
              <w:widowControl/>
              <w:suppressLineNumbers w:val="0"/>
              <w:jc w:val="center"/>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满意度</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E51B">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8C66">
            <w:pPr>
              <w:rPr>
                <w:rFonts w:hint="eastAsia" w:ascii="等线" w:hAnsi="等线" w:eastAsia="等线" w:cs="等线"/>
                <w:i w:val="0"/>
                <w:color w:val="auto"/>
                <w:sz w:val="18"/>
                <w:szCs w:val="18"/>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6A09">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90</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2F7E">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4514">
            <w:pPr>
              <w:keepNext w:val="0"/>
              <w:keepLines w:val="0"/>
              <w:widowControl/>
              <w:suppressLineNumbers w:val="0"/>
              <w:jc w:val="left"/>
              <w:textAlignment w:val="center"/>
              <w:rPr>
                <w:rFonts w:hint="eastAsia" w:ascii="等线" w:hAnsi="等线" w:eastAsia="等线" w:cs="等线"/>
                <w:i w:val="0"/>
                <w:color w:val="auto"/>
                <w:sz w:val="18"/>
                <w:szCs w:val="18"/>
                <w:highlight w:val="none"/>
                <w:u w:val="none"/>
              </w:rPr>
            </w:pPr>
            <w:r>
              <w:rPr>
                <w:rFonts w:hint="eastAsia" w:ascii="等线" w:hAnsi="等线" w:eastAsia="等线" w:cs="等线"/>
                <w:i w:val="0"/>
                <w:color w:val="auto"/>
                <w:kern w:val="0"/>
                <w:sz w:val="18"/>
                <w:szCs w:val="18"/>
                <w:highlight w:val="none"/>
                <w:u w:val="none"/>
                <w:lang w:val="en-US" w:eastAsia="zh-CN" w:bidi="ar"/>
              </w:rPr>
              <w:t>10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AA8E">
            <w:pPr>
              <w:rPr>
                <w:rFonts w:hint="eastAsia" w:ascii="等线" w:hAnsi="等线" w:eastAsia="等线" w:cs="等线"/>
                <w:i w:val="0"/>
                <w:color w:val="auto"/>
                <w:sz w:val="18"/>
                <w:szCs w:val="18"/>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AD3C">
            <w:pPr>
              <w:rPr>
                <w:rFonts w:hint="eastAsia" w:ascii="等线" w:hAnsi="等线" w:eastAsia="等线" w:cs="等线"/>
                <w:i w:val="0"/>
                <w:color w:val="auto"/>
                <w:sz w:val="18"/>
                <w:szCs w:val="18"/>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C658">
            <w:pPr>
              <w:rPr>
                <w:rFonts w:hint="eastAsia" w:ascii="等线" w:hAnsi="等线" w:eastAsia="等线" w:cs="等线"/>
                <w:i w:val="0"/>
                <w:color w:val="auto"/>
                <w:sz w:val="18"/>
                <w:szCs w:val="18"/>
                <w:highlight w:val="none"/>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4006">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B6F9">
            <w:pPr>
              <w:rPr>
                <w:rFonts w:hint="eastAsia" w:ascii="等线" w:hAnsi="等线" w:eastAsia="等线" w:cs="等线"/>
                <w:i w:val="0"/>
                <w:color w:val="auto"/>
                <w:sz w:val="18"/>
                <w:szCs w:val="18"/>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38C2">
            <w:pPr>
              <w:rPr>
                <w:rFonts w:hint="eastAsia" w:ascii="等线" w:hAnsi="等线" w:eastAsia="等线" w:cs="等线"/>
                <w:i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C9B6">
            <w:pPr>
              <w:rPr>
                <w:rFonts w:hint="eastAsia" w:ascii="等线" w:hAnsi="等线" w:eastAsia="等线" w:cs="等线"/>
                <w:i w:val="0"/>
                <w:color w:val="auto"/>
                <w:sz w:val="18"/>
                <w:szCs w:val="18"/>
                <w:highlight w:val="none"/>
                <w:u w:val="none"/>
              </w:rPr>
            </w:pPr>
          </w:p>
        </w:tc>
      </w:tr>
    </w:tbl>
    <w:p w14:paraId="710DBBB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黑体_GBK" w:hAnsi="方正黑体_GBK" w:eastAsia="方正黑体_GBK" w:cs="方正黑体_GBK"/>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WenQuanYi Micro 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ialog . plain">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33179"/>
    <w:rsid w:val="00A97454"/>
    <w:rsid w:val="00C53677"/>
    <w:rsid w:val="00EB787D"/>
    <w:rsid w:val="01772DB9"/>
    <w:rsid w:val="022119E6"/>
    <w:rsid w:val="02747607"/>
    <w:rsid w:val="02865221"/>
    <w:rsid w:val="028F07A1"/>
    <w:rsid w:val="028F467A"/>
    <w:rsid w:val="02C629DF"/>
    <w:rsid w:val="02D36742"/>
    <w:rsid w:val="02FC3FBA"/>
    <w:rsid w:val="03093D29"/>
    <w:rsid w:val="03416745"/>
    <w:rsid w:val="042C39E0"/>
    <w:rsid w:val="043571EF"/>
    <w:rsid w:val="048E5C8F"/>
    <w:rsid w:val="04B9531F"/>
    <w:rsid w:val="04E0030D"/>
    <w:rsid w:val="04FF0C16"/>
    <w:rsid w:val="05637AA6"/>
    <w:rsid w:val="057A2DF8"/>
    <w:rsid w:val="058D6680"/>
    <w:rsid w:val="05CB7F0D"/>
    <w:rsid w:val="05E62C8F"/>
    <w:rsid w:val="05FA61D1"/>
    <w:rsid w:val="06645498"/>
    <w:rsid w:val="067111AF"/>
    <w:rsid w:val="06CD134B"/>
    <w:rsid w:val="06DC4DF8"/>
    <w:rsid w:val="07E01040"/>
    <w:rsid w:val="082E481E"/>
    <w:rsid w:val="08600CB7"/>
    <w:rsid w:val="091005EE"/>
    <w:rsid w:val="098C0393"/>
    <w:rsid w:val="09963A30"/>
    <w:rsid w:val="09B34CEA"/>
    <w:rsid w:val="09D427BF"/>
    <w:rsid w:val="09E92FD0"/>
    <w:rsid w:val="0A3B3450"/>
    <w:rsid w:val="0A5F24E0"/>
    <w:rsid w:val="0A7C1A70"/>
    <w:rsid w:val="0A9723CD"/>
    <w:rsid w:val="0ADF0271"/>
    <w:rsid w:val="0B056D37"/>
    <w:rsid w:val="0B596122"/>
    <w:rsid w:val="0B702BDB"/>
    <w:rsid w:val="0B800769"/>
    <w:rsid w:val="0BB33603"/>
    <w:rsid w:val="0BD75B65"/>
    <w:rsid w:val="0BE31CCF"/>
    <w:rsid w:val="0C1A5E1E"/>
    <w:rsid w:val="0C9D2FFE"/>
    <w:rsid w:val="0C9F7C33"/>
    <w:rsid w:val="0CD456CC"/>
    <w:rsid w:val="0CFD61EF"/>
    <w:rsid w:val="0D284655"/>
    <w:rsid w:val="0D2C4ACC"/>
    <w:rsid w:val="0D447D25"/>
    <w:rsid w:val="0D6613A2"/>
    <w:rsid w:val="0E1C4AF0"/>
    <w:rsid w:val="0E1C5B9D"/>
    <w:rsid w:val="0E586FDF"/>
    <w:rsid w:val="0E5F7F70"/>
    <w:rsid w:val="0E6E482A"/>
    <w:rsid w:val="0E9E04D0"/>
    <w:rsid w:val="0EE13BFA"/>
    <w:rsid w:val="0F093AC7"/>
    <w:rsid w:val="0F3F31B6"/>
    <w:rsid w:val="0F6D42AD"/>
    <w:rsid w:val="0F8B0086"/>
    <w:rsid w:val="0FA41F2E"/>
    <w:rsid w:val="10B33179"/>
    <w:rsid w:val="10C46463"/>
    <w:rsid w:val="1134482D"/>
    <w:rsid w:val="1143635F"/>
    <w:rsid w:val="116618AB"/>
    <w:rsid w:val="11CB4745"/>
    <w:rsid w:val="11D051D6"/>
    <w:rsid w:val="120802DD"/>
    <w:rsid w:val="12302C09"/>
    <w:rsid w:val="1247249C"/>
    <w:rsid w:val="129D0A6A"/>
    <w:rsid w:val="130E7B93"/>
    <w:rsid w:val="13245C3A"/>
    <w:rsid w:val="13A62D52"/>
    <w:rsid w:val="13B03229"/>
    <w:rsid w:val="13B520F3"/>
    <w:rsid w:val="13C34D82"/>
    <w:rsid w:val="146755C2"/>
    <w:rsid w:val="146912B1"/>
    <w:rsid w:val="14BF7B21"/>
    <w:rsid w:val="14DE1FD3"/>
    <w:rsid w:val="14F20CBD"/>
    <w:rsid w:val="150F1969"/>
    <w:rsid w:val="1574055C"/>
    <w:rsid w:val="158B0D0B"/>
    <w:rsid w:val="15C75DCF"/>
    <w:rsid w:val="160163E6"/>
    <w:rsid w:val="16025418"/>
    <w:rsid w:val="165C118C"/>
    <w:rsid w:val="1686754D"/>
    <w:rsid w:val="168B4936"/>
    <w:rsid w:val="16B11591"/>
    <w:rsid w:val="16F95CF4"/>
    <w:rsid w:val="16F960B7"/>
    <w:rsid w:val="17984D7F"/>
    <w:rsid w:val="179F0A55"/>
    <w:rsid w:val="17A067A0"/>
    <w:rsid w:val="17C60691"/>
    <w:rsid w:val="17E4588C"/>
    <w:rsid w:val="17F471BD"/>
    <w:rsid w:val="18190907"/>
    <w:rsid w:val="1825394F"/>
    <w:rsid w:val="18F02B70"/>
    <w:rsid w:val="18FC6B48"/>
    <w:rsid w:val="19271CED"/>
    <w:rsid w:val="19431176"/>
    <w:rsid w:val="195C7B29"/>
    <w:rsid w:val="19662BE2"/>
    <w:rsid w:val="19AD1A41"/>
    <w:rsid w:val="1A1D3C13"/>
    <w:rsid w:val="1A1F050E"/>
    <w:rsid w:val="1AA4256C"/>
    <w:rsid w:val="1B486FC6"/>
    <w:rsid w:val="1B571DED"/>
    <w:rsid w:val="1B5C56EA"/>
    <w:rsid w:val="1B715D1E"/>
    <w:rsid w:val="1B782910"/>
    <w:rsid w:val="1B815C57"/>
    <w:rsid w:val="1BCD3DE4"/>
    <w:rsid w:val="1C7119F1"/>
    <w:rsid w:val="1D04011D"/>
    <w:rsid w:val="1D4E6658"/>
    <w:rsid w:val="1D54747D"/>
    <w:rsid w:val="1D880CBE"/>
    <w:rsid w:val="1D963A9E"/>
    <w:rsid w:val="1D9D0DDC"/>
    <w:rsid w:val="1DCC1D0A"/>
    <w:rsid w:val="1DF63BBE"/>
    <w:rsid w:val="1E1A10CC"/>
    <w:rsid w:val="1E5A38BB"/>
    <w:rsid w:val="1E6F28A4"/>
    <w:rsid w:val="1EB344A1"/>
    <w:rsid w:val="1EED33BC"/>
    <w:rsid w:val="1F202C04"/>
    <w:rsid w:val="1F253AD9"/>
    <w:rsid w:val="1FBC6372"/>
    <w:rsid w:val="1FC67498"/>
    <w:rsid w:val="20017D42"/>
    <w:rsid w:val="20752C37"/>
    <w:rsid w:val="20803425"/>
    <w:rsid w:val="20C702CF"/>
    <w:rsid w:val="212C10B0"/>
    <w:rsid w:val="213B553A"/>
    <w:rsid w:val="21515617"/>
    <w:rsid w:val="216B6CED"/>
    <w:rsid w:val="21DD654E"/>
    <w:rsid w:val="22485188"/>
    <w:rsid w:val="224F543C"/>
    <w:rsid w:val="227731E9"/>
    <w:rsid w:val="233D5486"/>
    <w:rsid w:val="23552FA4"/>
    <w:rsid w:val="239F2C15"/>
    <w:rsid w:val="23E20AB1"/>
    <w:rsid w:val="24352C7D"/>
    <w:rsid w:val="243F487D"/>
    <w:rsid w:val="24725C95"/>
    <w:rsid w:val="25057BC3"/>
    <w:rsid w:val="25073FC4"/>
    <w:rsid w:val="25447FCC"/>
    <w:rsid w:val="257B1C18"/>
    <w:rsid w:val="25AC294F"/>
    <w:rsid w:val="25CC5FE7"/>
    <w:rsid w:val="265E7B4F"/>
    <w:rsid w:val="26791889"/>
    <w:rsid w:val="26B02777"/>
    <w:rsid w:val="26CA579F"/>
    <w:rsid w:val="26F07BA5"/>
    <w:rsid w:val="27C13ED4"/>
    <w:rsid w:val="27C316A3"/>
    <w:rsid w:val="287A490D"/>
    <w:rsid w:val="287B78BA"/>
    <w:rsid w:val="28894286"/>
    <w:rsid w:val="28913A4C"/>
    <w:rsid w:val="28D62BF7"/>
    <w:rsid w:val="29650DEF"/>
    <w:rsid w:val="2A190CBA"/>
    <w:rsid w:val="2AFB5CB8"/>
    <w:rsid w:val="2B8F564A"/>
    <w:rsid w:val="2C12662D"/>
    <w:rsid w:val="2C3D117E"/>
    <w:rsid w:val="2C910001"/>
    <w:rsid w:val="2C952F4C"/>
    <w:rsid w:val="2C9970DE"/>
    <w:rsid w:val="2CBA40D7"/>
    <w:rsid w:val="2CCC1DB4"/>
    <w:rsid w:val="2CDF256C"/>
    <w:rsid w:val="2CE94F3D"/>
    <w:rsid w:val="2D1E6D44"/>
    <w:rsid w:val="2D893647"/>
    <w:rsid w:val="2DE641C7"/>
    <w:rsid w:val="2DF83981"/>
    <w:rsid w:val="2E2C304B"/>
    <w:rsid w:val="2E371F74"/>
    <w:rsid w:val="2E4A75DC"/>
    <w:rsid w:val="2E9A14D3"/>
    <w:rsid w:val="2E9C029C"/>
    <w:rsid w:val="2F0C4C40"/>
    <w:rsid w:val="2F5E14CD"/>
    <w:rsid w:val="2F6764E2"/>
    <w:rsid w:val="2F88761D"/>
    <w:rsid w:val="2FED7EF9"/>
    <w:rsid w:val="30155226"/>
    <w:rsid w:val="303C0F1C"/>
    <w:rsid w:val="30742A68"/>
    <w:rsid w:val="30A56AFE"/>
    <w:rsid w:val="30CD2A96"/>
    <w:rsid w:val="30DF0A47"/>
    <w:rsid w:val="31043C9D"/>
    <w:rsid w:val="310E64BF"/>
    <w:rsid w:val="316668D1"/>
    <w:rsid w:val="31B93456"/>
    <w:rsid w:val="32064A32"/>
    <w:rsid w:val="320F40FC"/>
    <w:rsid w:val="32A54B64"/>
    <w:rsid w:val="337E08BF"/>
    <w:rsid w:val="33C15B30"/>
    <w:rsid w:val="34902E59"/>
    <w:rsid w:val="34C6325D"/>
    <w:rsid w:val="34C64F58"/>
    <w:rsid w:val="34D51340"/>
    <w:rsid w:val="35406AD7"/>
    <w:rsid w:val="35596A00"/>
    <w:rsid w:val="358647B0"/>
    <w:rsid w:val="35ED53B9"/>
    <w:rsid w:val="361D2DB6"/>
    <w:rsid w:val="36D409FC"/>
    <w:rsid w:val="36E77BF5"/>
    <w:rsid w:val="370F6467"/>
    <w:rsid w:val="37D7479F"/>
    <w:rsid w:val="37FD7DE7"/>
    <w:rsid w:val="38060FA8"/>
    <w:rsid w:val="383455FD"/>
    <w:rsid w:val="389607E2"/>
    <w:rsid w:val="38EB080F"/>
    <w:rsid w:val="39056ADF"/>
    <w:rsid w:val="39A27FBE"/>
    <w:rsid w:val="39AE4C3D"/>
    <w:rsid w:val="39BD0873"/>
    <w:rsid w:val="39BE5A48"/>
    <w:rsid w:val="39D4759B"/>
    <w:rsid w:val="39D53A80"/>
    <w:rsid w:val="3A2032B8"/>
    <w:rsid w:val="3A656F20"/>
    <w:rsid w:val="3BC50EBA"/>
    <w:rsid w:val="3C682814"/>
    <w:rsid w:val="3D027E04"/>
    <w:rsid w:val="3D19162C"/>
    <w:rsid w:val="3D1A5180"/>
    <w:rsid w:val="3D9D6C76"/>
    <w:rsid w:val="3DAC132D"/>
    <w:rsid w:val="3DBE5DEE"/>
    <w:rsid w:val="3DEF33E6"/>
    <w:rsid w:val="3F076CB3"/>
    <w:rsid w:val="3F8E5522"/>
    <w:rsid w:val="3F961445"/>
    <w:rsid w:val="3FCF0A9E"/>
    <w:rsid w:val="3FD90E93"/>
    <w:rsid w:val="401D0515"/>
    <w:rsid w:val="406D7953"/>
    <w:rsid w:val="40F01891"/>
    <w:rsid w:val="414E2D85"/>
    <w:rsid w:val="41761B08"/>
    <w:rsid w:val="419E240F"/>
    <w:rsid w:val="41B51DBC"/>
    <w:rsid w:val="41BE244C"/>
    <w:rsid w:val="422E7F23"/>
    <w:rsid w:val="42BB3957"/>
    <w:rsid w:val="436E67BB"/>
    <w:rsid w:val="43701BF4"/>
    <w:rsid w:val="44A50317"/>
    <w:rsid w:val="45220673"/>
    <w:rsid w:val="45AD3CF0"/>
    <w:rsid w:val="45CB56A5"/>
    <w:rsid w:val="463E35B9"/>
    <w:rsid w:val="464B5279"/>
    <w:rsid w:val="46724B05"/>
    <w:rsid w:val="46954E68"/>
    <w:rsid w:val="46B05B8F"/>
    <w:rsid w:val="46C34C4F"/>
    <w:rsid w:val="46F020BC"/>
    <w:rsid w:val="476F16E1"/>
    <w:rsid w:val="47A41FDD"/>
    <w:rsid w:val="47AE395C"/>
    <w:rsid w:val="47CE26C9"/>
    <w:rsid w:val="488A02A6"/>
    <w:rsid w:val="491472BA"/>
    <w:rsid w:val="4A8521FE"/>
    <w:rsid w:val="4B9E2B90"/>
    <w:rsid w:val="4BBD64DD"/>
    <w:rsid w:val="4BDE56E6"/>
    <w:rsid w:val="4C8F2BF4"/>
    <w:rsid w:val="4CB04017"/>
    <w:rsid w:val="4CD94C72"/>
    <w:rsid w:val="4D513E9E"/>
    <w:rsid w:val="4D5C349F"/>
    <w:rsid w:val="4E257D3E"/>
    <w:rsid w:val="4E307398"/>
    <w:rsid w:val="4EAD06C8"/>
    <w:rsid w:val="4F793949"/>
    <w:rsid w:val="4FDD4D7D"/>
    <w:rsid w:val="500A1C03"/>
    <w:rsid w:val="504B6C59"/>
    <w:rsid w:val="505E0EFF"/>
    <w:rsid w:val="50D71B0C"/>
    <w:rsid w:val="512178F1"/>
    <w:rsid w:val="51F278BE"/>
    <w:rsid w:val="520B6F2B"/>
    <w:rsid w:val="521D0364"/>
    <w:rsid w:val="527377EC"/>
    <w:rsid w:val="529D662E"/>
    <w:rsid w:val="52CB2E74"/>
    <w:rsid w:val="52CC5939"/>
    <w:rsid w:val="52DB323A"/>
    <w:rsid w:val="52E166E2"/>
    <w:rsid w:val="5332147D"/>
    <w:rsid w:val="539A55F5"/>
    <w:rsid w:val="53A50305"/>
    <w:rsid w:val="53F373B2"/>
    <w:rsid w:val="544405FD"/>
    <w:rsid w:val="54620419"/>
    <w:rsid w:val="54A31876"/>
    <w:rsid w:val="54BB6DB8"/>
    <w:rsid w:val="54C23A20"/>
    <w:rsid w:val="54E7079E"/>
    <w:rsid w:val="54F202DE"/>
    <w:rsid w:val="55690C14"/>
    <w:rsid w:val="56263DA2"/>
    <w:rsid w:val="565C0D3A"/>
    <w:rsid w:val="5674123F"/>
    <w:rsid w:val="56876401"/>
    <w:rsid w:val="5713713F"/>
    <w:rsid w:val="57587434"/>
    <w:rsid w:val="57722232"/>
    <w:rsid w:val="578D1ED5"/>
    <w:rsid w:val="579B3E71"/>
    <w:rsid w:val="5813676A"/>
    <w:rsid w:val="584274DB"/>
    <w:rsid w:val="58DE3A8A"/>
    <w:rsid w:val="58EA734C"/>
    <w:rsid w:val="58FF3737"/>
    <w:rsid w:val="599169DE"/>
    <w:rsid w:val="59A50324"/>
    <w:rsid w:val="59C80AC1"/>
    <w:rsid w:val="59D62E22"/>
    <w:rsid w:val="5A1260C5"/>
    <w:rsid w:val="5A1D1775"/>
    <w:rsid w:val="5A545CA4"/>
    <w:rsid w:val="5ACA0FDA"/>
    <w:rsid w:val="5AD300BF"/>
    <w:rsid w:val="5B3C142B"/>
    <w:rsid w:val="5B7125A8"/>
    <w:rsid w:val="5B74731C"/>
    <w:rsid w:val="5B765B47"/>
    <w:rsid w:val="5B79178A"/>
    <w:rsid w:val="5BC37AF9"/>
    <w:rsid w:val="5BD60E42"/>
    <w:rsid w:val="5C00456B"/>
    <w:rsid w:val="5C7E4190"/>
    <w:rsid w:val="5D3F6D42"/>
    <w:rsid w:val="5E5D2162"/>
    <w:rsid w:val="5FCD5625"/>
    <w:rsid w:val="605451E6"/>
    <w:rsid w:val="609A3771"/>
    <w:rsid w:val="60AA1862"/>
    <w:rsid w:val="60AD4008"/>
    <w:rsid w:val="60B93936"/>
    <w:rsid w:val="60D55FD2"/>
    <w:rsid w:val="60F05147"/>
    <w:rsid w:val="61004BB9"/>
    <w:rsid w:val="610321DB"/>
    <w:rsid w:val="611B47CA"/>
    <w:rsid w:val="614116F1"/>
    <w:rsid w:val="614F3B82"/>
    <w:rsid w:val="616047AE"/>
    <w:rsid w:val="61E62CE4"/>
    <w:rsid w:val="622B24B0"/>
    <w:rsid w:val="62391A0C"/>
    <w:rsid w:val="62B14CB6"/>
    <w:rsid w:val="62D220B2"/>
    <w:rsid w:val="6345162B"/>
    <w:rsid w:val="63AC1325"/>
    <w:rsid w:val="63D3456A"/>
    <w:rsid w:val="649C6162"/>
    <w:rsid w:val="65606B8F"/>
    <w:rsid w:val="65A726D1"/>
    <w:rsid w:val="65B83ECA"/>
    <w:rsid w:val="65D25D33"/>
    <w:rsid w:val="65FF1566"/>
    <w:rsid w:val="6673525B"/>
    <w:rsid w:val="66B51B88"/>
    <w:rsid w:val="66DE1EF8"/>
    <w:rsid w:val="66F26C00"/>
    <w:rsid w:val="67372AB4"/>
    <w:rsid w:val="67964E36"/>
    <w:rsid w:val="67F17CB8"/>
    <w:rsid w:val="682E35D8"/>
    <w:rsid w:val="68764A0C"/>
    <w:rsid w:val="68B96079"/>
    <w:rsid w:val="68EC190E"/>
    <w:rsid w:val="692B0420"/>
    <w:rsid w:val="6949624A"/>
    <w:rsid w:val="69E96C67"/>
    <w:rsid w:val="6A6F0D00"/>
    <w:rsid w:val="6ACC5B76"/>
    <w:rsid w:val="6AFA4CE1"/>
    <w:rsid w:val="6B181A35"/>
    <w:rsid w:val="6B4B768C"/>
    <w:rsid w:val="6B572D76"/>
    <w:rsid w:val="6B5C1CFF"/>
    <w:rsid w:val="6C104BE5"/>
    <w:rsid w:val="6C4C1864"/>
    <w:rsid w:val="6D5B4527"/>
    <w:rsid w:val="6D6170BB"/>
    <w:rsid w:val="6DD47D8C"/>
    <w:rsid w:val="6DD57397"/>
    <w:rsid w:val="6E301DD1"/>
    <w:rsid w:val="6E400B2B"/>
    <w:rsid w:val="6EAB2085"/>
    <w:rsid w:val="6EE70799"/>
    <w:rsid w:val="6F467D92"/>
    <w:rsid w:val="6F8A5427"/>
    <w:rsid w:val="6F985029"/>
    <w:rsid w:val="6FF92D5F"/>
    <w:rsid w:val="70A53003"/>
    <w:rsid w:val="70C745CA"/>
    <w:rsid w:val="70D7747F"/>
    <w:rsid w:val="71696F30"/>
    <w:rsid w:val="71932FE0"/>
    <w:rsid w:val="71A83871"/>
    <w:rsid w:val="72203888"/>
    <w:rsid w:val="722E0390"/>
    <w:rsid w:val="7258014D"/>
    <w:rsid w:val="726F4ADF"/>
    <w:rsid w:val="737436DA"/>
    <w:rsid w:val="73991505"/>
    <w:rsid w:val="747D1128"/>
    <w:rsid w:val="74836BB0"/>
    <w:rsid w:val="74965BEC"/>
    <w:rsid w:val="74B02C62"/>
    <w:rsid w:val="74E40DA4"/>
    <w:rsid w:val="756D4376"/>
    <w:rsid w:val="757368DD"/>
    <w:rsid w:val="75DB2130"/>
    <w:rsid w:val="75FB79FD"/>
    <w:rsid w:val="75FF6D3A"/>
    <w:rsid w:val="76505FBD"/>
    <w:rsid w:val="766A121E"/>
    <w:rsid w:val="7675636D"/>
    <w:rsid w:val="76C21ABB"/>
    <w:rsid w:val="76F12F31"/>
    <w:rsid w:val="772276CF"/>
    <w:rsid w:val="772D3851"/>
    <w:rsid w:val="772F0068"/>
    <w:rsid w:val="775C2233"/>
    <w:rsid w:val="776E2623"/>
    <w:rsid w:val="77700C8A"/>
    <w:rsid w:val="77B25D94"/>
    <w:rsid w:val="77C03B1E"/>
    <w:rsid w:val="77C304C8"/>
    <w:rsid w:val="77C60258"/>
    <w:rsid w:val="78323822"/>
    <w:rsid w:val="78DB4B9F"/>
    <w:rsid w:val="794D1E64"/>
    <w:rsid w:val="797B70F9"/>
    <w:rsid w:val="79914B04"/>
    <w:rsid w:val="79AD7877"/>
    <w:rsid w:val="79AE524D"/>
    <w:rsid w:val="79BC0FEF"/>
    <w:rsid w:val="79CC0F8F"/>
    <w:rsid w:val="7A423100"/>
    <w:rsid w:val="7A5520C9"/>
    <w:rsid w:val="7A5F729B"/>
    <w:rsid w:val="7A800B09"/>
    <w:rsid w:val="7A855F9B"/>
    <w:rsid w:val="7AC00A5E"/>
    <w:rsid w:val="7ACA4B86"/>
    <w:rsid w:val="7B1F3EFB"/>
    <w:rsid w:val="7B2B5EBE"/>
    <w:rsid w:val="7C394835"/>
    <w:rsid w:val="7C6069FB"/>
    <w:rsid w:val="7CFE50E5"/>
    <w:rsid w:val="7E236F93"/>
    <w:rsid w:val="7E567ABB"/>
    <w:rsid w:val="7EE32B72"/>
    <w:rsid w:val="7EF84733"/>
    <w:rsid w:val="7F4361FB"/>
    <w:rsid w:val="7FA36A57"/>
    <w:rsid w:val="7FB24046"/>
    <w:rsid w:val="7FF2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240" w:lineRule="atLeast"/>
      <w:jc w:val="center"/>
    </w:pPr>
    <w:rPr>
      <w:rFonts w:eastAsia="黑体"/>
      <w:sz w:val="44"/>
    </w:rPr>
  </w:style>
  <w:style w:type="paragraph" w:styleId="3">
    <w:name w:val="Block Text"/>
    <w:basedOn w:val="1"/>
    <w:qFormat/>
    <w:uiPriority w:val="0"/>
    <w:pPr>
      <w:ind w:left="-178" w:leftChars="-85" w:right="-693" w:rightChars="-330" w:firstLine="560" w:firstLineChars="200"/>
    </w:pPr>
    <w:rPr>
      <w:rFonts w:eastAsia="宋体"/>
      <w:sz w:val="28"/>
      <w:szCs w:val="24"/>
    </w:rPr>
  </w:style>
  <w:style w:type="paragraph" w:styleId="6">
    <w:name w:val="List Paragraph"/>
    <w:basedOn w:val="1"/>
    <w:qFormat/>
    <w:uiPriority w:val="34"/>
    <w:pPr>
      <w:ind w:firstLine="420" w:firstLineChars="200"/>
    </w:pPr>
    <w:rPr>
      <w:rFonts w:ascii="仿宋" w:hAnsi="仿宋" w:eastAsia="仿宋"/>
      <w:sz w:val="28"/>
      <w:szCs w:val="22"/>
    </w:rPr>
  </w:style>
  <w:style w:type="character" w:customStyle="1" w:styleId="7">
    <w:name w:val="font31"/>
    <w:basedOn w:val="5"/>
    <w:qFormat/>
    <w:uiPriority w:val="0"/>
    <w:rPr>
      <w:rFonts w:hint="eastAsia" w:ascii="方正仿宋_GBK" w:hAnsi="方正仿宋_GBK" w:eastAsia="方正仿宋_GBK" w:cs="方正仿宋_GBK"/>
      <w:color w:val="000000"/>
      <w:sz w:val="20"/>
      <w:szCs w:val="20"/>
      <w:u w:val="none"/>
    </w:rPr>
  </w:style>
  <w:style w:type="character" w:customStyle="1" w:styleId="8">
    <w:name w:val="font11"/>
    <w:basedOn w:val="5"/>
    <w:qFormat/>
    <w:uiPriority w:val="0"/>
    <w:rPr>
      <w:rFonts w:hint="eastAsia" w:ascii="方正仿宋_GBK" w:hAnsi="方正仿宋_GBK" w:eastAsia="方正仿宋_GBK" w:cs="方正仿宋_GBK"/>
      <w:color w:val="000000"/>
      <w:sz w:val="20"/>
      <w:szCs w:val="20"/>
      <w:u w:val="none"/>
    </w:rPr>
  </w:style>
  <w:style w:type="character" w:customStyle="1" w:styleId="9">
    <w:name w:val="font61"/>
    <w:basedOn w:val="5"/>
    <w:qFormat/>
    <w:uiPriority w:val="0"/>
    <w:rPr>
      <w:rFonts w:hint="eastAsia" w:ascii="方正仿宋_GBK" w:hAnsi="方正仿宋_GBK" w:eastAsia="方正仿宋_GBK" w:cs="方正仿宋_GBK"/>
      <w:color w:val="000000"/>
      <w:sz w:val="18"/>
      <w:szCs w:val="18"/>
      <w:u w:val="none"/>
    </w:rPr>
  </w:style>
  <w:style w:type="character" w:customStyle="1" w:styleId="10">
    <w:name w:val="font41"/>
    <w:basedOn w:val="5"/>
    <w:qFormat/>
    <w:uiPriority w:val="0"/>
    <w:rPr>
      <w:rFonts w:hint="eastAsia" w:ascii="方正仿宋_GBK" w:hAnsi="方正仿宋_GBK" w:eastAsia="方正仿宋_GBK" w:cs="方正仿宋_GBK"/>
      <w:color w:val="000000"/>
      <w:sz w:val="24"/>
      <w:szCs w:val="24"/>
      <w:u w:val="none"/>
    </w:rPr>
  </w:style>
  <w:style w:type="character" w:customStyle="1" w:styleId="11">
    <w:name w:val="font01"/>
    <w:basedOn w:val="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5758</Words>
  <Characters>8363</Characters>
  <Lines>0</Lines>
  <Paragraphs>0</Paragraphs>
  <TotalTime>0</TotalTime>
  <ScaleCrop>false</ScaleCrop>
  <LinksUpToDate>false</LinksUpToDate>
  <CharactersWithSpaces>8826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2025-01-21T07:51:00Z</dcterms:created>
  <dc:creator>Administrator</dc:creator>
  <cp:lastModifiedBy>杨雪白</cp:lastModifiedBy>
  <dcterms:modified xsi:type="dcterms:W3CDTF">2025-01-23T03:08:20Z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eyJoZGlkIjoiNDA5Njk0OGRjYzY3ZTAzYjBiNTc1ZDVkNmM3MTM3OTMiLCJ1c2VySWQiOiIzNTIzMTU4NTUifQ==</vt:lpwstr>
  </property>
  <property fmtid="{D5CDD505-2E9C-101B-9397-08002B2CF9AE}" pid="4" name="ICV">
    <vt:lpwstr>4B5BFDDBA5F3407D9962C62D64D8E11D_12</vt:lpwstr>
  </property>
</Properties>
</file>