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cs="华文中宋"/>
          <w:b/>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重庆市九龙坡区石桥铺街道新时代文明实践服务中心2026年单位预算情况说明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（一）职能职责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承担辖区新时代文明实践所、站建设、阵地服务管理，以及新时代文明实践和精神文明建设工作。开展社会主义核心价值观宣传教育，弘扬优秀传统美德，常态化开展优秀典型选树，开展移风易俗、弘扬时代新风行动。组织实施文化、宣传、广播电视、体育、科技培训等工作，组织开展群众性文化娱乐和体育健身活动，繁荣群众文化体育事业，做好宣传文化体育阵地建设。搜集整理民族民间非物质文化遗产，协助开展文化旅游资源普查、规划、整合、开发和保护相关工作。开展文化宣传、文艺创作、文艺培训、体育运动，指导社区开展各种文化活动，培训社区文艺骨干。管理辖区内文艺社团，开展文化艺术、体育运动交流，保护并传承健康高尚的传统文化。完成街道党工委、办事处交办的其他任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（二）单位构成</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szCs w:val="32"/>
        </w:rPr>
        <w:t>重庆市九龙坡区石桥铺街道新时代文明实践服务中心</w:t>
      </w:r>
      <w:r>
        <w:rPr>
          <w:rFonts w:ascii="Times New Roman" w:hAnsi="Times New Roman"/>
          <w:spacing w:val="-2"/>
          <w:kern w:val="0"/>
          <w:szCs w:val="32"/>
        </w:rPr>
        <w:t>为正科级公益一类事业单位</w:t>
      </w:r>
      <w:r>
        <w:rPr>
          <w:rFonts w:hint="eastAsia" w:ascii="Times New Roman" w:hAnsi="Times New Roman"/>
          <w:spacing w:val="-2"/>
          <w:kern w:val="0"/>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仿宋_GB2312"/>
        </w:rPr>
        <w:t>（一）收入预算：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万元，其中：一般公共预算拨款</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万元，政府性基金预算拨款</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万元，国有资本经营预算收入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万元，事业单位经营收入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万元，其他收入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万元。收入较2025年增加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万元，主要是一般公共预算经费拨款增加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仿宋_GB2312"/>
        </w:rPr>
        <w:t>（二）支出预算：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万元，其中：一般公共服务支出预算</w:t>
      </w:r>
      <w:r>
        <w:rPr>
          <w:rFonts w:hint="eastAsia" w:ascii="Times New Roman" w:hAnsi="Times New Roman" w:eastAsia="方正仿宋_GBK" w:cs="方正仿宋_GBK"/>
          <w:lang w:val="en-US" w:eastAsia="zh-CN"/>
        </w:rPr>
        <w:t>0.6</w:t>
      </w:r>
      <w:r>
        <w:rPr>
          <w:rFonts w:hint="eastAsia" w:ascii="Times New Roman" w:hAnsi="Times New Roman" w:eastAsia="方正仿宋_GBK" w:cs="方正仿宋_GBK"/>
        </w:rPr>
        <w:t>万元，文化旅游体育与传媒支出</w:t>
      </w:r>
      <w:r>
        <w:rPr>
          <w:rFonts w:hint="eastAsia" w:ascii="Times New Roman" w:hAnsi="Times New Roman" w:eastAsia="方正仿宋_GBK" w:cs="方正仿宋_GBK"/>
          <w:lang w:eastAsia="zh-CN"/>
        </w:rPr>
        <w:t>预算</w:t>
      </w:r>
      <w:r>
        <w:rPr>
          <w:rFonts w:hint="eastAsia" w:ascii="Times New Roman" w:hAnsi="Times New Roman" w:eastAsia="方正仿宋_GBK" w:cs="方正仿宋_GBK"/>
          <w:lang w:val="en-US" w:eastAsia="zh-CN"/>
        </w:rPr>
        <w:t>82.55万元，</w:t>
      </w:r>
      <w:r>
        <w:rPr>
          <w:rFonts w:hint="eastAsia" w:ascii="Times New Roman" w:hAnsi="Times New Roman" w:eastAsia="方正仿宋_GBK" w:cs="方正仿宋_GBK"/>
        </w:rPr>
        <w:t>社会保障和就业支出预算</w:t>
      </w:r>
      <w:r>
        <w:rPr>
          <w:rFonts w:hint="eastAsia" w:ascii="Times New Roman" w:hAnsi="Times New Roman" w:eastAsia="方正仿宋_GBK" w:cs="方正仿宋_GBK"/>
          <w:lang w:val="en-US" w:eastAsia="zh-CN"/>
        </w:rPr>
        <w:t>13.59</w:t>
      </w:r>
      <w:r>
        <w:rPr>
          <w:rFonts w:hint="eastAsia" w:ascii="Times New Roman" w:hAnsi="Times New Roman" w:eastAsia="方正仿宋_GBK" w:cs="方正仿宋_GBK"/>
        </w:rPr>
        <w:t>万元，卫生健康支出预算</w:t>
      </w:r>
      <w:r>
        <w:rPr>
          <w:rFonts w:hint="eastAsia" w:ascii="Times New Roman" w:hAnsi="Times New Roman" w:eastAsia="方正仿宋_GBK" w:cs="方正仿宋_GBK"/>
          <w:lang w:val="en-US" w:eastAsia="zh-CN"/>
        </w:rPr>
        <w:t>4.7</w:t>
      </w:r>
      <w:r>
        <w:rPr>
          <w:rFonts w:hint="eastAsia" w:ascii="Times New Roman" w:hAnsi="Times New Roman" w:eastAsia="方正仿宋_GBK" w:cs="方正仿宋_GBK"/>
        </w:rPr>
        <w:t>万元，住房保障支出预算</w:t>
      </w:r>
      <w:r>
        <w:rPr>
          <w:rFonts w:hint="eastAsia" w:ascii="Times New Roman" w:hAnsi="Times New Roman" w:eastAsia="方正仿宋_GBK" w:cs="方正仿宋_GBK"/>
          <w:lang w:val="en-US" w:eastAsia="zh-CN"/>
        </w:rPr>
        <w:t>8.65</w:t>
      </w:r>
      <w:r>
        <w:rPr>
          <w:rFonts w:hint="eastAsia" w:ascii="Times New Roman" w:hAnsi="Times New Roman" w:eastAsia="方正仿宋_GBK" w:cs="方正仿宋_GBK"/>
        </w:rPr>
        <w:t>万元。支出预算较2025年增加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万元，主要是基本支出预算增加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万元，项目支出预算增加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2026年一般公共预算财政拨款收入</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万元，一般公共预算财政拨款支出</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万元。其中：基本支出</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万元，主要原因是用于保障</w:t>
      </w:r>
      <w:r>
        <w:rPr>
          <w:rFonts w:hint="eastAsia" w:ascii="Times New Roman" w:hAnsi="Times New Roman" w:eastAsia="方正仿宋_GBK" w:cs="方正仿宋_GBK"/>
          <w:sz w:val="32"/>
          <w:szCs w:val="32"/>
        </w:rPr>
        <w:t>重庆市九龙坡区石桥铺街道新时代文明实践服务中心</w:t>
      </w:r>
      <w:r>
        <w:rPr>
          <w:rFonts w:hint="eastAsia" w:ascii="Times New Roman" w:hAnsi="Times New Roman" w:eastAsia="方正仿宋_GBK" w:cs="方正仿宋_GBK"/>
        </w:rPr>
        <w:t>在职人员工资福利及社会保险缴费，离休人员离休费，退休人员补助等，保障单位正常运转的各项商品服务支出；项目支出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万元，主要原因是无项目支出。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2026年政府性基金预算收入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万元，政府性基金预算支出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szCs w:val="32"/>
        </w:rPr>
        <w:t>重庆市九龙坡区石桥铺街道新时代文明实践服务中心</w:t>
      </w:r>
      <w:r>
        <w:rPr>
          <w:rFonts w:hint="eastAsia" w:ascii="Times New Roman" w:hAnsi="Times New Roman" w:eastAsia="方正仿宋_GBK" w:cs="方正仿宋_GBK"/>
        </w:rPr>
        <w:t>202</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年无使用政府性基金预算拨款安排的支出</w:t>
      </w:r>
      <w:r>
        <w:rPr>
          <w:rFonts w:hint="eastAsia" w:ascii="Times New Roman" w:hAnsi="Times New Roman" w:eastAsia="方正仿宋_GBK" w:cs="方正仿宋_GBK"/>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2026年“三公”经费预算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万元。其中：因公出国（境）费用</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万元，主要原因是无因公出国（境）经费；公务接待费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万元，主要原因是无公务接待；公务用车运行维护费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万元，主要原因是无公务车维护；公务用车购置费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万元；主要原因是无公务车购置。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1.机关运行经费。</w:t>
      </w:r>
      <w:r>
        <w:rPr>
          <w:rFonts w:hint="eastAsia" w:ascii="Times New Roman" w:hAnsi="Times New Roman" w:eastAsia="方正仿宋_GBK" w:cs="方正仿宋_GBK"/>
        </w:rPr>
        <w:t>2026年一般公共预算财政拨款运行经费</w:t>
      </w:r>
      <w:r>
        <w:rPr>
          <w:rFonts w:hint="eastAsia" w:ascii="Times New Roman" w:hAnsi="Times New Roman" w:eastAsia="方正仿宋_GBK" w:cs="方正仿宋_GBK"/>
          <w:lang w:val="en-US" w:eastAsia="zh-CN"/>
        </w:rPr>
        <w:t>19.12</w:t>
      </w:r>
      <w:r>
        <w:rPr>
          <w:rFonts w:hint="eastAsia" w:ascii="Times New Roman" w:hAnsi="Times New Roman" w:eastAsia="方正仿宋_GBK" w:cs="方正仿宋_GBK"/>
        </w:rPr>
        <w:t>万元，比上年增加</w:t>
      </w:r>
      <w:r>
        <w:rPr>
          <w:rFonts w:hint="eastAsia" w:ascii="Times New Roman" w:hAnsi="Times New Roman" w:eastAsia="方正仿宋_GBK" w:cs="方正仿宋_GBK"/>
          <w:lang w:val="en-US" w:eastAsia="zh-CN"/>
        </w:rPr>
        <w:t>0.19</w:t>
      </w:r>
      <w:r>
        <w:rPr>
          <w:rFonts w:hint="eastAsia" w:ascii="Times New Roman" w:hAnsi="Times New Roman" w:eastAsia="方正仿宋_GBK" w:cs="方正仿宋_GBK"/>
        </w:rPr>
        <w:t>万元，主要原因为人员经费增加。主要用于办公费、印刷费、邮电费、水电费、物管费、差旅费、会议费、培训费及其他商品和服务支出等。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2.政府采购情况。</w:t>
      </w:r>
      <w:r>
        <w:rPr>
          <w:rFonts w:hint="eastAsia" w:ascii="Times New Roman" w:hAnsi="Times New Roman" w:eastAsia="方正仿宋_GBK" w:cs="方正仿宋_GBK"/>
        </w:rPr>
        <w:t>本单位政府采购预算总额</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万元；其中一般公共预算拨款政府采购</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rPr>
        <w:t>3.绩效目标设置情况。</w:t>
      </w:r>
      <w:r>
        <w:rPr>
          <w:rFonts w:hint="eastAsia" w:ascii="Times New Roman" w:hAnsi="Times New Roman" w:eastAsia="方正仿宋_GBK" w:cs="方正仿宋_GBK"/>
          <w:color w:val="000000"/>
        </w:rPr>
        <w:t>2026年项目支出均实行了绩效目标管理，涉及一般公共预算当年财政拨款</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color w:val="000000"/>
        </w:rPr>
        <w:t>4.国有资产占有使用情况。</w:t>
      </w:r>
      <w:r>
        <w:rPr>
          <w:rFonts w:hint="eastAsia" w:cs="方正仿宋_GBK"/>
          <w:color w:val="000000"/>
          <w:lang w:eastAsia="zh-CN"/>
        </w:rPr>
        <w:t>截至</w:t>
      </w:r>
      <w:r>
        <w:rPr>
          <w:rFonts w:hint="eastAsia" w:ascii="Times New Roman" w:hAnsi="Times New Roman" w:eastAsia="方正仿宋_GBK" w:cs="方正仿宋_GBK"/>
          <w:color w:val="000000"/>
        </w:rPr>
        <w:t>2025年12月，本单位共有车辆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辆。2026年一般公共预算安排购置车辆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 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b/>
        </w:rPr>
      </w:pPr>
      <w:r>
        <w:rPr>
          <w:rFonts w:hint="eastAsia" w:ascii="Times New Roman" w:hAnsi="Times New Roman" w:eastAsia="方正楷体_GBK"/>
          <w:szCs w:val="32"/>
        </w:rPr>
        <w:t>（五）“三公”经费：</w:t>
      </w:r>
      <w:r>
        <w:rPr>
          <w:rFonts w:hint="eastAsia" w:ascii="Times New Roman" w:hAnsi="Times New Roman"/>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部门预算公开联系人：</w:t>
      </w:r>
      <w:r>
        <w:rPr>
          <w:rFonts w:hint="eastAsia" w:ascii="Times New Roman" w:hAnsi="Times New Roman" w:eastAsia="方正仿宋_GBK" w:cs="方正仿宋_GBK"/>
          <w:lang w:eastAsia="zh-CN"/>
        </w:rPr>
        <w:t>李炜镜</w:t>
      </w:r>
      <w:r>
        <w:rPr>
          <w:rFonts w:hint="eastAsia" w:ascii="Times New Roman" w:hAnsi="Times New Roman" w:eastAsia="方正仿宋_GBK" w:cs="方正仿宋_GBK"/>
        </w:rPr>
        <w:t xml:space="preserve">  联系方式：023-68611724</w:t>
      </w: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0" w:leftChars="0" w:right="0" w:rightChars="0" w:firstLine="0" w:firstLineChars="0"/>
        <w:textAlignment w:val="auto"/>
        <w:rPr>
          <w:rFonts w:hint="eastAsia" w:ascii="Times New Roman" w:hAnsi="Times New Roman" w:eastAsia="方正仿宋_GBK"/>
          <w:sz w:val="32"/>
          <w:szCs w:val="32"/>
        </w:rPr>
      </w:pP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附表：1.2026年重庆市九龙坡区石桥铺街道新时代文明实践服务中心部门财政拨款收支总表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eastAsia="方正仿宋_GBK"/>
          <w:spacing w:val="-10"/>
          <w:sz w:val="32"/>
          <w:szCs w:val="32"/>
        </w:rPr>
        <w:t>一般公共预算财政拨款支出预算表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3.2026年重庆市九龙坡区石桥铺街道新时代文明实践服务中心一般公共预算财政拨款基本支出预算表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4.2026年重庆市九龙坡区石桥铺街道新时代文明实践服务中心一般公共预算财政拨款基本支出预算表（政府预算支出经济分类科目）</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5.2026年重庆市九龙坡区石桥铺街道新时代文明实践服务中心一般公共预算“三公”经费支出表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Cs w:val="32"/>
        </w:rPr>
      </w:pPr>
      <w:r>
        <w:rPr>
          <w:rFonts w:hint="eastAsia" w:ascii="Times New Roman" w:hAnsi="Times New Roman"/>
          <w:szCs w:val="32"/>
        </w:rPr>
        <w:t>6.2026年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政府性基金预算支出表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部门收支总表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部门收入总表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部门支出总表（功能科目分类到项）</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10.2026年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一般公共预算财政拨款项目支出预算表（部门预算支出经济分类科目）</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一般公共预算财政拨款项目支出预算表（政府预算支出经济分类科目）</w:t>
      </w: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12.2026年重庆市九龙坡区石桥铺街道新时代文明实践服务中心政府采购明细表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rPr>
          <w:rFonts w:ascii="Times New Roman" w:hAnsi="Times New Roman"/>
        </w:rPr>
        <w:sectPr>
          <w:footerReference r:id="rId3" w:type="default"/>
          <w:pgSz w:w="11906" w:h="16838"/>
          <w:pgMar w:top="1984" w:right="1446" w:bottom="1644" w:left="1446" w:header="851" w:footer="1474" w:gutter="0"/>
          <w:pgNumType w:fmt="decimal"/>
          <w:cols w:space="425" w:num="1"/>
          <w:docGrid w:type="lines" w:linePitch="312" w:charSpace="0"/>
        </w:sectPr>
      </w:pPr>
      <w:r>
        <w:rPr>
          <w:rFonts w:hint="eastAsia" w:ascii="Times New Roman" w:hAnsi="Times New Roman"/>
          <w:szCs w:val="32"/>
        </w:rPr>
        <w:t>13.2026年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项目绩效目标表</w:t>
      </w: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6"/>
        <w:gridCol w:w="1074"/>
        <w:gridCol w:w="2903"/>
        <w:gridCol w:w="887"/>
        <w:gridCol w:w="1928"/>
        <w:gridCol w:w="2208"/>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8" w:type="dxa"/>
            <w:gridSpan w:val="7"/>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7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0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8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2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0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18"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5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2</w:t>
      </w:r>
    </w:p>
    <w:tbl>
      <w:tblPr>
        <w:tblStyle w:val="5"/>
        <w:tblW w:w="12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1"/>
        <w:gridCol w:w="4832"/>
        <w:gridCol w:w="2097"/>
        <w:gridCol w:w="2163"/>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2539" w:type="dxa"/>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2539" w:type="dxa"/>
            <w:gridSpan w:val="5"/>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6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110.08</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20103</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政府办公厅（室）及相关机构事务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2010350</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事业运行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文化旅游体育与传媒支出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20701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文化和旅游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2070199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其他文化和旅游支出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20805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行政事业单位养老支出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2080505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机关事业单位基本养老保险缴费支出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2080506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机关事业单位职业年金缴费支出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21011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行政事业单位医疗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2101102</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事业单位医疗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2101199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其他行政事业单位医疗支出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22102</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住房改革支出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2210201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住房公积金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2210203</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购房补贴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pPr>
    </w:p>
    <w:p>
      <w:pPr>
        <w:rPr>
          <w:rFonts w:hint="default"/>
          <w:lang w:val="en-US" w:eastAsia="zh-CN"/>
        </w:rPr>
      </w:pPr>
    </w:p>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3</w:t>
      </w:r>
    </w:p>
    <w:tbl>
      <w:tblPr>
        <w:tblStyle w:val="5"/>
        <w:tblW w:w="12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4"/>
        <w:gridCol w:w="4405"/>
        <w:gridCol w:w="1225"/>
        <w:gridCol w:w="1881"/>
        <w:gridCol w:w="2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32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30107</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30110</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30113</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30114</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30205</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30216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5"/>
        <w:gridCol w:w="6900"/>
        <w:gridCol w:w="3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73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工资福利支出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50502</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商品和服务支出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19.12</w:t>
            </w: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3461"/>
        <w:gridCol w:w="1123"/>
        <w:gridCol w:w="3076"/>
        <w:gridCol w:w="3081"/>
        <w:gridCol w:w="2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r>
    </w:tbl>
    <w:p>
      <w:pPr>
        <w:rPr>
          <w:rFonts w:hint="default"/>
          <w:lang w:val="en-US" w:eastAsia="zh-CN"/>
        </w:rPr>
      </w:pPr>
    </w:p>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2996"/>
        <w:gridCol w:w="1772"/>
        <w:gridCol w:w="2994"/>
        <w:gridCol w:w="3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7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5"/>
        <w:gridCol w:w="1908"/>
        <w:gridCol w:w="5157"/>
        <w:gridCol w:w="2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84" w:type="dxa"/>
            <w:gridSpan w:val="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84" w:type="dxa"/>
            <w:gridSpan w:val="4"/>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0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15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8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0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15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84"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2"/>
        <w:gridCol w:w="3308"/>
        <w:gridCol w:w="735"/>
        <w:gridCol w:w="1080"/>
        <w:gridCol w:w="1320"/>
        <w:gridCol w:w="1455"/>
        <w:gridCol w:w="1050"/>
        <w:gridCol w:w="765"/>
        <w:gridCol w:w="825"/>
        <w:gridCol w:w="975"/>
        <w:gridCol w:w="810"/>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12" w:hRule="atLeast"/>
          <w:jc w:val="center"/>
        </w:trPr>
        <w:tc>
          <w:tcPr>
            <w:tcW w:w="13305" w:type="dxa"/>
            <w:gridSpan w:val="11"/>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12" w:hRule="atLeast"/>
          <w:jc w:val="center"/>
        </w:trPr>
        <w:tc>
          <w:tcPr>
            <w:tcW w:w="13305" w:type="dxa"/>
            <w:gridSpan w:val="11"/>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30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30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49" w:type="dxa"/>
            <w:gridSpan w:val="7"/>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110.08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20103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政府办公厅（室）及相关机构事务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2010350</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事业运行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文化旅游体育与传媒支出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20701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文化和旅游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2070199</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其他文化和旅游支出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20805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行政事业单位养老支出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2080505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2080506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机关事业单位职业年金缴费支出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21011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行政事业单位医疗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2101102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事业单位医疗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2101199</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其他行政事业单位医疗支出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22102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住房改革支出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2210201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2210203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购房补贴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0"/>
        <w:gridCol w:w="6631"/>
        <w:gridCol w:w="1347"/>
        <w:gridCol w:w="2061"/>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75"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75"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63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34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6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63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34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6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2010350</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207</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20701</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文化和旅游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2070199</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其他文化和旅游支出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2080505</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2080506</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2101102</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事业单位医疗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2101199</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2210201</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2210203</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购房补贴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snapToGrid w:val="0"/>
              <w:jc w:val="cente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4"/>
                <w:szCs w:val="3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snapToGrid w:val="0"/>
              <w:jc w:val="cente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23"/>
        <w:gridCol w:w="472"/>
        <w:gridCol w:w="472"/>
        <w:gridCol w:w="472"/>
        <w:gridCol w:w="532"/>
        <w:gridCol w:w="536"/>
        <w:gridCol w:w="536"/>
        <w:gridCol w:w="780"/>
        <w:gridCol w:w="420"/>
        <w:gridCol w:w="420"/>
        <w:gridCol w:w="590"/>
        <w:gridCol w:w="473"/>
        <w:gridCol w:w="678"/>
        <w:gridCol w:w="692"/>
        <w:gridCol w:w="420"/>
        <w:gridCol w:w="558"/>
        <w:gridCol w:w="488"/>
        <w:gridCol w:w="590"/>
        <w:gridCol w:w="590"/>
        <w:gridCol w:w="420"/>
        <w:gridCol w:w="536"/>
        <w:gridCol w:w="590"/>
        <w:gridCol w:w="646"/>
        <w:gridCol w:w="746"/>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83" w:type="pct"/>
            <w:gridSpan w:val="2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ascii="宋体" w:hAnsi="宋体" w:eastAsia="宋体" w:cs="宋体"/>
                <w:i w:val="0"/>
                <w:iCs w:val="0"/>
                <w:color w:val="000000"/>
                <w:kern w:val="0"/>
                <w:sz w:val="38"/>
                <w:szCs w:val="38"/>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683" w:type="pct"/>
            <w:gridSpan w:val="24"/>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功能科目</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一般公共预算资金</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一般债券</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外国政府和国际组织贷款</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专项债券</w:t>
            </w: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附属单位上缴收入资金</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事业单位经营收入资金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67"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89"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Style w:val="10"/>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Style w:val="10"/>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0"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default" w:ascii="WenQuanYi Micro Hei" w:hAnsi="WenQuanYi Micro Hei" w:eastAsia="WenQuanYi Micro Hei" w:cs="WenQuanYi Micro Hei"/>
                <w:i w:val="0"/>
                <w:iCs w:val="0"/>
                <w:color w:val="000000"/>
                <w:sz w:val="18"/>
                <w:szCs w:val="18"/>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tc>
        <w:tc>
          <w:tcPr>
            <w:tcW w:w="16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683" w:type="pct"/>
            <w:gridSpan w:val="24"/>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 xml:space="preserve">  1.本来默认为‘一上申报数’，查询时请开“取数时点”</w:t>
            </w: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2"/>
        <w:gridCol w:w="1038"/>
        <w:gridCol w:w="1040"/>
        <w:gridCol w:w="1840"/>
        <w:gridCol w:w="1239"/>
        <w:gridCol w:w="836"/>
        <w:gridCol w:w="1038"/>
        <w:gridCol w:w="1225"/>
        <w:gridCol w:w="658"/>
        <w:gridCol w:w="836"/>
        <w:gridCol w:w="1244"/>
        <w:gridCol w:w="244"/>
        <w:gridCol w:w="244"/>
        <w:gridCol w:w="244"/>
        <w:gridCol w:w="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预算执行率权重</w:t>
            </w:r>
            <w:r>
              <w:rPr>
                <w:rFonts w:hint="eastAsia" w:ascii="等线" w:hAnsi="等线" w:eastAsia="等线" w:cs="等线"/>
                <w:b/>
                <w:bCs/>
                <w:i w:val="0"/>
                <w:iCs w:val="0"/>
                <w:color w:val="000000"/>
                <w:kern w:val="0"/>
                <w:sz w:val="18"/>
                <w:szCs w:val="18"/>
                <w:u w:val="none"/>
                <w:lang w:val="en-US" w:eastAsia="zh-CN" w:bidi="ar"/>
              </w:rPr>
              <w:t>（</w:t>
            </w:r>
            <w:r>
              <w:rPr>
                <w:rFonts w:hint="default" w:ascii="等线" w:hAnsi="等线" w:eastAsia="等线" w:cs="等线"/>
                <w:b/>
                <w:bCs/>
                <w:i w:val="0"/>
                <w:iCs w:val="0"/>
                <w:color w:val="000000"/>
                <w:kern w:val="0"/>
                <w:sz w:val="18"/>
                <w:szCs w:val="18"/>
                <w:u w:val="none"/>
                <w:lang w:val="en-US" w:eastAsia="zh-CN" w:bidi="ar"/>
              </w:rPr>
              <w:t>%</w:t>
            </w:r>
            <w:r>
              <w:rPr>
                <w:rFonts w:hint="eastAsia" w:ascii="等线" w:hAnsi="等线" w:eastAsia="等线" w:cs="等线"/>
                <w:b/>
                <w:bCs/>
                <w:i w:val="0"/>
                <w:iCs w:val="0"/>
                <w:color w:val="000000"/>
                <w:kern w:val="0"/>
                <w:sz w:val="18"/>
                <w:szCs w:val="18"/>
                <w:u w:val="none"/>
                <w:lang w:val="en-US" w:eastAsia="zh-CN" w:bidi="ar"/>
              </w:rPr>
              <w:t>）</w:t>
            </w:r>
            <w:r>
              <w:rPr>
                <w:rFonts w:hint="default" w:ascii="等线" w:hAnsi="等线" w:eastAsia="等线" w:cs="等线"/>
                <w:b/>
                <w:bCs/>
                <w:i w:val="0"/>
                <w:iCs w:val="0"/>
                <w:color w:val="000000"/>
                <w:kern w:val="0"/>
                <w:sz w:val="18"/>
                <w:szCs w:val="18"/>
                <w:u w:val="none"/>
                <w:lang w:val="en-US" w:eastAsia="zh-CN" w:bidi="ar"/>
              </w:rPr>
              <w:t>：</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napToGrid w:val="0"/>
              <w:jc w:val="left"/>
              <w:textAlignment w:val="top"/>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default" w:ascii="等线" w:hAnsi="等线" w:eastAsia="等线" w:cs="等线"/>
                <w:b/>
                <w:bCs/>
                <w:i w:val="0"/>
                <w:iCs w:val="0"/>
                <w:color w:val="000000"/>
                <w:sz w:val="18"/>
                <w:szCs w:val="18"/>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default" w:ascii="等线" w:hAnsi="等线" w:eastAsia="等线" w:cs="等线"/>
                <w:b/>
                <w:bCs/>
                <w:i w:val="0"/>
                <w:iCs w:val="0"/>
                <w:color w:val="000000"/>
                <w:sz w:val="18"/>
                <w:szCs w:val="18"/>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default" w:ascii="等线" w:hAnsi="等线" w:eastAsia="等线" w:cs="等线"/>
                <w:b/>
                <w:bCs/>
                <w:i w:val="0"/>
                <w:iCs w:val="0"/>
                <w:color w:val="000000"/>
                <w:sz w:val="18"/>
                <w:szCs w:val="18"/>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b/>
                <w:bCs/>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等线" w:hAnsi="等线" w:eastAsia="等线" w:cs="等线"/>
                <w:i w:val="0"/>
                <w:iCs w:val="0"/>
                <w:color w:val="000000"/>
                <w:sz w:val="18"/>
                <w:szCs w:val="18"/>
                <w:u w:val="none"/>
              </w:rPr>
            </w:pPr>
          </w:p>
        </w:tc>
      </w:tr>
    </w:tbl>
    <w:p>
      <w:pPr>
        <w:rPr>
          <w:rFonts w:hint="default"/>
          <w:lang w:val="en-US" w:eastAsia="zh-CN"/>
        </w:rPr>
      </w:pPr>
    </w:p>
    <w:p>
      <w:pPr>
        <w:rPr>
          <w:rFonts w:hint="default" w:ascii="方正黑体_GBK" w:hAnsi="方正黑体_GBK" w:eastAsia="方正黑体_GBK" w:cs="方正黑体_GBK"/>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仿宋_GB2312"/>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15DFD"/>
    <w:rsid w:val="03E15DFD"/>
    <w:rsid w:val="17103D25"/>
    <w:rsid w:val="1FFBBF2F"/>
    <w:rsid w:val="29291AB7"/>
    <w:rsid w:val="2F77759F"/>
    <w:rsid w:val="34DFE561"/>
    <w:rsid w:val="39FB7F69"/>
    <w:rsid w:val="4B41617F"/>
    <w:rsid w:val="4EE45CEA"/>
    <w:rsid w:val="53798CC9"/>
    <w:rsid w:val="53DD5E91"/>
    <w:rsid w:val="56F76F08"/>
    <w:rsid w:val="5E705C15"/>
    <w:rsid w:val="6F3B6F30"/>
    <w:rsid w:val="7BFFBA32"/>
    <w:rsid w:val="7F7E31B8"/>
    <w:rsid w:val="7FD9917E"/>
    <w:rsid w:val="9FE6047C"/>
    <w:rsid w:val="A677F6FA"/>
    <w:rsid w:val="BF7FB30B"/>
    <w:rsid w:val="C93B8753"/>
    <w:rsid w:val="CBDFE3DE"/>
    <w:rsid w:val="CFEF42CB"/>
    <w:rsid w:val="DBFB7376"/>
    <w:rsid w:val="DDFD99B4"/>
    <w:rsid w:val="DF3B6955"/>
    <w:rsid w:val="DFD67BB4"/>
    <w:rsid w:val="EDDD97C3"/>
    <w:rsid w:val="F2CAA9B7"/>
    <w:rsid w:val="F31DD545"/>
    <w:rsid w:val="FD468219"/>
    <w:rsid w:val="FEEE1816"/>
    <w:rsid w:val="FF6FE862"/>
    <w:rsid w:val="FFD51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9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2688</Words>
  <Characters>2978</Characters>
  <Lines>0</Lines>
  <Paragraphs>0</Paragraphs>
  <TotalTime>13</TotalTime>
  <ScaleCrop>false</ScaleCrop>
  <LinksUpToDate>false</LinksUpToDate>
  <CharactersWithSpaces>2981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2026-02-07T06:33:00Z</dcterms:created>
  <dc:creator>小雪</dc:creator>
  <cp:lastModifiedBy>uhtf</cp:lastModifiedBy>
  <dcterms:modified xsi:type="dcterms:W3CDTF">2026-04-29T17:50:14Z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2235C23754D4479E8DCA6E10D3082E2E_11</vt:lpwstr>
  </property>
  <property fmtid="{D5CDD505-2E9C-101B-9397-08002B2CF9AE}" pid="4" name="KSOTemplateDocerSaveRecord">
    <vt:lpwstr>eyJoZGlkIjoiMWU5ZmJjNzU4MDQwMDFiZjIxMzVjNmEwZmQyMGMzZDQiLCJ1c2VySWQiOiI0MTM4NjY4MjMifQ==</vt:lpwstr>
  </property>
</Properties>
</file>