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重庆市九龙坡区杨家坪街道新时代文明实践服务中心2025年单位预算情况说明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承担辖区新时代文明实践所、站建设、阵地服务管理，以及新时代文明实践和精神文明建设工作，组织开展科学理论学习实践、宣传宣讲党的政策、培育践行主流价值等工作。</w:t>
      </w:r>
    </w:p>
    <w:p>
      <w:pPr>
        <w:spacing w:line="594" w:lineRule="exact"/>
        <w:jc w:val="left"/>
        <w:rPr>
          <w:rFonts w:ascii="方正仿宋_GBK" w:hAnsi="方正仿宋_GBK" w:cs="方正仿宋_GBK"/>
          <w:szCs w:val="32"/>
        </w:rPr>
      </w:pPr>
      <w:r>
        <w:rPr>
          <w:rFonts w:hint="eastAsia" w:ascii="方正仿宋_GBK" w:hAnsi="方正仿宋_GBK" w:cs="方正仿宋_GBK"/>
          <w:szCs w:val="32"/>
        </w:rPr>
        <w:t>开展社会主义核心价值观宣传教育，弘扬优秀传统美德，常态化开展优秀典型选树，开展移风易俗、弘扬时代新风行动。组织实施文化、宣传、广播电视、体育、科技培训等工作，组织开展群众性文化娱乐和体育健身活动，繁荣群众文化体育事业，做好宣传文化体育阵地建设。搜集整理民族民间非物质文化遗产，协助开展文化旅游资源普查、规划、整合、开发和保护相关工作。开展文化宣传、文艺创作、文艺培训、体育运动，指导社区开展各种文化活动，培训社区文艺骨干。管理辖区内文艺社团，开展文化艺术、体育运动交流，保护并传承健康高尚的传统文化。承担辖区内工会、团委、妇联等群团组织的事务性工作，发挥群团组织的桥梁纽带作用。完成街道党工委、办事处交办的其他任务。</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spacing w:line="600" w:lineRule="exact"/>
        <w:ind w:firstLine="640" w:firstLineChars="200"/>
        <w:rPr>
          <w:rFonts w:ascii="方正仿宋_GBK" w:hAnsi="仿宋" w:cs="仿宋"/>
          <w:bCs/>
          <w:szCs w:val="32"/>
        </w:rPr>
      </w:pPr>
      <w:r>
        <w:rPr>
          <w:rFonts w:ascii="方正仿宋_GBK" w:hAnsi="仿宋" w:cs="仿宋"/>
          <w:bCs/>
          <w:szCs w:val="32"/>
        </w:rPr>
        <w:t>本单位为重庆市九龙坡区人民政府杨家坪街道办事处下属</w:t>
      </w:r>
      <w:r>
        <w:rPr>
          <w:rFonts w:ascii="方正仿宋_GBK"/>
          <w:color w:val="000000"/>
          <w:szCs w:val="32"/>
        </w:rPr>
        <w:t>二</w:t>
      </w:r>
      <w:r>
        <w:rPr>
          <w:rFonts w:ascii="方正仿宋_GBK" w:hAnsi="仿宋" w:cs="仿宋"/>
          <w:bCs/>
          <w:szCs w:val="32"/>
        </w:rPr>
        <w:t>级</w:t>
      </w:r>
      <w:r>
        <w:rPr>
          <w:rFonts w:ascii="方正仿宋_GBK" w:hAnsi="仿宋" w:cs="仿宋"/>
          <w:bCs/>
          <w:spacing w:val="14"/>
          <w:szCs w:val="32"/>
        </w:rPr>
        <w:t>预算单位，单位类型</w:t>
      </w:r>
      <w:r>
        <w:rPr>
          <w:rFonts w:ascii="方正仿宋_GBK" w:hAnsi="仿宋" w:cs="仿宋"/>
          <w:bCs/>
          <w:szCs w:val="32"/>
        </w:rPr>
        <w:t>为</w:t>
      </w:r>
      <w:r>
        <w:rPr>
          <w:rFonts w:ascii="方正仿宋_GBK"/>
          <w:color w:val="000000"/>
          <w:szCs w:val="32"/>
        </w:rPr>
        <w:t>公益一类事业</w:t>
      </w:r>
      <w:r>
        <w:rPr>
          <w:rFonts w:ascii="方正仿宋_GBK" w:hAnsi="仿宋" w:cs="仿宋"/>
          <w:bCs/>
          <w:szCs w:val="32"/>
        </w:rPr>
        <w:t>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2025年年初预算数87.61万元，其中：一般公共预算拨款87.61万元。收入较2024年增加87.61万元，主要是本单位为新设立单位，人员经费、公用经费、项目经费拨款增加87.61万元。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2025年年初预算数87.61万元，其中：文化旅游体育与传媒支出预算</w:t>
      </w:r>
      <w:r>
        <w:rPr>
          <w:rFonts w:cs="仿宋_GB2312"/>
        </w:rPr>
        <w:t>71.26</w:t>
      </w:r>
      <w:r>
        <w:rPr>
          <w:rFonts w:hint="eastAsia" w:cs="仿宋_GB2312"/>
        </w:rPr>
        <w:t>万元，社会保障和就业支出预算</w:t>
      </w:r>
      <w:r>
        <w:rPr>
          <w:rFonts w:cs="仿宋_GB2312"/>
        </w:rPr>
        <w:t>7.98</w:t>
      </w:r>
      <w:r>
        <w:rPr>
          <w:rFonts w:hint="eastAsia" w:cs="仿宋_GB2312"/>
        </w:rPr>
        <w:t>万元，卫生健康支出预算</w:t>
      </w:r>
      <w:r>
        <w:rPr>
          <w:rFonts w:cs="仿宋_GB2312"/>
        </w:rPr>
        <w:t>2.67</w:t>
      </w:r>
      <w:r>
        <w:rPr>
          <w:rFonts w:hint="eastAsia" w:cs="仿宋_GB2312"/>
        </w:rPr>
        <w:t>万元，住房保障支出预算</w:t>
      </w:r>
      <w:r>
        <w:rPr>
          <w:rFonts w:cs="仿宋_GB2312"/>
        </w:rPr>
        <w:t>5.7</w:t>
      </w:r>
      <w:r>
        <w:rPr>
          <w:rFonts w:hint="eastAsia" w:cs="仿宋_GB2312"/>
        </w:rPr>
        <w:t>0万元。支出预算较2024年增加87.61万元，主要是基本支出预算增加69.61万元，项目支出预算增加18万元。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87.61万元，一般公共预算财政拨款支出87.61万元，比2024年增加87.61万元。其中：基本支出69.61万元，比2024年增加69.61万元，主要原因是本单位为新设立单位，人员经费、公用经费拨款增加，主要用于保障在职人员工资福利及社会保险缴费，保障单位正常运转的各项商品服务支出；项目支出18万元，比2024年增加18万元，主要原因是公务用车购置费用增加18万元，主要用于保障公务出行顺畅、</w:t>
      </w:r>
      <w:r>
        <w:rPr>
          <w:rFonts w:hint="eastAsia" w:ascii="方正仿宋_GBK" w:hAnsi="方正仿宋_GBK" w:cs="方正仿宋_GBK"/>
          <w:szCs w:val="32"/>
        </w:rPr>
        <w:t>新时代文明实践和精神文明建设等</w:t>
      </w:r>
      <w:r>
        <w:rPr>
          <w:rFonts w:hint="eastAsia" w:cs="仿宋_GB2312"/>
        </w:rPr>
        <w:t>重点工作顺利开展。</w:t>
      </w:r>
    </w:p>
    <w:p>
      <w:pPr>
        <w:adjustRightInd w:val="0"/>
        <w:snapToGrid w:val="0"/>
        <w:spacing w:line="600" w:lineRule="exact"/>
        <w:ind w:firstLine="640" w:firstLineChars="200"/>
        <w:rPr>
          <w:rFonts w:cs="仿宋_GB2312"/>
        </w:rPr>
      </w:pPr>
      <w:r>
        <w:rPr>
          <w:rFonts w:hint="eastAsia" w:cs="仿宋_GB2312"/>
        </w:rPr>
        <w:t>重庆市九龙坡区杨家坪街道新时代文明实践服务中心2025年无使用政府性基金预算拨款安排的支出。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rPr>
      </w:pPr>
      <w:r>
        <w:rPr>
          <w:rFonts w:hint="eastAsia" w:cs="仿宋_GB2312"/>
        </w:rPr>
        <w:t>2025年“三公”经费预算18万元，比2024年增加18万元。其中：公务用车购置费18万元，比2024年增加18万元；主要原因是原公务车老旧，已超可报废年限，需新购置公务车1辆保障日常公务出行，保障</w:t>
      </w:r>
      <w:r>
        <w:rPr>
          <w:rFonts w:hint="eastAsia" w:ascii="方正仿宋_GBK" w:hAnsi="方正仿宋_GBK" w:cs="方正仿宋_GBK"/>
          <w:szCs w:val="32"/>
        </w:rPr>
        <w:t>新时代文明实践和精神文明建设等</w:t>
      </w:r>
      <w:r>
        <w:rPr>
          <w:rFonts w:hint="eastAsia" w:cs="仿宋_GB2312"/>
        </w:rPr>
        <w:t>重点工作顺利开展。</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2025年项目支出均实行了绩效目标管理，涉及一般公共预算当年财政拨款18万元。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附表：1.2025年杨家坪街道新时代文明实践服务中心财政拨款收支总表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.2025年杨家坪街道新时代文明实践服务中心一般公共预算财政拨款支出预算表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3.2025年杨家坪街道新时代文明实践服务中心一般公共预算财政拨款基本支出预算表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4.2025年杨家坪街道新时代文明实践服务中心一般公共预算财政拨款基本支出预算表（政府预算支出经济分类科目）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5.2025年杨家坪街道新时代文明实践服务中心一般公共预算“三公”经费支出表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6.2025年杨家坪街道新时代文明实践服务中心政府性基金预算支出表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7.2025年杨家坪街道新时代文明实践服务中心部门收支总表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 w:val="32"/>
          <w:szCs w:val="32"/>
        </w:rPr>
      </w:pPr>
      <w:r>
        <w:rPr>
          <w:rFonts w:hint="eastAsia"/>
          <w:sz w:val="32"/>
          <w:szCs w:val="32"/>
        </w:rPr>
        <w:t>8.2025年杨家坪街道新时代文明实践服务中心部门收入总表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 w:val="32"/>
          <w:szCs w:val="32"/>
        </w:rPr>
      </w:pPr>
      <w:r>
        <w:rPr>
          <w:rFonts w:hint="eastAsia"/>
          <w:sz w:val="32"/>
          <w:szCs w:val="32"/>
        </w:rPr>
        <w:t>9.2025年杨家坪街道新时代文明实践服务中心部门支出总表（功能科目分类到项）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10.2025年杨家坪街道新时代文明实践服务中心一般公共预算财政拨款项目支出预算表（部门预算支出经济分类科目）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11.2025年杨家坪街道新时代文明实践服务中心一般公共预算财政拨款项目支出预算表（政府预算支出经济分类科目）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12.2025年杨家坪街道新时代文明实践服务中心政府采购明细表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Cs w:val="32"/>
        </w:rPr>
      </w:pPr>
      <w:r>
        <w:rPr>
          <w:rFonts w:hint="eastAsia"/>
          <w:sz w:val="32"/>
          <w:szCs w:val="32"/>
        </w:rPr>
        <w:t>13.2025年杨家坪街道新时代文明实践服务中心项目绩效目标表</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附表1</w:t>
      </w:r>
    </w:p>
    <w:tbl>
      <w:tblPr>
        <w:tblStyle w:val="5"/>
        <w:tblW w:w="5000" w:type="pct"/>
        <w:tblInd w:w="0" w:type="dxa"/>
        <w:tblLayout w:type="autofit"/>
        <w:tblCellMar>
          <w:top w:w="0" w:type="dxa"/>
          <w:left w:w="108" w:type="dxa"/>
          <w:bottom w:w="0" w:type="dxa"/>
          <w:right w:w="108" w:type="dxa"/>
        </w:tblCellMar>
      </w:tblPr>
      <w:tblGrid>
        <w:gridCol w:w="2616"/>
        <w:gridCol w:w="1822"/>
        <w:gridCol w:w="2856"/>
        <w:gridCol w:w="1806"/>
        <w:gridCol w:w="1715"/>
        <w:gridCol w:w="1644"/>
        <w:gridCol w:w="1715"/>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重庆市九龙坡区杨家坪街道新时代文明实践服务中心财政拨款收支总表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87.61</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71.26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71.26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5"/>
        <w:tblW w:w="5000" w:type="pct"/>
        <w:tblInd w:w="0" w:type="dxa"/>
        <w:tblLayout w:type="autofit"/>
        <w:tblCellMar>
          <w:top w:w="0" w:type="dxa"/>
          <w:left w:w="108" w:type="dxa"/>
          <w:bottom w:w="0" w:type="dxa"/>
          <w:right w:w="108" w:type="dxa"/>
        </w:tblCellMar>
      </w:tblPr>
      <w:tblGrid>
        <w:gridCol w:w="1667"/>
        <w:gridCol w:w="5471"/>
        <w:gridCol w:w="2373"/>
        <w:gridCol w:w="2441"/>
        <w:gridCol w:w="2222"/>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重庆市九龙坡区杨家坪街道新时代文明实践服务中心一般公共预算财政拨款支出预算表</w:t>
            </w:r>
          </w:p>
        </w:tc>
      </w:tr>
      <w:tr>
        <w:tblPrEx>
          <w:tblCellMar>
            <w:top w:w="0" w:type="dxa"/>
            <w:left w:w="108" w:type="dxa"/>
            <w:bottom w:w="0" w:type="dxa"/>
            <w:right w:w="108" w:type="dxa"/>
          </w:tblCellMar>
        </w:tblPrEx>
        <w:trPr>
          <w:trHeight w:val="413" w:hRule="atLeast"/>
        </w:trPr>
        <w:tc>
          <w:tcPr>
            <w:tcW w:w="588"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1"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87.61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69.61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18.00</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207</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文化旅游体育与传媒支出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71.26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53.26</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18.00</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20701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文化和旅游</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71.26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53.26</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18.00</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2070199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其他文化和旅游支出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71.26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53.26</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18.00</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7.98</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2.66</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2.67</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2.67</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2.34</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0.33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0.33</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4.83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4.83</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0.87</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5"/>
        <w:tblW w:w="5000" w:type="pct"/>
        <w:tblInd w:w="0" w:type="dxa"/>
        <w:tblLayout w:type="autofit"/>
        <w:tblCellMar>
          <w:top w:w="0" w:type="dxa"/>
          <w:left w:w="108" w:type="dxa"/>
          <w:bottom w:w="0" w:type="dxa"/>
          <w:right w:w="108" w:type="dxa"/>
        </w:tblCellMar>
      </w:tblPr>
      <w:tblGrid>
        <w:gridCol w:w="2511"/>
        <w:gridCol w:w="5735"/>
        <w:gridCol w:w="1021"/>
        <w:gridCol w:w="1967"/>
        <w:gridCol w:w="2940"/>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重庆市九龙坡区杨家坪街道新时代文明实践服务中心一般公共预算财政拨款基本支出预算表</w:t>
            </w: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8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2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4"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2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090"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8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02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2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69.61</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55.92</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13.69</w:t>
            </w:r>
          </w:p>
        </w:tc>
      </w:tr>
      <w:tr>
        <w:tblPrEx>
          <w:tblCellMar>
            <w:top w:w="0" w:type="dxa"/>
            <w:left w:w="108" w:type="dxa"/>
            <w:bottom w:w="0" w:type="dxa"/>
            <w:right w:w="108" w:type="dxa"/>
          </w:tblCellMar>
        </w:tblPrEx>
        <w:trPr>
          <w:trHeight w:val="398" w:hRule="atLeast"/>
        </w:trPr>
        <w:tc>
          <w:tcPr>
            <w:tcW w:w="8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02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55.92</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55.92</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11.23</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11.23</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1.33</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1.33</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30107</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绩效工资</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26.76</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26.76</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5.32</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5.32</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2.66</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2.66</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1.86</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1.86</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0.39</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0.39</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4.83</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4.83</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0.93</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0.93</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02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13.69</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13.69</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10.31</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10.31</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0.21</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0.21</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0.94</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0.94</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0.72</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0.72</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0.33</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0.33</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0.44</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0.44</w:t>
            </w:r>
          </w:p>
        </w:tc>
      </w:tr>
      <w:tr>
        <w:tblPrEx>
          <w:tblCellMar>
            <w:top w:w="0" w:type="dxa"/>
            <w:left w:w="108" w:type="dxa"/>
            <w:bottom w:w="0" w:type="dxa"/>
            <w:right w:w="108" w:type="dxa"/>
          </w:tblCellMar>
        </w:tblPrEx>
        <w:trPr>
          <w:trHeight w:val="379" w:hRule="atLeast"/>
        </w:trPr>
        <w:tc>
          <w:tcPr>
            <w:tcW w:w="88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02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0.66</w:t>
            </w:r>
          </w:p>
        </w:tc>
        <w:tc>
          <w:tcPr>
            <w:tcW w:w="6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0.66</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5"/>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重庆市九龙坡区杨家坪街道新时代文明实践服务中心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69.61</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69.61</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55.92</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13.69</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附表5</w:t>
      </w:r>
    </w:p>
    <w:tbl>
      <w:tblPr>
        <w:tblStyle w:val="5"/>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重庆市九龙坡区杨家坪街道新时代文明实践服务中心一般公共预算“三公”经费支出表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18.00</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18.00</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18.00</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r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附表6</w:t>
      </w:r>
    </w:p>
    <w:tbl>
      <w:tblPr>
        <w:tblStyle w:val="5"/>
        <w:tblW w:w="5000" w:type="pct"/>
        <w:tblInd w:w="0" w:type="dxa"/>
        <w:tblLayout w:type="autofit"/>
        <w:tblCellMar>
          <w:top w:w="0" w:type="dxa"/>
          <w:left w:w="108" w:type="dxa"/>
          <w:bottom w:w="0" w:type="dxa"/>
          <w:right w:w="108" w:type="dxa"/>
        </w:tblCellMar>
      </w:tblPr>
      <w:tblGrid>
        <w:gridCol w:w="2729"/>
        <w:gridCol w:w="5877"/>
        <w:gridCol w:w="1123"/>
        <w:gridCol w:w="2171"/>
        <w:gridCol w:w="2274"/>
      </w:tblGrid>
      <w:tr>
        <w:tblPrEx>
          <w:tblCellMar>
            <w:top w:w="0" w:type="dxa"/>
            <w:left w:w="108" w:type="dxa"/>
            <w:bottom w:w="0" w:type="dxa"/>
            <w:right w:w="108" w:type="dxa"/>
          </w:tblCellMar>
        </w:tblPrEx>
        <w:trPr>
          <w:trHeight w:val="499"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重庆市九龙坡区杨家坪街道新时代文明实践服务中心政府性基金预算支出表</w:t>
            </w:r>
          </w:p>
        </w:tc>
      </w:tr>
      <w:tr>
        <w:tblPrEx>
          <w:tblCellMar>
            <w:top w:w="0" w:type="dxa"/>
            <w:left w:w="108" w:type="dxa"/>
            <w:bottom w:w="0" w:type="dxa"/>
            <w:right w:w="108" w:type="dxa"/>
          </w:tblCellMar>
        </w:tblPrEx>
        <w:trPr>
          <w:trHeight w:val="533"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432" w:hRule="atLeast"/>
        </w:trPr>
        <w:tc>
          <w:tcPr>
            <w:tcW w:w="96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99"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72"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0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963"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96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07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9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9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9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0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5"/>
        <w:tblW w:w="5000" w:type="pct"/>
        <w:tblInd w:w="0" w:type="dxa"/>
        <w:tblLayout w:type="autofit"/>
        <w:tblCellMar>
          <w:top w:w="0" w:type="dxa"/>
          <w:left w:w="108" w:type="dxa"/>
          <w:bottom w:w="0" w:type="dxa"/>
          <w:right w:w="108" w:type="dxa"/>
        </w:tblCellMar>
      </w:tblPr>
      <w:tblGrid>
        <w:gridCol w:w="4841"/>
        <w:gridCol w:w="1741"/>
        <w:gridCol w:w="5327"/>
        <w:gridCol w:w="2265"/>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重庆市九龙坡区杨家坪街道新时代文明实践服务中心部门收支总表</w:t>
            </w:r>
          </w:p>
        </w:tc>
      </w:tr>
      <w:tr>
        <w:tblPrEx>
          <w:tblCellMar>
            <w:top w:w="0" w:type="dxa"/>
            <w:left w:w="108" w:type="dxa"/>
            <w:bottom w:w="0" w:type="dxa"/>
            <w:right w:w="108" w:type="dxa"/>
          </w:tblCellMar>
        </w:tblPrEx>
        <w:trPr>
          <w:trHeight w:val="465" w:hRule="atLeast"/>
        </w:trPr>
        <w:tc>
          <w:tcPr>
            <w:tcW w:w="170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87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677"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87.61</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87.61</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87.61</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71.26</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7.98</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2.67</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5.70</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70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附表8</w:t>
      </w:r>
    </w:p>
    <w:tbl>
      <w:tblPr>
        <w:tblStyle w:val="5"/>
        <w:tblW w:w="5000" w:type="pct"/>
        <w:tblInd w:w="0" w:type="dxa"/>
        <w:tblLayout w:type="autofit"/>
        <w:tblCellMar>
          <w:top w:w="0" w:type="dxa"/>
          <w:left w:w="108" w:type="dxa"/>
          <w:bottom w:w="0" w:type="dxa"/>
          <w:right w:w="108" w:type="dxa"/>
        </w:tblCellMar>
      </w:tblPr>
      <w:tblGrid>
        <w:gridCol w:w="980"/>
        <w:gridCol w:w="2967"/>
        <w:gridCol w:w="621"/>
        <w:gridCol w:w="954"/>
        <w:gridCol w:w="1038"/>
        <w:gridCol w:w="1089"/>
        <w:gridCol w:w="1038"/>
        <w:gridCol w:w="1055"/>
        <w:gridCol w:w="1055"/>
        <w:gridCol w:w="1021"/>
        <w:gridCol w:w="1106"/>
        <w:gridCol w:w="1250"/>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4"/>
                <w:szCs w:val="34"/>
              </w:rPr>
              <w:t>重庆市九龙坡区杨家坪街道新时代文明实践服务中心部门收入总表</w:t>
            </w:r>
          </w:p>
        </w:tc>
      </w:tr>
      <w:tr>
        <w:tblPrEx>
          <w:tblCellMar>
            <w:top w:w="0" w:type="dxa"/>
            <w:left w:w="108" w:type="dxa"/>
            <w:bottom w:w="0" w:type="dxa"/>
            <w:right w:w="108" w:type="dxa"/>
          </w:tblCellMar>
        </w:tblPrEx>
        <w:trPr>
          <w:trHeight w:val="447" w:hRule="atLeast"/>
        </w:trPr>
        <w:tc>
          <w:tcPr>
            <w:tcW w:w="3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9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1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87.61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87.61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207</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文化旅游体育与传媒支出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20701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文化和旅游</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2070199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其他文化和旅游支出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71.26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5.32</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5.32</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2.67</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2.67</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2.67</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2.67</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2.34</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2.34</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0.33</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0.33</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5.70</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5.70</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4.83</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4.83</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0.87</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0.87</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附表9</w:t>
      </w:r>
    </w:p>
    <w:tbl>
      <w:tblPr>
        <w:tblStyle w:val="5"/>
        <w:tblW w:w="5000" w:type="pct"/>
        <w:tblInd w:w="0" w:type="dxa"/>
        <w:tblLayout w:type="autofit"/>
        <w:tblCellMar>
          <w:top w:w="0" w:type="dxa"/>
          <w:left w:w="108" w:type="dxa"/>
          <w:bottom w:w="0" w:type="dxa"/>
          <w:right w:w="108" w:type="dxa"/>
        </w:tblCellMar>
      </w:tblPr>
      <w:tblGrid>
        <w:gridCol w:w="2434"/>
        <w:gridCol w:w="4176"/>
        <w:gridCol w:w="2662"/>
        <w:gridCol w:w="2583"/>
        <w:gridCol w:w="2319"/>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重庆市九龙坡区杨家坪街道新时代文明实践服务中心部门支出总表</w:t>
            </w:r>
          </w:p>
        </w:tc>
      </w:tr>
      <w:tr>
        <w:tblPrEx>
          <w:tblCellMar>
            <w:top w:w="0" w:type="dxa"/>
            <w:left w:w="108" w:type="dxa"/>
            <w:bottom w:w="0" w:type="dxa"/>
            <w:right w:w="108" w:type="dxa"/>
          </w:tblCellMar>
        </w:tblPrEx>
        <w:trPr>
          <w:trHeight w:val="379" w:hRule="atLeast"/>
        </w:trPr>
        <w:tc>
          <w:tcPr>
            <w:tcW w:w="85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87.61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69.61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18.00</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207</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71.26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53.26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20701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文化和旅游</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71.26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53.26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2070199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其他文化和旅游支出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71.26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53.26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7.98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5.32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5.32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2.67</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0.33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0.33</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5.70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4.83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4.83</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0.87</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0.87</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5"/>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Cs w:val="32"/>
              </w:rPr>
              <w:t>重庆市九龙坡区杨家坪街道新时代文明实践服务中心</w:t>
            </w:r>
            <w:r>
              <w:rPr>
                <w:rFonts w:hint="eastAsia" w:ascii="方正小标宋_GBK" w:hAnsi="宋体" w:eastAsia="方正小标宋_GBK" w:cs="宋体"/>
                <w:color w:val="000000"/>
                <w:kern w:val="0"/>
                <w:szCs w:val="32"/>
              </w:rPr>
              <w:br w:type="textWrapping"/>
            </w:r>
            <w:r>
              <w:rPr>
                <w:rFonts w:hint="eastAsia" w:ascii="方正小标宋_GBK" w:hAnsi="宋体" w:eastAsia="方正小标宋_GBK" w:cs="宋体"/>
                <w:color w:val="000000"/>
                <w:kern w:val="0"/>
                <w:szCs w:val="32"/>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18.00</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310</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资本性支出</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31013</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公务用车购置</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5"/>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重庆市九龙坡区杨家坪街道新时代文明实践服务中心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18.00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506</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对事业单位资本性补助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50601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资本性支出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18.00</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5"/>
        <w:tblW w:w="5000" w:type="pct"/>
        <w:tblInd w:w="0" w:type="dxa"/>
        <w:tblLayout w:type="autofit"/>
        <w:tblCellMar>
          <w:top w:w="0" w:type="dxa"/>
          <w:left w:w="108" w:type="dxa"/>
          <w:bottom w:w="0" w:type="dxa"/>
          <w:right w:w="108" w:type="dxa"/>
        </w:tblCellMar>
      </w:tblPr>
      <w:tblGrid>
        <w:gridCol w:w="484"/>
        <w:gridCol w:w="484"/>
        <w:gridCol w:w="487"/>
        <w:gridCol w:w="487"/>
        <w:gridCol w:w="487"/>
        <w:gridCol w:w="487"/>
        <w:gridCol w:w="487"/>
        <w:gridCol w:w="487"/>
        <w:gridCol w:w="487"/>
        <w:gridCol w:w="488"/>
        <w:gridCol w:w="488"/>
        <w:gridCol w:w="488"/>
        <w:gridCol w:w="488"/>
        <w:gridCol w:w="499"/>
        <w:gridCol w:w="488"/>
        <w:gridCol w:w="488"/>
        <w:gridCol w:w="493"/>
        <w:gridCol w:w="488"/>
        <w:gridCol w:w="488"/>
        <w:gridCol w:w="488"/>
        <w:gridCol w:w="488"/>
        <w:gridCol w:w="488"/>
        <w:gridCol w:w="488"/>
        <w:gridCol w:w="488"/>
        <w:gridCol w:w="2461"/>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重庆市九龙坡区杨家坪街道新时代文明实践服务中心政府采购明细表</w:t>
            </w:r>
          </w:p>
        </w:tc>
      </w:tr>
      <w:tr>
        <w:tblPrEx>
          <w:tblCellMar>
            <w:top w:w="0" w:type="dxa"/>
            <w:left w:w="108" w:type="dxa"/>
            <w:bottom w:w="0" w:type="dxa"/>
            <w:right w:w="108" w:type="dxa"/>
          </w:tblCellMar>
        </w:tblPrEx>
        <w:trPr>
          <w:trHeight w:val="327" w:hRule="atLeast"/>
        </w:trPr>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金额单位：万元</w:t>
            </w:r>
          </w:p>
        </w:tc>
      </w:tr>
      <w:tr>
        <w:tblPrEx>
          <w:tblCellMar>
            <w:top w:w="0" w:type="dxa"/>
            <w:left w:w="108" w:type="dxa"/>
            <w:bottom w:w="0" w:type="dxa"/>
            <w:right w:w="108" w:type="dxa"/>
          </w:tblCellMar>
        </w:tblPrEx>
        <w:trPr>
          <w:trHeight w:val="672"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22"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5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7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7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7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tbl>
      <w:tblPr>
        <w:tblStyle w:val="5"/>
        <w:tblW w:w="5000" w:type="pct"/>
        <w:tblInd w:w="0" w:type="dxa"/>
        <w:tblLayout w:type="autofit"/>
        <w:tblCellMar>
          <w:top w:w="0" w:type="dxa"/>
          <w:left w:w="108" w:type="dxa"/>
          <w:bottom w:w="0" w:type="dxa"/>
          <w:right w:w="108" w:type="dxa"/>
        </w:tblCellMar>
      </w:tblPr>
      <w:tblGrid>
        <w:gridCol w:w="1412"/>
        <w:gridCol w:w="1357"/>
        <w:gridCol w:w="2753"/>
        <w:gridCol w:w="1235"/>
        <w:gridCol w:w="853"/>
        <w:gridCol w:w="599"/>
        <w:gridCol w:w="725"/>
        <w:gridCol w:w="832"/>
        <w:gridCol w:w="471"/>
        <w:gridCol w:w="599"/>
        <w:gridCol w:w="853"/>
        <w:gridCol w:w="618"/>
        <w:gridCol w:w="618"/>
        <w:gridCol w:w="618"/>
        <w:gridCol w:w="631"/>
      </w:tblGrid>
      <w:tr>
        <w:tblPrEx>
          <w:tblCellMar>
            <w:top w:w="0" w:type="dxa"/>
            <w:left w:w="108" w:type="dxa"/>
            <w:bottom w:w="0" w:type="dxa"/>
            <w:right w:w="108" w:type="dxa"/>
          </w:tblCellMar>
        </w:tblPrEx>
        <w:trPr>
          <w:trHeight w:val="270" w:hRule="atLeast"/>
        </w:trPr>
        <w:tc>
          <w:tcPr>
            <w:tcW w:w="5000" w:type="pct"/>
            <w:gridSpan w:val="15"/>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方正小标宋_GBK" w:hAnsi="宋体" w:eastAsia="方正小标宋_GBK" w:cs="宋体"/>
                <w:color w:val="000000"/>
                <w:kern w:val="0"/>
                <w:sz w:val="34"/>
                <w:szCs w:val="34"/>
              </w:rPr>
              <w:t>重庆市九龙坡区杨家坪街道新时代文</w:t>
            </w:r>
            <w:bookmarkStart w:id="0" w:name="_GoBack"/>
            <w:bookmarkEnd w:id="0"/>
            <w:r>
              <w:rPr>
                <w:rFonts w:hint="eastAsia" w:ascii="方正小标宋_GBK" w:hAnsi="宋体" w:eastAsia="方正小标宋_GBK" w:cs="宋体"/>
                <w:color w:val="000000"/>
                <w:kern w:val="0"/>
                <w:sz w:val="34"/>
                <w:szCs w:val="34"/>
              </w:rPr>
              <w:t>明实践服务中心项目绩效目标表</w:t>
            </w:r>
          </w:p>
        </w:tc>
      </w:tr>
      <w:tr>
        <w:tblPrEx>
          <w:tblCellMar>
            <w:top w:w="0" w:type="dxa"/>
            <w:left w:w="108" w:type="dxa"/>
            <w:bottom w:w="0" w:type="dxa"/>
            <w:right w:w="108" w:type="dxa"/>
          </w:tblCellMar>
        </w:tblPrEx>
        <w:trPr>
          <w:trHeight w:val="270" w:hRule="atLeast"/>
        </w:trPr>
        <w:tc>
          <w:tcPr>
            <w:tcW w:w="498" w:type="pct"/>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宋体"/>
                <w:b/>
                <w:bCs/>
                <w:color w:val="000000"/>
                <w:kern w:val="0"/>
                <w:sz w:val="18"/>
                <w:szCs w:val="18"/>
              </w:rPr>
            </w:pPr>
          </w:p>
        </w:tc>
        <w:tc>
          <w:tcPr>
            <w:tcW w:w="1450" w:type="pct"/>
            <w:gridSpan w:val="2"/>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35" w:type="pct"/>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宋体"/>
                <w:b/>
                <w:bCs/>
                <w:color w:val="000000"/>
                <w:kern w:val="0"/>
                <w:sz w:val="18"/>
                <w:szCs w:val="18"/>
              </w:rPr>
            </w:pPr>
          </w:p>
        </w:tc>
        <w:tc>
          <w:tcPr>
            <w:tcW w:w="1227" w:type="pct"/>
            <w:gridSpan w:val="5"/>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512" w:type="pct"/>
            <w:gridSpan w:val="2"/>
            <w:tcBorders>
              <w:top w:val="nil"/>
              <w:left w:val="nil"/>
              <w:bottom w:val="single" w:color="000000" w:sz="4" w:space="0"/>
              <w:right w:val="nil"/>
            </w:tcBorders>
            <w:shd w:val="clear" w:color="auto" w:fill="auto"/>
            <w:noWrap/>
            <w:vAlign w:val="center"/>
          </w:tcPr>
          <w:p>
            <w:pPr>
              <w:widowControl/>
              <w:jc w:val="right"/>
              <w:rPr>
                <w:rFonts w:hint="eastAsia" w:ascii="宋体" w:hAnsi="宋体" w:eastAsia="宋体" w:cs="宋体"/>
                <w:b/>
                <w:bCs/>
                <w:color w:val="000000"/>
                <w:kern w:val="0"/>
                <w:sz w:val="18"/>
                <w:szCs w:val="18"/>
              </w:rPr>
            </w:pPr>
          </w:p>
        </w:tc>
        <w:tc>
          <w:tcPr>
            <w:tcW w:w="875" w:type="pct"/>
            <w:gridSpan w:val="4"/>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1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915004-重庆市九龙坡区杨家坪街道新时代文明实践服务中心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2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公务车购置</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8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1601-社区文化活动/01-社区文化活动</w:t>
            </w:r>
          </w:p>
        </w:tc>
      </w:tr>
      <w:tr>
        <w:tblPrEx>
          <w:tblCellMar>
            <w:top w:w="0" w:type="dxa"/>
            <w:left w:w="108" w:type="dxa"/>
            <w:bottom w:w="0" w:type="dxa"/>
            <w:right w:w="108" w:type="dxa"/>
          </w:tblCellMar>
        </w:tblPrEx>
        <w:trPr>
          <w:trHeight w:val="270" w:hRule="atLeast"/>
        </w:trPr>
        <w:tc>
          <w:tcPr>
            <w:tcW w:w="498" w:type="pct"/>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1450" w:type="pct"/>
            <w:gridSpan w:val="2"/>
            <w:tcBorders>
              <w:top w:val="single" w:color="000000"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915-重庆市九龙坡区人民政府杨家坪街道办事处</w:t>
            </w:r>
          </w:p>
        </w:tc>
        <w:tc>
          <w:tcPr>
            <w:tcW w:w="435" w:type="pct"/>
            <w:tcBorders>
              <w:top w:val="single" w:color="000000"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227" w:type="pct"/>
            <w:gridSpan w:val="5"/>
            <w:tcBorders>
              <w:top w:val="single" w:color="000000"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胡晓</w:t>
            </w:r>
          </w:p>
        </w:tc>
        <w:tc>
          <w:tcPr>
            <w:tcW w:w="512" w:type="pct"/>
            <w:gridSpan w:val="2"/>
            <w:tcBorders>
              <w:top w:val="single" w:color="000000"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875" w:type="pct"/>
            <w:gridSpan w:val="4"/>
            <w:tcBorders>
              <w:top w:val="single" w:color="000000"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145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227"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68106371</w:t>
            </w:r>
          </w:p>
        </w:tc>
        <w:tc>
          <w:tcPr>
            <w:tcW w:w="211"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30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87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r>
      <w:tr>
        <w:tblPrEx>
          <w:tblCellMar>
            <w:top w:w="0" w:type="dxa"/>
            <w:left w:w="108" w:type="dxa"/>
            <w:bottom w:w="0" w:type="dxa"/>
            <w:right w:w="108" w:type="dxa"/>
          </w:tblCellMar>
        </w:tblPrEx>
        <w:trPr>
          <w:trHeight w:val="270" w:hRule="atLeast"/>
        </w:trPr>
        <w:tc>
          <w:tcPr>
            <w:tcW w:w="498"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3113"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保障单位公务出行运转正常</w:t>
            </w:r>
          </w:p>
        </w:tc>
        <w:tc>
          <w:tcPr>
            <w:tcW w:w="5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87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 </w:t>
            </w:r>
          </w:p>
        </w:tc>
      </w:tr>
      <w:tr>
        <w:tblPrEx>
          <w:tblCellMar>
            <w:top w:w="0" w:type="dxa"/>
            <w:left w:w="108" w:type="dxa"/>
            <w:bottom w:w="0" w:type="dxa"/>
            <w:right w:w="108" w:type="dxa"/>
          </w:tblCellMar>
        </w:tblPrEx>
        <w:trPr>
          <w:trHeight w:val="270" w:hRule="atLeast"/>
        </w:trPr>
        <w:tc>
          <w:tcPr>
            <w:tcW w:w="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113"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87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 </w:t>
            </w:r>
          </w:p>
        </w:tc>
      </w:tr>
      <w:tr>
        <w:tblPrEx>
          <w:tblCellMar>
            <w:top w:w="0" w:type="dxa"/>
            <w:left w:w="108" w:type="dxa"/>
            <w:bottom w:w="0" w:type="dxa"/>
            <w:right w:w="108" w:type="dxa"/>
          </w:tblCellMar>
        </w:tblPrEx>
        <w:trPr>
          <w:trHeight w:val="270" w:hRule="atLeast"/>
        </w:trPr>
        <w:tc>
          <w:tcPr>
            <w:tcW w:w="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113"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87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 </w:t>
            </w:r>
          </w:p>
        </w:tc>
      </w:tr>
      <w:tr>
        <w:tblPrEx>
          <w:tblCellMar>
            <w:top w:w="0" w:type="dxa"/>
            <w:left w:w="108" w:type="dxa"/>
            <w:bottom w:w="0" w:type="dxa"/>
            <w:right w:w="108" w:type="dxa"/>
          </w:tblCellMar>
        </w:tblPrEx>
        <w:trPr>
          <w:trHeight w:val="270" w:hRule="atLeast"/>
        </w:trPr>
        <w:tc>
          <w:tcPr>
            <w:tcW w:w="49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3113"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87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4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3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2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1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公务车购置数</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5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辆</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经费拨款及时率</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5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保障公务出行顺畅，提供高效、高质公共服务</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定性</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好</w:t>
            </w:r>
          </w:p>
        </w:tc>
        <w:tc>
          <w:tcPr>
            <w:tcW w:w="25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公务车购置费用</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25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43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定性</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较高</w:t>
            </w:r>
          </w:p>
        </w:tc>
        <w:tc>
          <w:tcPr>
            <w:tcW w:w="25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3F43"/>
    <w:rsid w:val="00027C8B"/>
    <w:rsid w:val="00043E9D"/>
    <w:rsid w:val="00095FEC"/>
    <w:rsid w:val="0019542F"/>
    <w:rsid w:val="00262138"/>
    <w:rsid w:val="0039365D"/>
    <w:rsid w:val="003D7B28"/>
    <w:rsid w:val="004000E6"/>
    <w:rsid w:val="005600D3"/>
    <w:rsid w:val="005A609A"/>
    <w:rsid w:val="00613825"/>
    <w:rsid w:val="00633F43"/>
    <w:rsid w:val="00641EE5"/>
    <w:rsid w:val="00723272"/>
    <w:rsid w:val="007B079E"/>
    <w:rsid w:val="009131FC"/>
    <w:rsid w:val="009A215F"/>
    <w:rsid w:val="009F3262"/>
    <w:rsid w:val="00A61073"/>
    <w:rsid w:val="00A7550C"/>
    <w:rsid w:val="00B359FF"/>
    <w:rsid w:val="00B776AF"/>
    <w:rsid w:val="00B95052"/>
    <w:rsid w:val="00BF3E06"/>
    <w:rsid w:val="00CB0D8A"/>
    <w:rsid w:val="00D50DE5"/>
    <w:rsid w:val="00D53F50"/>
    <w:rsid w:val="00DE6C94"/>
    <w:rsid w:val="00ED3695"/>
    <w:rsid w:val="59F77F78"/>
    <w:rsid w:val="BDF74F3A"/>
    <w:rsid w:val="BFFFD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1189</Words>
  <Characters>6782</Characters>
  <Lines>56</Lines>
  <Paragraphs>15</Paragraphs>
  <TotalTime>2</TotalTime>
  <ScaleCrop>false</ScaleCrop>
  <LinksUpToDate>false</LinksUpToDate>
  <CharactersWithSpaces>7956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2025-01-19T23:00:00Z</dcterms:created>
  <dc:creator>AutoBVT</dc:creator>
  <cp:lastModifiedBy>user</cp:lastModifiedBy>
  <dcterms:modified xsi:type="dcterms:W3CDTF">2025-01-23T15:32:29Z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