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重庆市九龙坡区杨家坪街道物业服务中心2025年单位预算情况说明</w:t>
      </w:r>
    </w:p>
    <w:p>
      <w:pPr>
        <w:adjustRightInd w:val="0"/>
        <w:snapToGrid w:val="0"/>
        <w:spacing w:line="600" w:lineRule="exact"/>
        <w:ind w:firstLine="880" w:firstLineChars="200"/>
        <w:jc w:val="center"/>
        <w:rPr>
          <w:rFonts w:eastAsia="华文中宋" w:cs="华文中宋"/>
          <w:sz w:val="44"/>
          <w:szCs w:val="44"/>
        </w:rPr>
      </w:pP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pPr>
        <w:pStyle w:val="2"/>
        <w:widowControl/>
        <w:snapToGrid/>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业主、物业服务企业权益维护提供服务保障，负责调解处理辖区内物业管理纠纷，建立投诉、信访受理机制，协调处理物业管理方面的投诉、信访案件。负责划定物业管理区域，指导本辖区内业主大会成立及业主委员会的选举、备案工作；负责指导业主大会和业主委员会依法履行职责；负责接收前期物业服务合同签订后、房屋交付使用前的物业档案。协助街道办事处对业主委员会成员未履行相关职责、业主大会和业主委员会作出的决定违反法律法规等情形进行处理；承办罢免业主委员会成员申请；指导监督业主大会、业主委员会做好共有财产清算。指导业主大会选聘、续聘物业服务企业；指导业主委员会、物业服务企业及相关业主申请使用物业专项维修资金进行物业设施设备维修，组织物业设施设备代修。指导居民委员会代行业主委员会职责、召集物业管理联席会议，协调物业管理与社区建设的关系，指导居民委员会做好物业管理相关工作。完成街道党工委、办事处交办的其他任务。</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pPr>
        <w:spacing w:line="600" w:lineRule="exact"/>
        <w:ind w:firstLine="640" w:firstLineChars="200"/>
        <w:rPr>
          <w:rFonts w:ascii="方正仿宋_GBK" w:hAnsi="仿宋" w:cs="仿宋"/>
          <w:bCs/>
          <w:szCs w:val="32"/>
        </w:rPr>
      </w:pPr>
      <w:r>
        <w:rPr>
          <w:rFonts w:ascii="方正仿宋_GBK" w:hAnsi="仿宋" w:cs="仿宋"/>
          <w:bCs/>
          <w:szCs w:val="32"/>
        </w:rPr>
        <w:t>本单位为重庆市九龙坡区人民政府杨家坪街道办事处下属</w:t>
      </w:r>
      <w:r>
        <w:rPr>
          <w:rFonts w:ascii="方正仿宋_GBK"/>
          <w:color w:val="000000"/>
          <w:szCs w:val="32"/>
        </w:rPr>
        <w:t>二</w:t>
      </w:r>
      <w:r>
        <w:rPr>
          <w:rFonts w:ascii="方正仿宋_GBK" w:hAnsi="仿宋" w:cs="仿宋"/>
          <w:bCs/>
          <w:szCs w:val="32"/>
        </w:rPr>
        <w:t>级</w:t>
      </w:r>
      <w:r>
        <w:rPr>
          <w:rFonts w:ascii="方正仿宋_GBK" w:hAnsi="仿宋" w:cs="仿宋"/>
          <w:bCs/>
          <w:spacing w:val="14"/>
          <w:szCs w:val="32"/>
        </w:rPr>
        <w:t>预算单位，单位类型</w:t>
      </w:r>
      <w:r>
        <w:rPr>
          <w:rFonts w:ascii="方正仿宋_GBK" w:hAnsi="仿宋" w:cs="仿宋"/>
          <w:bCs/>
          <w:szCs w:val="32"/>
        </w:rPr>
        <w:t>为</w:t>
      </w:r>
      <w:r>
        <w:rPr>
          <w:rFonts w:ascii="方正仿宋_GBK"/>
          <w:color w:val="000000"/>
          <w:szCs w:val="32"/>
        </w:rPr>
        <w:t>公益一类事业</w:t>
      </w:r>
      <w:r>
        <w:rPr>
          <w:rFonts w:ascii="方正仿宋_GBK" w:hAnsi="仿宋" w:cs="仿宋"/>
          <w:bCs/>
          <w:szCs w:val="32"/>
        </w:rPr>
        <w:t>单位。</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2025年年初预算数123.70万元，其中：一般公共预算拨款123.70万元。收入较2024年增加51.33万元，主要是</w:t>
      </w:r>
      <w:r>
        <w:rPr>
          <w:rFonts w:hint="eastAsia" w:cs="仿宋_GB2312"/>
          <w:szCs w:val="32"/>
        </w:rPr>
        <w:t>人员经费、公用</w:t>
      </w:r>
      <w:r>
        <w:rPr>
          <w:rFonts w:hint="eastAsia" w:cs="仿宋_GB2312"/>
        </w:rPr>
        <w:t>经费拨款增加51.33万元。</w:t>
      </w:r>
    </w:p>
    <w:p>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123.70万元，其中：一般公共服务支出预算91.80万元，社会保障和就业支出预算16.94万元，卫生健康支出预算4.94万元，住房保障支出预算10.02万元。支出预算较2024年增加51.33万元，主要是基本支出预算增加51.33万元。</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pPr>
        <w:adjustRightInd w:val="0"/>
        <w:snapToGrid w:val="0"/>
        <w:spacing w:line="600" w:lineRule="exact"/>
        <w:ind w:firstLine="640" w:firstLineChars="200"/>
        <w:rPr>
          <w:rFonts w:cs="仿宋_GB2312"/>
        </w:rPr>
      </w:pPr>
      <w:r>
        <w:rPr>
          <w:rFonts w:hint="eastAsia" w:cs="仿宋_GB2312"/>
        </w:rPr>
        <w:t>2025年一般公共预算财政拨款收入123.70万元，一般公共预算财政拨款支出123.70万元，比2024年增加51.33万元。其中：基本支出123.70万元，比2024年增加51.33万元，主要原因是人员增加，</w:t>
      </w:r>
      <w:r>
        <w:rPr>
          <w:rFonts w:hint="eastAsia" w:cs="仿宋_GB2312"/>
          <w:szCs w:val="32"/>
        </w:rPr>
        <w:t>人员经费、公用</w:t>
      </w:r>
      <w:r>
        <w:rPr>
          <w:rFonts w:hint="eastAsia" w:cs="仿宋_GB2312"/>
        </w:rPr>
        <w:t>经费增加，主要用于保障在职人员工资福利及社会保险缴费，退休人员补助等，保障单位正常运转的各项商品服务支出。</w:t>
      </w:r>
    </w:p>
    <w:p>
      <w:pPr>
        <w:adjustRightInd w:val="0"/>
        <w:snapToGrid w:val="0"/>
        <w:spacing w:line="600" w:lineRule="exact"/>
        <w:ind w:firstLine="640" w:firstLineChars="200"/>
        <w:rPr>
          <w:rFonts w:cs="仿宋_GB2312"/>
        </w:rPr>
      </w:pPr>
      <w:r>
        <w:rPr>
          <w:rFonts w:hint="eastAsia" w:cs="仿宋_GB2312"/>
        </w:rPr>
        <w:t xml:space="preserve"> 重庆市九龙坡区杨家坪街道物业服务中心2025年无使用政府性基金预算拨款安排的支出。</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pPr>
        <w:adjustRightInd w:val="0"/>
        <w:snapToGrid w:val="0"/>
        <w:spacing w:line="600" w:lineRule="exact"/>
        <w:ind w:firstLine="600"/>
        <w:rPr>
          <w:rFonts w:cs="仿宋_GB2312"/>
          <w:szCs w:val="32"/>
        </w:rPr>
      </w:pPr>
      <w:r>
        <w:rPr>
          <w:rFonts w:hint="eastAsia" w:cs="仿宋_GB2312"/>
        </w:rPr>
        <w:t>本</w:t>
      </w:r>
      <w:r>
        <w:rPr>
          <w:rFonts w:hint="eastAsia" w:cs="仿宋_GB2312"/>
          <w:szCs w:val="32"/>
        </w:rPr>
        <w:t>单位2025年无“三公”经费预算安排。</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pPr>
        <w:adjustRightInd w:val="0"/>
        <w:snapToGrid w:val="0"/>
        <w:spacing w:line="600" w:lineRule="exact"/>
        <w:ind w:firstLine="640" w:firstLineChars="200"/>
        <w:rPr>
          <w:rFonts w:cs="仿宋_GB2312"/>
        </w:rPr>
      </w:pPr>
      <w:r>
        <w:rPr>
          <w:rFonts w:hint="eastAsia" w:cs="仿宋_GB2312"/>
        </w:rPr>
        <w:t>1.我单位不在机关运行经费统计范围之内。</w:t>
      </w:r>
    </w:p>
    <w:p>
      <w:pPr>
        <w:adjustRightInd w:val="0"/>
        <w:snapToGrid w:val="0"/>
        <w:spacing w:line="600" w:lineRule="exact"/>
        <w:ind w:firstLine="640" w:firstLineChars="200"/>
        <w:rPr>
          <w:rFonts w:cs="仿宋_GB2312"/>
        </w:rPr>
      </w:pPr>
      <w:r>
        <w:rPr>
          <w:rFonts w:hint="eastAsia" w:cs="仿宋_GB2312"/>
        </w:rPr>
        <w:t>2.政府采购情况。本单位2025年无政府采购预算安排。</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w:t>
      </w:r>
      <w:r>
        <w:rPr>
          <w:rFonts w:hint="eastAsia" w:cs="仿宋_GB2312"/>
        </w:rPr>
        <w:t>本</w:t>
      </w:r>
      <w:r>
        <w:rPr>
          <w:rFonts w:hint="eastAsia" w:cs="仿宋_GB2312"/>
          <w:color w:val="000000"/>
        </w:rPr>
        <w:t>单位无项目支出预算安排，不涉及绩效目标管理。</w:t>
      </w:r>
    </w:p>
    <w:p>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4.国有资产占有使用情况。截止2024年12月，本单位共有车辆0辆，其中一般公务用车0辆、执勤执法用车0辆。2025年一般公共预算安排购置车辆0辆，其中一般公务用车 0辆、执勤执法用车0辆。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10"/>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0"/>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10"/>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0"/>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2" w:firstLineChars="200"/>
        <w:rPr>
          <w:rFonts w:cs="仿宋_GB2312"/>
          <w:b/>
        </w:rPr>
      </w:pPr>
    </w:p>
    <w:p>
      <w:pPr>
        <w:adjustRightInd w:val="0"/>
        <w:snapToGrid w:val="0"/>
        <w:spacing w:line="600" w:lineRule="exact"/>
        <w:ind w:firstLine="640" w:firstLineChars="200"/>
      </w:pPr>
      <w:r>
        <w:rPr>
          <w:rFonts w:hint="eastAsia" w:cs="仿宋_GB2312"/>
        </w:rPr>
        <w:t>部门预算公开联系人：姜燕妮 联系方式：</w:t>
      </w:r>
      <w:r>
        <w:rPr>
          <w:rFonts w:hint="eastAsia"/>
        </w:rPr>
        <w:t xml:space="preserve"> 023-68106375</w:t>
      </w:r>
    </w:p>
    <w:p>
      <w:pPr>
        <w:adjustRightInd w:val="0"/>
        <w:snapToGrid w:val="0"/>
        <w:spacing w:line="600" w:lineRule="exact"/>
        <w:ind w:firstLine="642" w:firstLineChars="200"/>
        <w:rPr>
          <w:b/>
        </w:rPr>
      </w:pPr>
    </w:p>
    <w:p>
      <w:pPr>
        <w:pStyle w:val="3"/>
        <w:tabs>
          <w:tab w:val="left" w:pos="1560"/>
        </w:tabs>
        <w:adjustRightInd w:val="0"/>
        <w:snapToGrid w:val="0"/>
        <w:spacing w:line="600" w:lineRule="exact"/>
        <w:ind w:left="0" w:leftChars="0" w:right="0" w:rightChars="0" w:firstLine="640"/>
        <w:rPr>
          <w:rFonts w:eastAsia="方正仿宋_GBK"/>
          <w:sz w:val="32"/>
          <w:szCs w:val="32"/>
        </w:rPr>
      </w:pPr>
      <w:r>
        <w:rPr>
          <w:rFonts w:hint="eastAsia" w:eastAsia="方正仿宋_GBK"/>
          <w:sz w:val="32"/>
          <w:szCs w:val="32"/>
        </w:rPr>
        <w:t>附表：1.2025年杨家坪街道物业服务中心财政拨款收支总表</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2</w:t>
      </w:r>
      <w:r>
        <w:rPr>
          <w:rFonts w:hint="eastAsia" w:eastAsia="方正仿宋_GBK"/>
          <w:spacing w:val="-10"/>
          <w:sz w:val="32"/>
          <w:szCs w:val="32"/>
        </w:rPr>
        <w:t>.2025年</w:t>
      </w:r>
      <w:r>
        <w:rPr>
          <w:rFonts w:hint="eastAsia" w:eastAsia="方正仿宋_GBK"/>
          <w:sz w:val="32"/>
          <w:szCs w:val="32"/>
        </w:rPr>
        <w:t>杨家坪街道物业服务中心</w:t>
      </w:r>
      <w:r>
        <w:rPr>
          <w:rFonts w:hint="eastAsia" w:eastAsia="方正仿宋_GBK"/>
          <w:spacing w:val="-10"/>
          <w:sz w:val="32"/>
          <w:szCs w:val="32"/>
        </w:rPr>
        <w:t>一般公共预算财政拨款支出预算表</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3.2025年杨家坪街道物业服务中心一般公共预算财政拨款基本支出预算表</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4.2025年杨家坪街道物业服务中心一般公共预算财政拨款基本支出预算表（政府预算支出经济分类科目）</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5.2025年杨家坪街道物业服务中心一般公共预算“三公”经费支出表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6.2025年杨家坪街道物业服务中心政府性基金预算支出表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7.2025年杨家坪街道物业服务中心部门收支总表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rFonts w:hint="eastAsia"/>
          <w:sz w:val="32"/>
          <w:szCs w:val="32"/>
        </w:rPr>
      </w:pPr>
      <w:r>
        <w:rPr>
          <w:rFonts w:hint="eastAsia"/>
          <w:sz w:val="32"/>
          <w:szCs w:val="32"/>
        </w:rPr>
        <w:t>8.2025年杨家坪街道物业服务中心部门收入总表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b/>
          <w:sz w:val="32"/>
          <w:szCs w:val="32"/>
        </w:rPr>
      </w:pPr>
      <w:r>
        <w:rPr>
          <w:rFonts w:hint="eastAsia"/>
          <w:sz w:val="32"/>
          <w:szCs w:val="32"/>
        </w:rPr>
        <w:t>9.2025年杨家坪街道物业服务中心部门支出总表（功能科目分类到项）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10.2025年杨家坪街道物业服务中心一般公共预算财政拨款项目支出预算表（部门预算支出经济分类科目）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11.2025年杨家坪街道物业服务中心一般公共预算财政拨款项目支出预算表（政府预算支出经济分类科目）</w:t>
      </w:r>
    </w:p>
    <w:p>
      <w:pPr>
        <w:pStyle w:val="3"/>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eastAsia="方正仿宋_GBK"/>
          <w:sz w:val="32"/>
          <w:szCs w:val="32"/>
        </w:rPr>
      </w:pPr>
      <w:r>
        <w:rPr>
          <w:rFonts w:hint="eastAsia" w:eastAsia="方正仿宋_GBK"/>
          <w:sz w:val="32"/>
          <w:szCs w:val="32"/>
        </w:rPr>
        <w:t>12.2025年杨家坪街道物业服务中心政府采购明细表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sz w:val="32"/>
          <w:szCs w:val="32"/>
        </w:rPr>
      </w:pPr>
      <w:r>
        <w:rPr>
          <w:rFonts w:hint="eastAsia"/>
          <w:sz w:val="32"/>
          <w:szCs w:val="32"/>
        </w:rPr>
        <w:t>13.2025年杨家坪街道物业服务中心项目绩效目标表</w:t>
      </w:r>
    </w:p>
    <w:p/>
    <w:p/>
    <w:p/>
    <w:p/>
    <w:p/>
    <w:p/>
    <w:p/>
    <w:p/>
    <w:p/>
    <w:p/>
    <w:p/>
    <w:p>
      <w:pPr>
        <w:sectPr>
          <w:pgSz w:w="11906" w:h="16838"/>
          <w:pgMar w:top="1440" w:right="1800" w:bottom="1440" w:left="1800" w:header="851" w:footer="992" w:gutter="0"/>
          <w:cols w:space="425" w:num="1"/>
          <w:docGrid w:type="lines" w:linePitch="312" w:charSpace="0"/>
        </w:sectPr>
      </w:pPr>
    </w:p>
    <w:p>
      <w:pPr>
        <w:rPr>
          <w:rFonts w:hint="eastAsia" w:ascii="方正黑体_GBK" w:hAnsi="方正黑体_GBK" w:eastAsia="方正黑体_GBK" w:cs="方正黑体_GBK"/>
        </w:rPr>
      </w:pPr>
      <w:r>
        <w:rPr>
          <w:rFonts w:hint="eastAsia" w:ascii="方正黑体_GBK" w:hAnsi="方正黑体_GBK" w:eastAsia="方正黑体_GBK" w:cs="方正黑体_GBK"/>
        </w:rPr>
        <w:t>附表1</w:t>
      </w:r>
    </w:p>
    <w:tbl>
      <w:tblPr>
        <w:tblStyle w:val="6"/>
        <w:tblW w:w="5000" w:type="pct"/>
        <w:tblInd w:w="0" w:type="dxa"/>
        <w:tblLayout w:type="autofit"/>
        <w:tblCellMar>
          <w:top w:w="0" w:type="dxa"/>
          <w:left w:w="108" w:type="dxa"/>
          <w:bottom w:w="0" w:type="dxa"/>
          <w:right w:w="108" w:type="dxa"/>
        </w:tblCellMar>
      </w:tblPr>
      <w:tblGrid>
        <w:gridCol w:w="2616"/>
        <w:gridCol w:w="1843"/>
        <w:gridCol w:w="2753"/>
        <w:gridCol w:w="1826"/>
        <w:gridCol w:w="1735"/>
        <w:gridCol w:w="1665"/>
        <w:gridCol w:w="1736"/>
      </w:tblGrid>
      <w:tr>
        <w:tblPrEx>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重庆市九龙坡区杨家坪街道物业服务中心财政拨款收支总表</w:t>
            </w:r>
          </w:p>
        </w:tc>
      </w:tr>
      <w:tr>
        <w:tblPrEx>
          <w:tblCellMar>
            <w:top w:w="0" w:type="dxa"/>
            <w:left w:w="108" w:type="dxa"/>
            <w:bottom w:w="0" w:type="dxa"/>
            <w:right w:w="108" w:type="dxa"/>
          </w:tblCellMar>
        </w:tblPrEx>
        <w:trPr>
          <w:trHeight w:val="465" w:hRule="atLeast"/>
        </w:trPr>
        <w:tc>
          <w:tcPr>
            <w:tcW w:w="8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59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863" w:hRule="atLeast"/>
        </w:trPr>
        <w:tc>
          <w:tcPr>
            <w:tcW w:w="1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345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863"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59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123.70</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123.70</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123.70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123.70</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91.80</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91.80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16.94</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16.94</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4.94</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4.94</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10.02</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10.02</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2"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123.70</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123.70</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123.70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附表2</w:t>
      </w:r>
    </w:p>
    <w:tbl>
      <w:tblPr>
        <w:tblStyle w:val="6"/>
        <w:tblW w:w="5000" w:type="pct"/>
        <w:tblInd w:w="0" w:type="dxa"/>
        <w:tblLayout w:type="autofit"/>
        <w:tblCellMar>
          <w:top w:w="0" w:type="dxa"/>
          <w:left w:w="108" w:type="dxa"/>
          <w:bottom w:w="0" w:type="dxa"/>
          <w:right w:w="108" w:type="dxa"/>
        </w:tblCellMar>
      </w:tblPr>
      <w:tblGrid>
        <w:gridCol w:w="1667"/>
        <w:gridCol w:w="5468"/>
        <w:gridCol w:w="2373"/>
        <w:gridCol w:w="2441"/>
        <w:gridCol w:w="2225"/>
      </w:tblGrid>
      <w:tr>
        <w:tblPrEx>
          <w:tblCellMar>
            <w:top w:w="0" w:type="dxa"/>
            <w:left w:w="108" w:type="dxa"/>
            <w:bottom w:w="0" w:type="dxa"/>
            <w:right w:w="108" w:type="dxa"/>
          </w:tblCellMar>
        </w:tblPrEx>
        <w:trPr>
          <w:trHeight w:val="435"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重庆市九龙坡区杨家坪街道物业服务中心一般公共预算财政拨款支出预算表</w:t>
            </w:r>
          </w:p>
        </w:tc>
      </w:tr>
      <w:tr>
        <w:tblPrEx>
          <w:tblCellMar>
            <w:top w:w="0" w:type="dxa"/>
            <w:left w:w="108" w:type="dxa"/>
            <w:bottom w:w="0" w:type="dxa"/>
            <w:right w:w="108" w:type="dxa"/>
          </w:tblCellMar>
        </w:tblPrEx>
        <w:trPr>
          <w:trHeight w:val="413" w:hRule="atLeast"/>
        </w:trPr>
        <w:tc>
          <w:tcPr>
            <w:tcW w:w="588"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29"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7"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1"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90" w:hRule="atLeast"/>
        </w:trPr>
        <w:tc>
          <w:tcPr>
            <w:tcW w:w="2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2482"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585"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1929"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83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86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379" w:hRule="atLeast"/>
        </w:trPr>
        <w:tc>
          <w:tcPr>
            <w:tcW w:w="2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123.70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123.70</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201</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一般公共服务支出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91.80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91.80</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20103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政府办公厅（室）及相关机构事务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91.80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91.80</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2010350</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事业运行</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91.80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91.80</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16.94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16.94</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16.94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16.94</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9.42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9.42</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2080506</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机关事业单位职业年金缴费支出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4.71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4.71</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2.81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2.81</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4.94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4.94</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4.94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4.94</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4.15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4.15</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其他行政事业单位医疗支出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0.79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0.79</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10.02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10.02</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住房改革支出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10.02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10.02</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8.03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8.03</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购房补贴</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1.99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1.99</w:t>
            </w:r>
          </w:p>
        </w:tc>
        <w:tc>
          <w:tcPr>
            <w:tcW w:w="78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附表3</w:t>
      </w:r>
    </w:p>
    <w:tbl>
      <w:tblPr>
        <w:tblStyle w:val="6"/>
        <w:tblW w:w="5000" w:type="pct"/>
        <w:tblInd w:w="0" w:type="dxa"/>
        <w:tblLayout w:type="autofit"/>
        <w:tblCellMar>
          <w:top w:w="0" w:type="dxa"/>
          <w:left w:w="108" w:type="dxa"/>
          <w:bottom w:w="0" w:type="dxa"/>
          <w:right w:w="108" w:type="dxa"/>
        </w:tblCellMar>
      </w:tblPr>
      <w:tblGrid>
        <w:gridCol w:w="2427"/>
        <w:gridCol w:w="5916"/>
        <w:gridCol w:w="1111"/>
        <w:gridCol w:w="1899"/>
        <w:gridCol w:w="2821"/>
      </w:tblGrid>
      <w:tr>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重庆市九龙坡区杨家坪街道物业服务中心一般公共预算财政拨款基本支出预算表</w:t>
            </w:r>
          </w:p>
        </w:tc>
      </w:tr>
      <w:tr>
        <w:tblPrEx>
          <w:tblCellMar>
            <w:top w:w="0" w:type="dxa"/>
            <w:left w:w="108" w:type="dxa"/>
            <w:bottom w:w="0" w:type="dxa"/>
            <w:right w:w="108" w:type="dxa"/>
          </w:tblCellMar>
        </w:tblPrEx>
        <w:trPr>
          <w:trHeight w:val="435"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000000"/>
                <w:kern w:val="0"/>
                <w:sz w:val="28"/>
                <w:szCs w:val="28"/>
              </w:rPr>
            </w:pPr>
          </w:p>
        </w:tc>
      </w:tr>
      <w:tr>
        <w:tblPrEx>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noWrap/>
            <w:vAlign w:val="center"/>
          </w:tcPr>
          <w:p>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tblPrEx>
          <w:tblCellMar>
            <w:top w:w="0" w:type="dxa"/>
            <w:left w:w="108" w:type="dxa"/>
            <w:bottom w:w="0" w:type="dxa"/>
            <w:right w:w="108" w:type="dxa"/>
          </w:tblCellMar>
        </w:tblPrEx>
        <w:trPr>
          <w:trHeight w:val="398" w:hRule="atLeast"/>
        </w:trPr>
        <w:tc>
          <w:tcPr>
            <w:tcW w:w="85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5"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29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2057"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tblPrEx>
          <w:tblCellMar>
            <w:top w:w="0" w:type="dxa"/>
            <w:left w:w="108" w:type="dxa"/>
            <w:bottom w:w="0" w:type="dxa"/>
            <w:right w:w="108" w:type="dxa"/>
          </w:tblCellMar>
        </w:tblPrEx>
        <w:trPr>
          <w:trHeight w:val="552" w:hRule="atLeast"/>
        </w:trPr>
        <w:tc>
          <w:tcPr>
            <w:tcW w:w="856"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208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tblPrEx>
          <w:tblCellMar>
            <w:top w:w="0" w:type="dxa"/>
            <w:left w:w="108" w:type="dxa"/>
            <w:bottom w:w="0" w:type="dxa"/>
            <w:right w:w="108" w:type="dxa"/>
          </w:tblCellMar>
        </w:tblPrEx>
        <w:trPr>
          <w:trHeight w:val="398" w:hRule="atLeast"/>
        </w:trPr>
        <w:tc>
          <w:tcPr>
            <w:tcW w:w="29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123.70</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100.54</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23.16</w:t>
            </w:r>
          </w:p>
        </w:tc>
      </w:tr>
      <w:tr>
        <w:tblPrEx>
          <w:tblCellMar>
            <w:top w:w="0" w:type="dxa"/>
            <w:left w:w="108" w:type="dxa"/>
            <w:bottom w:w="0" w:type="dxa"/>
            <w:right w:w="108" w:type="dxa"/>
          </w:tblCellMar>
        </w:tblPrEx>
        <w:trPr>
          <w:trHeight w:val="398" w:hRule="atLeast"/>
        </w:trPr>
        <w:tc>
          <w:tcPr>
            <w:tcW w:w="85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2087"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97.68</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97.68</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30101</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基本工资</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20.77</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20.77</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30102</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津贴补贴</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2.77</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2.77</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30107</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绩效工资</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45.38</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45.38</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30108</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9.42</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9.42</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30109</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职业年金缴费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4.71</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4.71</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30110</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职工基本医疗保险缴费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3.35</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3.35</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30112</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其他社会保障缴费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0.71</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0.71</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30113</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8.03</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8.03</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30114</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医疗费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1.55</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1.55</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30199</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其他工资福利支出</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1.00</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1.00</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98" w:hRule="atLeast"/>
        </w:trPr>
        <w:tc>
          <w:tcPr>
            <w:tcW w:w="85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2087"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23.06</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23.06</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30201</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办公费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17.19</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17.19</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30205</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水费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0.15</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0.15</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30206</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电费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0.35</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0.35</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30207</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邮电费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1.56</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1.56</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30209</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物业管理费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1.20</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30216</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培训费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0.59</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0.59</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30228</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工会经费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0.79</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0.79</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30229</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福利费</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1.18</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1.18</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30299</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其他商品和服务支出</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0.05</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0.05</w:t>
            </w:r>
          </w:p>
        </w:tc>
      </w:tr>
      <w:tr>
        <w:tblPrEx>
          <w:tblCellMar>
            <w:top w:w="0" w:type="dxa"/>
            <w:left w:w="108" w:type="dxa"/>
            <w:bottom w:w="0" w:type="dxa"/>
            <w:right w:w="108" w:type="dxa"/>
          </w:tblCellMar>
        </w:tblPrEx>
        <w:trPr>
          <w:trHeight w:val="398" w:hRule="atLeast"/>
        </w:trPr>
        <w:tc>
          <w:tcPr>
            <w:tcW w:w="85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303</w:t>
            </w:r>
          </w:p>
        </w:tc>
        <w:tc>
          <w:tcPr>
            <w:tcW w:w="2087"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对个人和家庭的补助</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2.96</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2.86</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30305</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生活补助</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2.76</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2.66</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30307</w:t>
            </w:r>
          </w:p>
        </w:tc>
        <w:tc>
          <w:tcPr>
            <w:tcW w:w="208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医疗费补助</w:t>
            </w:r>
          </w:p>
        </w:tc>
        <w:tc>
          <w:tcPr>
            <w:tcW w:w="3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0.20</w:t>
            </w:r>
          </w:p>
        </w:tc>
        <w:tc>
          <w:tcPr>
            <w:tcW w:w="6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0.20</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附表4</w:t>
      </w:r>
    </w:p>
    <w:tbl>
      <w:tblPr>
        <w:tblStyle w:val="6"/>
        <w:tblW w:w="5000" w:type="pct"/>
        <w:tblInd w:w="0" w:type="dxa"/>
        <w:tblLayout w:type="autofit"/>
        <w:tblCellMar>
          <w:top w:w="0" w:type="dxa"/>
          <w:left w:w="108" w:type="dxa"/>
          <w:bottom w:w="0" w:type="dxa"/>
          <w:right w:w="108" w:type="dxa"/>
        </w:tblCellMar>
      </w:tblPr>
      <w:tblGrid>
        <w:gridCol w:w="2475"/>
        <w:gridCol w:w="5783"/>
        <w:gridCol w:w="5916"/>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重庆市九龙坡区杨家坪街道物业服务中心一般公共预算财政拨款基本支出预算表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8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4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87"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844"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20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基本支出</w:t>
            </w:r>
          </w:p>
        </w:tc>
      </w:tr>
      <w:tr>
        <w:tblPrEx>
          <w:tblCellMar>
            <w:top w:w="0" w:type="dxa"/>
            <w:left w:w="108" w:type="dxa"/>
            <w:bottom w:w="0" w:type="dxa"/>
            <w:right w:w="108" w:type="dxa"/>
          </w:tblCellMar>
        </w:tblPrEx>
        <w:trPr>
          <w:trHeight w:val="533"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2040"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20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123.70</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120.74</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97.68</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23.06</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对个人和家庭的补助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2.96</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50901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社会福利和救助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2.96</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附表5</w:t>
      </w:r>
    </w:p>
    <w:tbl>
      <w:tblPr>
        <w:tblStyle w:val="6"/>
        <w:tblW w:w="5000" w:type="pct"/>
        <w:tblInd w:w="0" w:type="dxa"/>
        <w:tblLayout w:type="autofit"/>
        <w:tblCellMar>
          <w:top w:w="0" w:type="dxa"/>
          <w:left w:w="108" w:type="dxa"/>
          <w:bottom w:w="0" w:type="dxa"/>
          <w:right w:w="108" w:type="dxa"/>
        </w:tblCellMar>
      </w:tblPr>
      <w:tblGrid>
        <w:gridCol w:w="2653"/>
        <w:gridCol w:w="2821"/>
        <w:gridCol w:w="1826"/>
        <w:gridCol w:w="2259"/>
        <w:gridCol w:w="2390"/>
        <w:gridCol w:w="2225"/>
      </w:tblGrid>
      <w:tr>
        <w:tblPrEx>
          <w:tblCellMar>
            <w:top w:w="0" w:type="dxa"/>
            <w:left w:w="108" w:type="dxa"/>
            <w:bottom w:w="0" w:type="dxa"/>
            <w:right w:w="108" w:type="dxa"/>
          </w:tblCellMar>
        </w:tblPrEx>
        <w:trPr>
          <w:trHeight w:val="870" w:hRule="atLeast"/>
        </w:trPr>
        <w:tc>
          <w:tcPr>
            <w:tcW w:w="5000" w:type="pct"/>
            <w:gridSpan w:val="6"/>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重庆市九龙坡区杨家坪街道物业服务中心一般公共预算“三公”经费支出表</w:t>
            </w:r>
          </w:p>
        </w:tc>
      </w:tr>
      <w:tr>
        <w:tblPrEx>
          <w:tblCellMar>
            <w:top w:w="0" w:type="dxa"/>
            <w:left w:w="108" w:type="dxa"/>
            <w:bottom w:w="0" w:type="dxa"/>
            <w:right w:w="108" w:type="dxa"/>
          </w:tblCellMar>
        </w:tblPrEx>
        <w:trPr>
          <w:trHeight w:val="413" w:hRule="atLeast"/>
        </w:trPr>
        <w:tc>
          <w:tcPr>
            <w:tcW w:w="9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9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84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83"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7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724" w:hRule="atLeast"/>
        </w:trPr>
        <w:tc>
          <w:tcPr>
            <w:tcW w:w="93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99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2284"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78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tblPrEx>
          <w:tblCellMar>
            <w:top w:w="0" w:type="dxa"/>
            <w:left w:w="108" w:type="dxa"/>
            <w:bottom w:w="0" w:type="dxa"/>
            <w:right w:w="108" w:type="dxa"/>
          </w:tblCellMar>
        </w:tblPrEx>
        <w:trPr>
          <w:trHeight w:val="724" w:hRule="atLeast"/>
        </w:trPr>
        <w:tc>
          <w:tcPr>
            <w:tcW w:w="936"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995"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783"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936"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附表6</w:t>
      </w:r>
    </w:p>
    <w:tbl>
      <w:tblPr>
        <w:tblStyle w:val="6"/>
        <w:tblW w:w="5000" w:type="pct"/>
        <w:tblInd w:w="0" w:type="dxa"/>
        <w:tblLayout w:type="autofit"/>
        <w:tblCellMar>
          <w:top w:w="0" w:type="dxa"/>
          <w:left w:w="108" w:type="dxa"/>
          <w:bottom w:w="0" w:type="dxa"/>
          <w:right w:w="108" w:type="dxa"/>
        </w:tblCellMar>
      </w:tblPr>
      <w:tblGrid>
        <w:gridCol w:w="2729"/>
        <w:gridCol w:w="5891"/>
        <w:gridCol w:w="1120"/>
        <w:gridCol w:w="2169"/>
        <w:gridCol w:w="2265"/>
      </w:tblGrid>
      <w:tr>
        <w:tblPrEx>
          <w:tblCellMar>
            <w:top w:w="0" w:type="dxa"/>
            <w:left w:w="108" w:type="dxa"/>
            <w:bottom w:w="0" w:type="dxa"/>
            <w:right w:w="108" w:type="dxa"/>
          </w:tblCellMar>
        </w:tblPrEx>
        <w:trPr>
          <w:trHeight w:val="499" w:hRule="atLeast"/>
        </w:trPr>
        <w:tc>
          <w:tcPr>
            <w:tcW w:w="5000" w:type="pct"/>
            <w:gridSpan w:val="5"/>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重庆市九龙坡区杨家坪街道物业服务中心政府性基金预算支出表</w:t>
            </w:r>
          </w:p>
        </w:tc>
      </w:tr>
      <w:tr>
        <w:tblPrEx>
          <w:tblCellMar>
            <w:top w:w="0" w:type="dxa"/>
            <w:left w:w="108" w:type="dxa"/>
            <w:bottom w:w="0" w:type="dxa"/>
            <w:right w:w="108" w:type="dxa"/>
          </w:tblCellMar>
        </w:tblPrEx>
        <w:trPr>
          <w:trHeight w:val="432" w:hRule="atLeast"/>
        </w:trPr>
        <w:tc>
          <w:tcPr>
            <w:tcW w:w="96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7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6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9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72" w:hRule="atLeast"/>
        </w:trPr>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20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1958"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tblPrEx>
          <w:tblCellMar>
            <w:top w:w="0" w:type="dxa"/>
            <w:left w:w="108" w:type="dxa"/>
            <w:bottom w:w="0" w:type="dxa"/>
            <w:right w:w="108" w:type="dxa"/>
          </w:tblCellMar>
        </w:tblPrEx>
        <w:trPr>
          <w:trHeight w:val="623" w:hRule="atLeast"/>
        </w:trPr>
        <w:tc>
          <w:tcPr>
            <w:tcW w:w="96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207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39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413" w:hRule="atLeast"/>
        </w:trPr>
        <w:tc>
          <w:tcPr>
            <w:tcW w:w="30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r>
      <w:tr>
        <w:tblPrEx>
          <w:tblCellMar>
            <w:top w:w="0" w:type="dxa"/>
            <w:left w:w="108" w:type="dxa"/>
            <w:bottom w:w="0" w:type="dxa"/>
            <w:right w:w="108" w:type="dxa"/>
          </w:tblCellMar>
        </w:tblPrEx>
        <w:trPr>
          <w:trHeight w:val="327" w:hRule="atLeast"/>
        </w:trPr>
        <w:tc>
          <w:tcPr>
            <w:tcW w:w="96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207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27" w:hRule="atLeast"/>
        </w:trPr>
        <w:tc>
          <w:tcPr>
            <w:tcW w:w="9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07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27" w:hRule="atLeast"/>
        </w:trPr>
        <w:tc>
          <w:tcPr>
            <w:tcW w:w="9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07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附表7</w:t>
      </w:r>
    </w:p>
    <w:tbl>
      <w:tblPr>
        <w:tblStyle w:val="6"/>
        <w:tblW w:w="5000" w:type="pct"/>
        <w:tblInd w:w="0" w:type="dxa"/>
        <w:tblLayout w:type="autofit"/>
        <w:tblCellMar>
          <w:top w:w="0" w:type="dxa"/>
          <w:left w:w="108" w:type="dxa"/>
          <w:bottom w:w="0" w:type="dxa"/>
          <w:right w:w="108" w:type="dxa"/>
        </w:tblCellMar>
      </w:tblPr>
      <w:tblGrid>
        <w:gridCol w:w="5198"/>
        <w:gridCol w:w="1860"/>
        <w:gridCol w:w="4689"/>
        <w:gridCol w:w="2427"/>
      </w:tblGrid>
      <w:tr>
        <w:tblPrEx>
          <w:tblCellMar>
            <w:top w:w="0" w:type="dxa"/>
            <w:left w:w="108" w:type="dxa"/>
            <w:bottom w:w="0" w:type="dxa"/>
            <w:right w:w="108" w:type="dxa"/>
          </w:tblCellMar>
        </w:tblPrEx>
        <w:trPr>
          <w:trHeight w:val="870" w:hRule="atLeast"/>
        </w:trPr>
        <w:tc>
          <w:tcPr>
            <w:tcW w:w="5000" w:type="pct"/>
            <w:gridSpan w:val="4"/>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重庆市九龙坡区杨家坪街道物业服务中心部门收支总表</w:t>
            </w:r>
          </w:p>
        </w:tc>
      </w:tr>
      <w:tr>
        <w:tblPrEx>
          <w:tblCellMar>
            <w:top w:w="0" w:type="dxa"/>
            <w:left w:w="108" w:type="dxa"/>
            <w:bottom w:w="0" w:type="dxa"/>
            <w:right w:w="108" w:type="dxa"/>
          </w:tblCellMar>
        </w:tblPrEx>
        <w:trPr>
          <w:trHeight w:val="465" w:hRule="atLeast"/>
        </w:trPr>
        <w:tc>
          <w:tcPr>
            <w:tcW w:w="183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65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855"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690" w:hRule="atLeast"/>
        </w:trPr>
        <w:tc>
          <w:tcPr>
            <w:tcW w:w="24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2509"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657" w:hRule="atLeast"/>
        </w:trPr>
        <w:tc>
          <w:tcPr>
            <w:tcW w:w="183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5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tblPrEx>
          <w:tblCellMar>
            <w:top w:w="0" w:type="dxa"/>
            <w:left w:w="108" w:type="dxa"/>
            <w:bottom w:w="0" w:type="dxa"/>
            <w:right w:w="108" w:type="dxa"/>
          </w:tblCellMar>
        </w:tblPrEx>
        <w:trPr>
          <w:trHeight w:val="499" w:hRule="atLeast"/>
        </w:trPr>
        <w:tc>
          <w:tcPr>
            <w:tcW w:w="183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6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123.70</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123.70</w:t>
            </w:r>
          </w:p>
        </w:tc>
      </w:tr>
      <w:tr>
        <w:tblPrEx>
          <w:tblCellMar>
            <w:top w:w="0" w:type="dxa"/>
            <w:left w:w="108" w:type="dxa"/>
            <w:bottom w:w="0" w:type="dxa"/>
            <w:right w:w="108" w:type="dxa"/>
          </w:tblCellMar>
        </w:tblPrEx>
        <w:trPr>
          <w:trHeight w:val="413" w:hRule="atLeast"/>
        </w:trPr>
        <w:tc>
          <w:tcPr>
            <w:tcW w:w="183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123.70</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91.80</w:t>
            </w:r>
          </w:p>
        </w:tc>
      </w:tr>
      <w:tr>
        <w:tblPrEx>
          <w:tblCellMar>
            <w:top w:w="0" w:type="dxa"/>
            <w:left w:w="108" w:type="dxa"/>
            <w:bottom w:w="0" w:type="dxa"/>
            <w:right w:w="108" w:type="dxa"/>
          </w:tblCellMar>
        </w:tblPrEx>
        <w:trPr>
          <w:trHeight w:val="413" w:hRule="atLeast"/>
        </w:trPr>
        <w:tc>
          <w:tcPr>
            <w:tcW w:w="183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16.94</w:t>
            </w:r>
          </w:p>
        </w:tc>
      </w:tr>
      <w:tr>
        <w:tblPrEx>
          <w:tblCellMar>
            <w:top w:w="0" w:type="dxa"/>
            <w:left w:w="108" w:type="dxa"/>
            <w:bottom w:w="0" w:type="dxa"/>
            <w:right w:w="108" w:type="dxa"/>
          </w:tblCellMar>
        </w:tblPrEx>
        <w:trPr>
          <w:trHeight w:val="413" w:hRule="atLeast"/>
        </w:trPr>
        <w:tc>
          <w:tcPr>
            <w:tcW w:w="183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4.94</w:t>
            </w:r>
          </w:p>
        </w:tc>
      </w:tr>
      <w:tr>
        <w:tblPrEx>
          <w:tblCellMar>
            <w:top w:w="0" w:type="dxa"/>
            <w:left w:w="108" w:type="dxa"/>
            <w:bottom w:w="0" w:type="dxa"/>
            <w:right w:w="108" w:type="dxa"/>
          </w:tblCellMar>
        </w:tblPrEx>
        <w:trPr>
          <w:trHeight w:val="413" w:hRule="atLeast"/>
        </w:trPr>
        <w:tc>
          <w:tcPr>
            <w:tcW w:w="183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6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10.02</w:t>
            </w:r>
          </w:p>
        </w:tc>
      </w:tr>
      <w:tr>
        <w:tblPrEx>
          <w:tblCellMar>
            <w:top w:w="0" w:type="dxa"/>
            <w:left w:w="108" w:type="dxa"/>
            <w:bottom w:w="0" w:type="dxa"/>
            <w:right w:w="108" w:type="dxa"/>
          </w:tblCellMar>
        </w:tblPrEx>
        <w:trPr>
          <w:trHeight w:val="413" w:hRule="atLeast"/>
        </w:trPr>
        <w:tc>
          <w:tcPr>
            <w:tcW w:w="183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6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6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6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6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6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附表8</w:t>
      </w:r>
    </w:p>
    <w:tbl>
      <w:tblPr>
        <w:tblStyle w:val="6"/>
        <w:tblW w:w="5000" w:type="pct"/>
        <w:tblInd w:w="0" w:type="dxa"/>
        <w:tblLayout w:type="autofit"/>
        <w:tblCellMar>
          <w:top w:w="0" w:type="dxa"/>
          <w:left w:w="108" w:type="dxa"/>
          <w:bottom w:w="0" w:type="dxa"/>
          <w:right w:w="108" w:type="dxa"/>
        </w:tblCellMar>
      </w:tblPr>
      <w:tblGrid>
        <w:gridCol w:w="974"/>
        <w:gridCol w:w="2950"/>
        <w:gridCol w:w="711"/>
        <w:gridCol w:w="946"/>
        <w:gridCol w:w="1032"/>
        <w:gridCol w:w="1083"/>
        <w:gridCol w:w="1032"/>
        <w:gridCol w:w="1049"/>
        <w:gridCol w:w="1049"/>
        <w:gridCol w:w="1015"/>
        <w:gridCol w:w="1100"/>
        <w:gridCol w:w="1233"/>
      </w:tblGrid>
      <w:tr>
        <w:tblPrEx>
          <w:tblCellMar>
            <w:top w:w="0" w:type="dxa"/>
            <w:left w:w="108" w:type="dxa"/>
            <w:bottom w:w="0" w:type="dxa"/>
            <w:right w:w="108" w:type="dxa"/>
          </w:tblCellMar>
        </w:tblPrEx>
        <w:trPr>
          <w:trHeight w:val="870" w:hRule="atLeast"/>
        </w:trPr>
        <w:tc>
          <w:tcPr>
            <w:tcW w:w="5000" w:type="pct"/>
            <w:gridSpan w:val="12"/>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4"/>
                <w:szCs w:val="34"/>
              </w:rPr>
              <w:t>重庆市九龙坡区杨家坪街道物业服务中心部门收入总表</w:t>
            </w:r>
          </w:p>
        </w:tc>
      </w:tr>
      <w:tr>
        <w:tblPrEx>
          <w:tblCellMar>
            <w:top w:w="0" w:type="dxa"/>
            <w:left w:w="108" w:type="dxa"/>
            <w:bottom w:w="0" w:type="dxa"/>
            <w:right w:w="108" w:type="dxa"/>
          </w:tblCellMar>
        </w:tblPrEx>
        <w:trPr>
          <w:trHeight w:val="447" w:hRule="atLeast"/>
        </w:trPr>
        <w:tc>
          <w:tcPr>
            <w:tcW w:w="34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4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5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3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8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5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8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32"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1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tblPrEx>
          <w:tblCellMar>
            <w:top w:w="0" w:type="dxa"/>
            <w:left w:w="108" w:type="dxa"/>
            <w:bottom w:w="0" w:type="dxa"/>
            <w:right w:w="108" w:type="dxa"/>
          </w:tblCellMar>
        </w:tblPrEx>
        <w:trPr>
          <w:trHeight w:val="604" w:hRule="atLeast"/>
        </w:trPr>
        <w:tc>
          <w:tcPr>
            <w:tcW w:w="34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1040"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3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8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43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r>
      <w:tr>
        <w:tblPrEx>
          <w:tblCellMar>
            <w:top w:w="0" w:type="dxa"/>
            <w:left w:w="108" w:type="dxa"/>
            <w:bottom w:w="0" w:type="dxa"/>
            <w:right w:w="108" w:type="dxa"/>
          </w:tblCellMar>
        </w:tblPrEx>
        <w:trPr>
          <w:trHeight w:val="413" w:hRule="atLeast"/>
        </w:trPr>
        <w:tc>
          <w:tcPr>
            <w:tcW w:w="1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123.70</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123.70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r>
      <w:tr>
        <w:tblPrEx>
          <w:tblCellMar>
            <w:top w:w="0" w:type="dxa"/>
            <w:left w:w="108" w:type="dxa"/>
            <w:bottom w:w="0" w:type="dxa"/>
            <w:right w:w="108" w:type="dxa"/>
          </w:tblCellMar>
        </w:tblPrEx>
        <w:trPr>
          <w:trHeight w:val="413" w:hRule="atLeast"/>
        </w:trPr>
        <w:tc>
          <w:tcPr>
            <w:tcW w:w="3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201</w:t>
            </w:r>
          </w:p>
        </w:tc>
        <w:tc>
          <w:tcPr>
            <w:tcW w:w="10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一般公共服务支出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91.80</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91.80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20103</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政府办公厅（室）及相关机构事务</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91.80</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91.80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2010350</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事业运行</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91.80</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91.80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10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16.94</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16.94</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行政事业单位养老支出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16.94</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16.94</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2080505</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机关事业单位基本养老保险缴费支出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9.42</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9.42</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2080506</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机关事业单位职业年金缴费支出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4.71</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4.71</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2080599</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其他行政事业单位养老支出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2.81</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2.81</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10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4.94</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4.94</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行政事业单位医疗</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4.94</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4.94</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2101102</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事业单位医疗</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4.15</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4.15</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2101199</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其他行政事业单位医疗支出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0.79</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0.79</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10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10.02</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10.02</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住房改革支出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10.02</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10.02</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2210201</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住房公积金</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8.03</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8.03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2210203</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购房补贴</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1.99</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1.99</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附表9</w:t>
      </w:r>
    </w:p>
    <w:tbl>
      <w:tblPr>
        <w:tblStyle w:val="6"/>
        <w:tblW w:w="5000" w:type="pct"/>
        <w:tblInd w:w="0" w:type="dxa"/>
        <w:tblLayout w:type="autofit"/>
        <w:tblCellMar>
          <w:top w:w="0" w:type="dxa"/>
          <w:left w:w="108" w:type="dxa"/>
          <w:bottom w:w="0" w:type="dxa"/>
          <w:right w:w="108" w:type="dxa"/>
        </w:tblCellMar>
      </w:tblPr>
      <w:tblGrid>
        <w:gridCol w:w="2434"/>
        <w:gridCol w:w="4176"/>
        <w:gridCol w:w="2662"/>
        <w:gridCol w:w="2583"/>
        <w:gridCol w:w="2319"/>
      </w:tblGrid>
      <w:tr>
        <w:tblPrEx>
          <w:tblCellMar>
            <w:top w:w="0" w:type="dxa"/>
            <w:left w:w="108" w:type="dxa"/>
            <w:bottom w:w="0" w:type="dxa"/>
            <w:right w:w="108" w:type="dxa"/>
          </w:tblCellMar>
        </w:tblPrEx>
        <w:trPr>
          <w:trHeight w:val="870"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重庆市九龙坡区杨家坪街道物业服务中心部门支出总表</w:t>
            </w:r>
          </w:p>
        </w:tc>
      </w:tr>
      <w:tr>
        <w:tblPrEx>
          <w:tblCellMar>
            <w:top w:w="0" w:type="dxa"/>
            <w:left w:w="108" w:type="dxa"/>
            <w:bottom w:w="0" w:type="dxa"/>
            <w:right w:w="108" w:type="dxa"/>
          </w:tblCellMar>
        </w:tblPrEx>
        <w:trPr>
          <w:trHeight w:val="379" w:hRule="atLeast"/>
        </w:trPr>
        <w:tc>
          <w:tcPr>
            <w:tcW w:w="859"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3"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9"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1"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16"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38" w:hRule="atLeast"/>
        </w:trPr>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147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93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91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81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tblPrEx>
          <w:tblCellMar>
            <w:top w:w="0" w:type="dxa"/>
            <w:left w:w="108" w:type="dxa"/>
            <w:bottom w:w="0" w:type="dxa"/>
            <w:right w:w="108" w:type="dxa"/>
          </w:tblCellMar>
        </w:tblPrEx>
        <w:trPr>
          <w:trHeight w:val="465" w:hRule="atLeast"/>
        </w:trPr>
        <w:tc>
          <w:tcPr>
            <w:tcW w:w="23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123.70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123.70</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201</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91.80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91.80</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20103</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政府办公厅（室）及相关机构事务</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91.80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91.80</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2010350</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事业运行</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91.80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91.80</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16.94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16.94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行政事业单位养老支出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16.94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16.94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机关事业单位基本养老保险缴费支出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9.42</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9.42</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2080506</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机关事业单位职业年金缴费支出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4.71</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4.71</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其他行政事业单位养老支出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2.81</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2.81</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4.94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4.94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4.94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4.94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2101102</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事业单位医疗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4.15</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4.15</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其他行政事业单位医疗支出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0.79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0.79</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10.02</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10.02</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住房改革支出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10.02</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10.02</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住房公积金</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8.03</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8.03</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2210203</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购房补贴</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1.99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1.99</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附表10</w:t>
      </w:r>
    </w:p>
    <w:tbl>
      <w:tblPr>
        <w:tblStyle w:val="6"/>
        <w:tblW w:w="5000" w:type="pct"/>
        <w:tblInd w:w="0" w:type="dxa"/>
        <w:tblLayout w:type="autofit"/>
        <w:tblCellMar>
          <w:top w:w="0" w:type="dxa"/>
          <w:left w:w="108" w:type="dxa"/>
          <w:bottom w:w="0" w:type="dxa"/>
          <w:right w:w="108" w:type="dxa"/>
        </w:tblCellMar>
      </w:tblPr>
      <w:tblGrid>
        <w:gridCol w:w="2440"/>
        <w:gridCol w:w="6906"/>
        <w:gridCol w:w="4828"/>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Cs w:val="32"/>
              </w:rPr>
            </w:pPr>
            <w:r>
              <w:rPr>
                <w:rFonts w:hint="eastAsia" w:ascii="方正小标宋_GBK" w:hAnsi="宋体" w:eastAsia="方正小标宋_GBK" w:cs="宋体"/>
                <w:color w:val="000000"/>
                <w:kern w:val="0"/>
                <w:sz w:val="34"/>
                <w:szCs w:val="34"/>
              </w:rPr>
              <w:t>重庆市九龙坡区杨家坪街道物业服务中心</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tblPrEx>
          <w:tblCellMar>
            <w:top w:w="0" w:type="dxa"/>
            <w:left w:w="108" w:type="dxa"/>
            <w:bottom w:w="0" w:type="dxa"/>
            <w:right w:w="108" w:type="dxa"/>
          </w:tblCellMar>
        </w:tblPrEx>
        <w:trPr>
          <w:trHeight w:val="398" w:hRule="atLeast"/>
        </w:trPr>
        <w:tc>
          <w:tcPr>
            <w:tcW w:w="86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4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703"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4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552"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43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7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附表11</w:t>
      </w:r>
    </w:p>
    <w:tbl>
      <w:tblPr>
        <w:tblStyle w:val="6"/>
        <w:tblW w:w="5000" w:type="pct"/>
        <w:tblInd w:w="0" w:type="dxa"/>
        <w:tblLayout w:type="autofit"/>
        <w:tblCellMar>
          <w:top w:w="0" w:type="dxa"/>
          <w:left w:w="108" w:type="dxa"/>
          <w:bottom w:w="0" w:type="dxa"/>
          <w:right w:w="108" w:type="dxa"/>
        </w:tblCellMar>
      </w:tblPr>
      <w:tblGrid>
        <w:gridCol w:w="2613"/>
        <w:gridCol w:w="6030"/>
        <w:gridCol w:w="5531"/>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重庆市九龙坡区杨家坪街道物业服务中心</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92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2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951"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92"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9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623"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12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95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附表12</w:t>
      </w:r>
    </w:p>
    <w:tbl>
      <w:tblPr>
        <w:tblStyle w:val="6"/>
        <w:tblW w:w="5000" w:type="pct"/>
        <w:tblInd w:w="0" w:type="dxa"/>
        <w:tblLayout w:type="autofit"/>
        <w:tblCellMar>
          <w:top w:w="0" w:type="dxa"/>
          <w:left w:w="108" w:type="dxa"/>
          <w:bottom w:w="0" w:type="dxa"/>
          <w:right w:w="108" w:type="dxa"/>
        </w:tblCellMar>
      </w:tblPr>
      <w:tblGrid>
        <w:gridCol w:w="478"/>
        <w:gridCol w:w="478"/>
        <w:gridCol w:w="478"/>
        <w:gridCol w:w="478"/>
        <w:gridCol w:w="478"/>
        <w:gridCol w:w="479"/>
        <w:gridCol w:w="482"/>
        <w:gridCol w:w="485"/>
        <w:gridCol w:w="485"/>
        <w:gridCol w:w="485"/>
        <w:gridCol w:w="488"/>
        <w:gridCol w:w="488"/>
        <w:gridCol w:w="488"/>
        <w:gridCol w:w="490"/>
        <w:gridCol w:w="488"/>
        <w:gridCol w:w="488"/>
        <w:gridCol w:w="488"/>
        <w:gridCol w:w="488"/>
        <w:gridCol w:w="488"/>
        <w:gridCol w:w="488"/>
        <w:gridCol w:w="488"/>
        <w:gridCol w:w="488"/>
        <w:gridCol w:w="488"/>
        <w:gridCol w:w="488"/>
        <w:gridCol w:w="2534"/>
      </w:tblGrid>
      <w:tr>
        <w:tblPrEx>
          <w:tblCellMar>
            <w:top w:w="0" w:type="dxa"/>
            <w:left w:w="108" w:type="dxa"/>
            <w:bottom w:w="0" w:type="dxa"/>
            <w:right w:w="108" w:type="dxa"/>
          </w:tblCellMar>
        </w:tblPrEx>
        <w:trPr>
          <w:trHeight w:val="878" w:hRule="atLeast"/>
        </w:trPr>
        <w:tc>
          <w:tcPr>
            <w:tcW w:w="5000" w:type="pct"/>
            <w:gridSpan w:val="2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重庆市九龙坡区杨家坪街道物业服务中心政府采购明细表</w:t>
            </w:r>
          </w:p>
        </w:tc>
      </w:tr>
      <w:tr>
        <w:tblPrEx>
          <w:tblCellMar>
            <w:top w:w="0" w:type="dxa"/>
            <w:left w:w="108" w:type="dxa"/>
            <w:bottom w:w="0" w:type="dxa"/>
            <w:right w:w="108" w:type="dxa"/>
          </w:tblCellMar>
        </w:tblPrEx>
        <w:trPr>
          <w:trHeight w:val="327" w:hRule="atLeast"/>
        </w:trPr>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04" w:type="pct"/>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单位：万元</w:t>
            </w:r>
          </w:p>
        </w:tc>
      </w:tr>
      <w:tr>
        <w:tblPrEx>
          <w:tblCellMar>
            <w:top w:w="0" w:type="dxa"/>
            <w:left w:w="108" w:type="dxa"/>
            <w:bottom w:w="0" w:type="dxa"/>
            <w:right w:w="108" w:type="dxa"/>
          </w:tblCellMar>
        </w:tblPrEx>
        <w:trPr>
          <w:trHeight w:val="672"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部门单位</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项目编码</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功能科目</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政府经济科目</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部门经济科目</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是否政府采购</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项目状态</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860"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w:t>
            </w:r>
          </w:p>
        </w:tc>
        <w:tc>
          <w:tcPr>
            <w:tcW w:w="51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财政专户管理资金</w:t>
            </w:r>
          </w:p>
        </w:tc>
        <w:tc>
          <w:tcPr>
            <w:tcW w:w="1748"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单位资金</w:t>
            </w:r>
          </w:p>
        </w:tc>
      </w:tr>
      <w:tr>
        <w:tblPrEx>
          <w:tblCellMar>
            <w:top w:w="0" w:type="dxa"/>
            <w:left w:w="108" w:type="dxa"/>
            <w:bottom w:w="0" w:type="dxa"/>
            <w:right w:w="108" w:type="dxa"/>
          </w:tblCellMar>
        </w:tblPrEx>
        <w:trPr>
          <w:trHeight w:val="777" w:hRule="atLeast"/>
        </w:trPr>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一般债券</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外国政府和国际组织贷款</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外国政府和国际组织赠款</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专项债券</w:t>
            </w: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上级补助收入资金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事业单位经营收入资金</w:t>
            </w:r>
          </w:p>
        </w:tc>
        <w:tc>
          <w:tcPr>
            <w:tcW w:w="88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其他收入资金</w:t>
            </w:r>
          </w:p>
        </w:tc>
      </w:tr>
      <w:tr>
        <w:tblPrEx>
          <w:tblCellMar>
            <w:top w:w="0" w:type="dxa"/>
            <w:left w:w="108" w:type="dxa"/>
            <w:bottom w:w="0" w:type="dxa"/>
            <w:right w:w="108" w:type="dxa"/>
          </w:tblCellMar>
        </w:tblPrEx>
        <w:trPr>
          <w:trHeight w:val="398" w:hRule="atLeast"/>
        </w:trPr>
        <w:tc>
          <w:tcPr>
            <w:tcW w:w="16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6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8" w:hRule="atLeast"/>
        </w:trPr>
        <w:tc>
          <w:tcPr>
            <w:tcW w:w="16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5" w:hRule="atLeast"/>
        </w:trPr>
        <w:tc>
          <w:tcPr>
            <w:tcW w:w="16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7" w:hRule="atLeast"/>
        </w:trPr>
        <w:tc>
          <w:tcPr>
            <w:tcW w:w="16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5" w:hRule="atLeast"/>
        </w:trPr>
        <w:tc>
          <w:tcPr>
            <w:tcW w:w="16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附表13</w:t>
      </w:r>
    </w:p>
    <w:tbl>
      <w:tblPr>
        <w:tblStyle w:val="6"/>
        <w:tblW w:w="5000" w:type="pct"/>
        <w:tblInd w:w="0" w:type="dxa"/>
        <w:tblLayout w:type="autofit"/>
        <w:tblCellMar>
          <w:top w:w="0" w:type="dxa"/>
          <w:left w:w="108" w:type="dxa"/>
          <w:bottom w:w="0" w:type="dxa"/>
          <w:right w:w="108" w:type="dxa"/>
        </w:tblCellMar>
      </w:tblPr>
      <w:tblGrid>
        <w:gridCol w:w="2004"/>
        <w:gridCol w:w="972"/>
        <w:gridCol w:w="972"/>
        <w:gridCol w:w="1721"/>
        <w:gridCol w:w="1159"/>
        <w:gridCol w:w="785"/>
        <w:gridCol w:w="972"/>
        <w:gridCol w:w="1090"/>
        <w:gridCol w:w="604"/>
        <w:gridCol w:w="785"/>
        <w:gridCol w:w="1162"/>
        <w:gridCol w:w="227"/>
        <w:gridCol w:w="227"/>
        <w:gridCol w:w="227"/>
        <w:gridCol w:w="1267"/>
      </w:tblGrid>
      <w:tr>
        <w:tblPrEx>
          <w:tblCellMar>
            <w:top w:w="0" w:type="dxa"/>
            <w:left w:w="108" w:type="dxa"/>
            <w:bottom w:w="0" w:type="dxa"/>
            <w:right w:w="108" w:type="dxa"/>
          </w:tblCellMar>
        </w:tblPrEx>
        <w:trPr>
          <w:trHeight w:val="270" w:hRule="atLeast"/>
        </w:trPr>
        <w:tc>
          <w:tcPr>
            <w:tcW w:w="5000" w:type="pct"/>
            <w:gridSpan w:val="15"/>
            <w:tcBorders>
              <w:top w:val="nil"/>
              <w:left w:val="nil"/>
              <w:bottom w:val="nil"/>
              <w:right w:val="nil"/>
            </w:tcBorders>
            <w:shd w:val="clear" w:color="auto" w:fill="auto"/>
            <w:noWrap/>
            <w:vAlign w:val="center"/>
          </w:tcPr>
          <w:p>
            <w:pPr>
              <w:widowControl/>
              <w:jc w:val="center"/>
              <w:rPr>
                <w:rFonts w:hint="eastAsia" w:ascii="方正楷体_GBK" w:hAnsi="宋体" w:eastAsia="方正楷体_GBK" w:cs="宋体"/>
                <w:color w:val="000000"/>
                <w:kern w:val="0"/>
                <w:sz w:val="20"/>
              </w:rPr>
            </w:pPr>
            <w:r>
              <w:rPr>
                <w:rFonts w:hint="eastAsia" w:ascii="方正小标宋_GBK" w:hAnsi="宋体" w:eastAsia="方正小标宋_GBK" w:cs="宋体"/>
                <w:color w:val="000000"/>
                <w:kern w:val="0"/>
                <w:sz w:val="34"/>
                <w:szCs w:val="34"/>
              </w:rPr>
              <w:t>重庆市九龙坡区杨家坪街道物业服务中心项目绩效目标表</w:t>
            </w:r>
            <w:bookmarkStart w:id="0" w:name="_GoBack"/>
            <w:bookmarkEnd w:id="0"/>
          </w:p>
        </w:tc>
      </w:tr>
      <w:tr>
        <w:tblPrEx>
          <w:tblCellMar>
            <w:top w:w="0" w:type="dxa"/>
            <w:left w:w="108" w:type="dxa"/>
            <w:bottom w:w="0" w:type="dxa"/>
            <w:right w:w="108" w:type="dxa"/>
          </w:tblCellMar>
        </w:tblPrEx>
        <w:trPr>
          <w:trHeight w:val="270" w:hRule="atLeast"/>
        </w:trPr>
        <w:tc>
          <w:tcPr>
            <w:tcW w:w="70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4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4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0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0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4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8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0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43"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00" w:hRule="atLeast"/>
        </w:trPr>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单位信息：</w:t>
            </w:r>
          </w:p>
        </w:tc>
        <w:tc>
          <w:tcPr>
            <w:tcW w:w="68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625"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职能职责与活动：</w:t>
            </w:r>
          </w:p>
        </w:tc>
        <w:tc>
          <w:tcPr>
            <w:tcW w:w="68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60" w:hRule="atLeast"/>
        </w:trPr>
        <w:tc>
          <w:tcPr>
            <w:tcW w:w="70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主管部门：</w:t>
            </w:r>
          </w:p>
        </w:tc>
        <w:tc>
          <w:tcPr>
            <w:tcW w:w="68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w:t>
            </w:r>
          </w:p>
        </w:tc>
        <w:tc>
          <w:tcPr>
            <w:tcW w:w="1625"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项目总额：</w:t>
            </w:r>
          </w:p>
        </w:tc>
        <w:tc>
          <w:tcPr>
            <w:tcW w:w="686"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65" w:hRule="atLeast"/>
        </w:trPr>
        <w:tc>
          <w:tcPr>
            <w:tcW w:w="70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预算执行率权重(%)：</w:t>
            </w:r>
          </w:p>
        </w:tc>
        <w:tc>
          <w:tcPr>
            <w:tcW w:w="68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项目经办人电话：</w:t>
            </w:r>
          </w:p>
        </w:tc>
        <w:tc>
          <w:tcPr>
            <w:tcW w:w="1625"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其中：</w:t>
            </w:r>
          </w:p>
        </w:tc>
        <w:tc>
          <w:tcPr>
            <w:tcW w:w="409"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财政资金：</w:t>
            </w:r>
          </w:p>
        </w:tc>
        <w:tc>
          <w:tcPr>
            <w:tcW w:w="686"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vMerge w:val="restart"/>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整体目标：</w:t>
            </w:r>
          </w:p>
        </w:tc>
        <w:tc>
          <w:tcPr>
            <w:tcW w:w="2919" w:type="pct"/>
            <w:gridSpan w:val="8"/>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财政专户管理资金：</w:t>
            </w:r>
          </w:p>
        </w:tc>
        <w:tc>
          <w:tcPr>
            <w:tcW w:w="68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919"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单位资金：</w:t>
            </w:r>
          </w:p>
        </w:tc>
        <w:tc>
          <w:tcPr>
            <w:tcW w:w="68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919"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社会投入资金：</w:t>
            </w:r>
          </w:p>
        </w:tc>
        <w:tc>
          <w:tcPr>
            <w:tcW w:w="68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919"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银行贷款：</w:t>
            </w:r>
          </w:p>
        </w:tc>
        <w:tc>
          <w:tcPr>
            <w:tcW w:w="68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30" w:hRule="atLeast"/>
        </w:trPr>
        <w:tc>
          <w:tcPr>
            <w:tcW w:w="70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6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指标性质</w:t>
            </w:r>
          </w:p>
        </w:tc>
        <w:tc>
          <w:tcPr>
            <w:tcW w:w="40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历史参考值</w:t>
            </w:r>
          </w:p>
        </w:tc>
        <w:tc>
          <w:tcPr>
            <w:tcW w:w="27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指标值</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度量单位</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权重（%）</w:t>
            </w:r>
          </w:p>
        </w:tc>
        <w:tc>
          <w:tcPr>
            <w:tcW w:w="2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4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大黑_GBK">
    <w:altName w:val="方正黑体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253"/>
    <w:rsid w:val="000D37D0"/>
    <w:rsid w:val="001903D3"/>
    <w:rsid w:val="00562D10"/>
    <w:rsid w:val="0057786F"/>
    <w:rsid w:val="0058538E"/>
    <w:rsid w:val="006402DA"/>
    <w:rsid w:val="0071183D"/>
    <w:rsid w:val="0071464F"/>
    <w:rsid w:val="009A29A4"/>
    <w:rsid w:val="009E1253"/>
    <w:rsid w:val="00A319E9"/>
    <w:rsid w:val="00B11808"/>
    <w:rsid w:val="00B7055B"/>
    <w:rsid w:val="00C179A2"/>
    <w:rsid w:val="00CB6036"/>
    <w:rsid w:val="00EC7A91"/>
    <w:rsid w:val="00FD6335"/>
    <w:rsid w:val="D7FFDEA8"/>
    <w:rsid w:val="F4F7C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0"/>
    <w:pPr>
      <w:snapToGrid w:val="0"/>
      <w:spacing w:line="240" w:lineRule="atLeast"/>
      <w:jc w:val="center"/>
    </w:pPr>
    <w:rPr>
      <w:rFonts w:eastAsia="黑体"/>
      <w:sz w:val="44"/>
      <w:szCs w:val="24"/>
    </w:rPr>
  </w:style>
  <w:style w:type="paragraph" w:styleId="3">
    <w:name w:val="Block Text"/>
    <w:basedOn w:val="1"/>
    <w:qFormat/>
    <w:uiPriority w:val="0"/>
    <w:pPr>
      <w:ind w:left="-178" w:leftChars="-85" w:right="-693" w:rightChars="-330" w:firstLine="560" w:firstLineChars="200"/>
    </w:pPr>
    <w:rPr>
      <w:rFonts w:eastAsia="宋体"/>
      <w:sz w:val="28"/>
      <w:szCs w:val="24"/>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styleId="10">
    <w:name w:val="List Paragraph"/>
    <w:basedOn w:val="1"/>
    <w:qFormat/>
    <w:uiPriority w:val="34"/>
    <w:pPr>
      <w:ind w:firstLine="420" w:firstLineChars="200"/>
    </w:pPr>
    <w:rPr>
      <w:rFonts w:ascii="仿宋" w:hAnsi="仿宋" w:eastAsia="仿宋"/>
      <w:sz w:val="28"/>
      <w:szCs w:val="22"/>
    </w:rPr>
  </w:style>
  <w:style w:type="character" w:customStyle="1" w:styleId="11">
    <w:name w:val="正文文本 Char"/>
    <w:basedOn w:val="7"/>
    <w:link w:val="2"/>
    <w:qFormat/>
    <w:uiPriority w:val="0"/>
    <w:rPr>
      <w:rFonts w:ascii="Times New Roman" w:hAnsi="Times New Roman" w:eastAsia="黑体" w:cs="Times New Roman"/>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1150</Words>
  <Characters>6559</Characters>
  <Lines>54</Lines>
  <Paragraphs>15</Paragraphs>
  <TotalTime>0</TotalTime>
  <ScaleCrop>false</ScaleCrop>
  <LinksUpToDate>false</LinksUpToDate>
  <CharactersWithSpaces>7694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2025-01-19T22:20:00Z</dcterms:created>
  <dc:creator>AutoBVT</dc:creator>
  <cp:lastModifiedBy>user</cp:lastModifiedBy>
  <dcterms:modified xsi:type="dcterms:W3CDTF">2025-01-23T15:35:43Z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