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ascii="方正小标宋_GBK" w:hAnsi="方正小标宋_GBK" w:eastAsia="方正小标宋_GBK" w:cs="方正小标宋_GBK"/>
          <w:sz w:val="44"/>
          <w:szCs w:val="44"/>
        </w:rPr>
      </w:pPr>
    </w:p>
    <w:p>
      <w:pPr>
        <w:spacing w:line="600" w:lineRule="exact"/>
        <w:jc w:val="left"/>
        <w:rPr>
          <w:rFonts w:ascii="方正黑体_GBK" w:hAnsi="Times New Roman" w:eastAsia="方正黑体_GBK"/>
          <w:sz w:val="32"/>
          <w:szCs w:val="32"/>
        </w:rPr>
      </w:pPr>
      <w:bookmarkStart w:id="0" w:name="_GoBack"/>
      <w:bookmarkEnd w:id="0"/>
      <w:r>
        <w:rPr>
          <w:rFonts w:hint="eastAsia" w:ascii="方正黑体_GBK" w:hAnsi="Times New Roman" w:eastAsia="方正黑体_GBK"/>
          <w:sz w:val="32"/>
          <w:szCs w:val="32"/>
        </w:rPr>
        <w:t xml:space="preserve">附件                                 </w:t>
      </w: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九龙坡区集体土地征收补偿安置实施办法</w:t>
      </w:r>
    </w:p>
    <w:p>
      <w:pPr>
        <w:spacing w:line="600" w:lineRule="exact"/>
        <w:jc w:val="center"/>
        <w:rPr>
          <w:rFonts w:ascii="Times New Roman" w:hAnsi="Times New Roman" w:eastAsia="方正楷体_GBK"/>
          <w:b/>
          <w:sz w:val="32"/>
          <w:szCs w:val="32"/>
        </w:rPr>
      </w:pPr>
      <w:r>
        <w:rPr>
          <w:rFonts w:hint="eastAsia" w:ascii="Times New Roman" w:hAnsi="Times New Roman" w:eastAsia="方正楷体_GBK"/>
          <w:b/>
          <w:sz w:val="32"/>
          <w:szCs w:val="32"/>
        </w:rPr>
        <w:t>（征求意见稿）</w:t>
      </w:r>
    </w:p>
    <w:p>
      <w:pPr>
        <w:pStyle w:val="9"/>
        <w:rPr>
          <w:rFonts w:ascii="方正黑体_GBK" w:eastAsia="方正黑体_GBK"/>
          <w:sz w:val="32"/>
          <w:szCs w:val="32"/>
        </w:rPr>
      </w:pPr>
    </w:p>
    <w:p>
      <w:pPr>
        <w:pStyle w:val="9"/>
        <w:rPr>
          <w:rFonts w:ascii="方正黑体_GBK" w:eastAsia="方正黑体_GBK"/>
          <w:sz w:val="32"/>
          <w:szCs w:val="32"/>
        </w:rPr>
      </w:pPr>
      <w:r>
        <w:rPr>
          <w:rFonts w:hint="eastAsia" w:ascii="方正黑体_GBK" w:eastAsia="方正黑体_GBK"/>
          <w:sz w:val="32"/>
          <w:szCs w:val="32"/>
        </w:rPr>
        <w:t>目  录</w:t>
      </w:r>
    </w:p>
    <w:p>
      <w:pPr>
        <w:pStyle w:val="9"/>
        <w:rPr>
          <w:rFonts w:ascii="方正黑体_GBK" w:eastAsia="方正黑体_GBK"/>
          <w:sz w:val="32"/>
          <w:szCs w:val="32"/>
        </w:rPr>
      </w:pPr>
      <w:r>
        <w:rPr>
          <w:rFonts w:hint="eastAsia" w:ascii="方正黑体_GBK" w:eastAsia="方正黑体_GBK"/>
          <w:sz w:val="32"/>
          <w:szCs w:val="32"/>
        </w:rPr>
        <w:t>第一章  总则</w:t>
      </w:r>
    </w:p>
    <w:p>
      <w:pPr>
        <w:pStyle w:val="9"/>
        <w:rPr>
          <w:rFonts w:ascii="方正黑体_GBK" w:eastAsia="方正黑体_GBK"/>
          <w:sz w:val="32"/>
          <w:szCs w:val="32"/>
        </w:rPr>
      </w:pPr>
      <w:r>
        <w:rPr>
          <w:rFonts w:hint="eastAsia" w:ascii="方正黑体_GBK" w:eastAsia="方正黑体_GBK"/>
          <w:sz w:val="32"/>
          <w:szCs w:val="32"/>
        </w:rPr>
        <w:t>第二章  征地补偿</w:t>
      </w:r>
    </w:p>
    <w:p>
      <w:pPr>
        <w:pStyle w:val="9"/>
        <w:rPr>
          <w:rFonts w:ascii="方正黑体_GBK" w:eastAsia="方正黑体_GBK"/>
          <w:sz w:val="32"/>
          <w:szCs w:val="32"/>
        </w:rPr>
      </w:pPr>
      <w:r>
        <w:rPr>
          <w:rFonts w:hint="eastAsia" w:ascii="方正黑体_GBK" w:eastAsia="方正黑体_GBK"/>
          <w:sz w:val="32"/>
          <w:szCs w:val="32"/>
        </w:rPr>
        <w:t>第三章  人员安置</w:t>
      </w:r>
    </w:p>
    <w:p>
      <w:pPr>
        <w:pStyle w:val="9"/>
        <w:rPr>
          <w:rFonts w:ascii="方正黑体_GBK" w:eastAsia="方正黑体_GBK"/>
          <w:sz w:val="32"/>
          <w:szCs w:val="32"/>
        </w:rPr>
      </w:pPr>
      <w:r>
        <w:rPr>
          <w:rFonts w:hint="eastAsia" w:ascii="方正黑体_GBK" w:eastAsia="方正黑体_GBK"/>
          <w:sz w:val="32"/>
          <w:szCs w:val="32"/>
        </w:rPr>
        <w:t>第四章  住房安置</w:t>
      </w:r>
    </w:p>
    <w:p>
      <w:pPr>
        <w:pStyle w:val="9"/>
        <w:rPr>
          <w:rFonts w:ascii="方正黑体_GBK" w:eastAsia="方正黑体_GBK"/>
          <w:sz w:val="32"/>
          <w:szCs w:val="32"/>
        </w:rPr>
      </w:pPr>
      <w:r>
        <w:rPr>
          <w:rFonts w:hint="eastAsia" w:ascii="方正黑体_GBK" w:eastAsia="方正黑体_GBK"/>
          <w:sz w:val="32"/>
          <w:szCs w:val="32"/>
        </w:rPr>
        <w:t>第五章  附则</w:t>
      </w:r>
    </w:p>
    <w:p>
      <w:pPr>
        <w:pStyle w:val="9"/>
        <w:jc w:val="center"/>
        <w:rPr>
          <w:rFonts w:ascii="方正黑体_GBK" w:eastAsia="方正黑体_GBK"/>
          <w:sz w:val="32"/>
          <w:szCs w:val="32"/>
        </w:rPr>
      </w:pPr>
    </w:p>
    <w:p>
      <w:pPr>
        <w:pStyle w:val="9"/>
        <w:jc w:val="center"/>
        <w:rPr>
          <w:rFonts w:ascii="Times New Roman" w:hAnsi="Times New Roman" w:eastAsia="方正黑体_GBK"/>
          <w:sz w:val="32"/>
          <w:szCs w:val="32"/>
        </w:rPr>
      </w:pPr>
      <w:r>
        <w:rPr>
          <w:rFonts w:hint="eastAsia" w:ascii="Times New Roman" w:hAnsi="Times New Roman" w:eastAsia="方正黑体_GBK"/>
          <w:sz w:val="32"/>
          <w:szCs w:val="32"/>
        </w:rPr>
        <w:t>第一章</w:t>
      </w:r>
      <w:r>
        <w:rPr>
          <w:rFonts w:ascii="Times New Roman" w:hAnsi="Times New Roman" w:eastAsia="方正黑体_GBK"/>
          <w:sz w:val="32"/>
          <w:szCs w:val="32"/>
        </w:rPr>
        <w:t xml:space="preserve">    </w:t>
      </w:r>
      <w:r>
        <w:rPr>
          <w:rFonts w:hint="eastAsia" w:ascii="Times New Roman" w:hAnsi="方正黑体_GBK" w:eastAsia="方正黑体_GBK"/>
          <w:sz w:val="32"/>
          <w:szCs w:val="32"/>
        </w:rPr>
        <w:t>总</w:t>
      </w:r>
      <w:r>
        <w:rPr>
          <w:rFonts w:ascii="Times New Roman" w:hAnsi="方正黑体_GBK" w:eastAsia="方正黑体_GBK"/>
          <w:sz w:val="32"/>
          <w:szCs w:val="32"/>
        </w:rPr>
        <w:t xml:space="preserve">  </w:t>
      </w:r>
      <w:r>
        <w:rPr>
          <w:rFonts w:hint="eastAsia" w:ascii="Times New Roman" w:hAnsi="方正黑体_GBK" w:eastAsia="方正黑体_GBK"/>
          <w:sz w:val="32"/>
          <w:szCs w:val="32"/>
        </w:rPr>
        <w:t>则</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bCs/>
          <w:sz w:val="32"/>
          <w:szCs w:val="32"/>
        </w:rPr>
        <w:t>第一条</w:t>
      </w:r>
      <w:r>
        <w:rPr>
          <w:rFonts w:hint="eastAsia" w:ascii="方正黑体_GBK" w:hAnsi="Times New Roman" w:eastAsia="方正黑体_GBK"/>
          <w:sz w:val="32"/>
          <w:szCs w:val="32"/>
        </w:rPr>
        <w:t>【目的和依据】</w:t>
      </w:r>
      <w:r>
        <w:rPr>
          <w:rFonts w:hint="eastAsia" w:ascii="Times New Roman" w:hAnsi="Times New Roman" w:eastAsia="方正仿宋_GBK"/>
          <w:sz w:val="32"/>
          <w:szCs w:val="32"/>
        </w:rPr>
        <w:t>为规范本区农民集体所有的土地（以下简称集体土地）征收补偿安置工作，保障被征收土地的所有权人、使用权人的合法权益，根据《中华人民共和国土地管理法》《中华人民共和国土地管理法实施条例》《重庆市集体土地征收补偿安置办法》等法律法规及有关规定，结合实际，制定本实施办法。</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bCs/>
          <w:sz w:val="32"/>
          <w:szCs w:val="32"/>
        </w:rPr>
        <w:t>第二条【适用范围】</w:t>
      </w:r>
      <w:r>
        <w:rPr>
          <w:rFonts w:hint="eastAsia" w:ascii="Times New Roman" w:hAnsi="Times New Roman" w:eastAsia="方正仿宋_GBK"/>
          <w:sz w:val="32"/>
          <w:szCs w:val="32"/>
        </w:rPr>
        <w:t>九龙坡区范围内集体土地征收的补偿、人员安置和住房安置，适用本实施办法。九龙坡区范围是指渝州路街道、石桥铺街道、二郎街道、杨家坪街道、黄桷坪街道、谢家湾街道、石坪桥街道、中梁山街道、九龙街道、华岩镇、陶家镇、西彭镇、铜罐驿镇辖区范围。</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bCs/>
          <w:sz w:val="32"/>
          <w:szCs w:val="32"/>
        </w:rPr>
        <w:t>第三条【区政府及其部门、镇街职责】</w:t>
      </w:r>
      <w:r>
        <w:rPr>
          <w:rFonts w:hint="eastAsia" w:ascii="Times New Roman" w:hAnsi="Times New Roman" w:eastAsia="方正仿宋_GBK"/>
          <w:sz w:val="32"/>
          <w:szCs w:val="32"/>
        </w:rPr>
        <w:t>区人民政府负责集体土地征收补偿安置的组织实施工作。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区征收事务中心承担集体土地征收补偿安置具体实施的事务性工作。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区规划自然资源局负责对集体土地征收补偿安置具体实施的事务性工作进行管理和监督。</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区人力资源和社会保障局负责征地人员安置对象的基本养老保险和促进就业工作。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区公安分局负责被征地农村集体经济组织所在地居民户口的信息提供和审核工作。</w:t>
      </w:r>
    </w:p>
    <w:p>
      <w:pPr>
        <w:adjustRightInd w:val="0"/>
        <w:spacing w:line="600" w:lineRule="exact"/>
        <w:ind w:firstLine="640" w:firstLineChars="200"/>
        <w:rPr>
          <w:rFonts w:ascii="Times New Roman" w:hAnsi="Times New Roman" w:eastAsia="方正仿宋_GBK"/>
        </w:rPr>
      </w:pPr>
      <w:r>
        <w:rPr>
          <w:rFonts w:hint="eastAsia" w:ascii="Times New Roman" w:hAnsi="Times New Roman" w:eastAsia="方正仿宋_GBK"/>
          <w:sz w:val="32"/>
          <w:szCs w:val="32"/>
        </w:rPr>
        <w:t>区农业农村委负责征地涉及的农村土地承包经营权调整，农村集体资产管理的指导、协调和监督及农村宅基地管理工作。</w:t>
      </w:r>
    </w:p>
    <w:p>
      <w:pPr>
        <w:adjustRightIn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区财政、住房城乡建设、民政等部门，按照各自职责做好集体土地征收补偿安置的相关工作。</w:t>
      </w:r>
    </w:p>
    <w:p>
      <w:pPr>
        <w:adjustRightIn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各镇人民政府、街道办事处负责征地涉及的农村土地承包经营及承包经营合同管理，农村宅基地审核批准，并按照区人民政府的要求，做好辖区内集体土地征收补偿安置的相关工作，负责本辖区征地相关人员的管理和稳定工作。</w:t>
      </w:r>
    </w:p>
    <w:p>
      <w:pPr>
        <w:adjustRightInd w:val="0"/>
        <w:spacing w:line="600" w:lineRule="exact"/>
        <w:jc w:val="center"/>
        <w:rPr>
          <w:rFonts w:ascii="Times New Roman" w:hAnsi="方正黑体_GBK" w:eastAsia="方正黑体_GBK"/>
          <w:sz w:val="32"/>
          <w:szCs w:val="32"/>
        </w:rPr>
      </w:pPr>
    </w:p>
    <w:p>
      <w:pPr>
        <w:adjustRightInd w:val="0"/>
        <w:spacing w:line="600" w:lineRule="exact"/>
        <w:jc w:val="center"/>
        <w:rPr>
          <w:rFonts w:ascii="Times New Roman" w:hAnsi="Times New Roman" w:eastAsia="方正黑体_GBK"/>
          <w:sz w:val="32"/>
          <w:szCs w:val="32"/>
        </w:rPr>
      </w:pPr>
      <w:r>
        <w:rPr>
          <w:rFonts w:hint="eastAsia" w:ascii="Times New Roman" w:hAnsi="方正黑体_GBK" w:eastAsia="方正黑体_GBK"/>
          <w:sz w:val="32"/>
          <w:szCs w:val="32"/>
        </w:rPr>
        <w:t>第二章</w:t>
      </w:r>
      <w:r>
        <w:rPr>
          <w:rFonts w:ascii="Times New Roman" w:hAnsi="Times New Roman" w:eastAsia="方正黑体_GBK"/>
          <w:sz w:val="32"/>
          <w:szCs w:val="32"/>
        </w:rPr>
        <w:t xml:space="preserve">   </w:t>
      </w:r>
      <w:r>
        <w:rPr>
          <w:rFonts w:hint="eastAsia" w:ascii="Times New Roman" w:hAnsi="方正黑体_GBK" w:eastAsia="方正黑体_GBK"/>
          <w:sz w:val="32"/>
          <w:szCs w:val="32"/>
        </w:rPr>
        <w:t>征地补偿</w:t>
      </w:r>
    </w:p>
    <w:p>
      <w:pPr>
        <w:adjustRightInd w:val="0"/>
        <w:spacing w:line="600" w:lineRule="exact"/>
        <w:ind w:firstLine="645"/>
        <w:jc w:val="left"/>
        <w:rPr>
          <w:rFonts w:ascii="Times New Roman" w:hAnsi="Times New Roman" w:eastAsia="方正黑体_GBK"/>
          <w:sz w:val="32"/>
          <w:szCs w:val="32"/>
        </w:rPr>
      </w:pPr>
      <w:r>
        <w:rPr>
          <w:rFonts w:hint="eastAsia" w:ascii="方正黑体_GBK" w:hAnsi="Times New Roman" w:eastAsia="方正黑体_GBK"/>
          <w:bCs/>
          <w:sz w:val="32"/>
          <w:szCs w:val="32"/>
        </w:rPr>
        <w:t>第四条【补偿费用构成】</w:t>
      </w:r>
      <w:r>
        <w:rPr>
          <w:rFonts w:hint="eastAsia" w:ascii="Times New Roman" w:hAnsi="Times New Roman" w:eastAsia="方正仿宋_GBK"/>
          <w:sz w:val="32"/>
          <w:szCs w:val="32"/>
        </w:rPr>
        <w:t>征收集体土地应当依法及时足额支付土地补偿费、安置补助费以及农村房屋、其他地上附着物和青苗等的补偿费用。</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bCs/>
          <w:sz w:val="32"/>
          <w:szCs w:val="32"/>
        </w:rPr>
        <w:t>第五条【区片综合地价】</w:t>
      </w:r>
      <w:r>
        <w:rPr>
          <w:rFonts w:hint="eastAsia" w:ascii="Times New Roman" w:hAnsi="Times New Roman" w:eastAsia="方正仿宋_GBK"/>
          <w:sz w:val="32"/>
          <w:szCs w:val="32"/>
        </w:rPr>
        <w:t>征收农用地、建设用地和未利用地的土地补偿费和安置补助费，不分地类，按照市人民政府制定公布的区片综合地价标准乘以被征收土地面积计算。区片综合地价标准为</w:t>
      </w:r>
      <w:r>
        <w:rPr>
          <w:rFonts w:ascii="Times New Roman" w:hAnsi="Times New Roman" w:eastAsia="方正仿宋_GBK"/>
          <w:sz w:val="32"/>
          <w:szCs w:val="32"/>
        </w:rPr>
        <w:t>63</w:t>
      </w:r>
      <w:r>
        <w:rPr>
          <w:rFonts w:hint="eastAsia" w:ascii="Times New Roman" w:hAnsi="Times New Roman" w:eastAsia="方正仿宋_GBK"/>
          <w:sz w:val="32"/>
          <w:szCs w:val="32"/>
        </w:rPr>
        <w:t>000元</w:t>
      </w:r>
      <w:r>
        <w:rPr>
          <w:rFonts w:ascii="Times New Roman" w:hAnsi="Times New Roman" w:eastAsia="方正仿宋_GBK"/>
          <w:sz w:val="32"/>
          <w:szCs w:val="32"/>
        </w:rPr>
        <w:t>/</w:t>
      </w:r>
      <w:r>
        <w:rPr>
          <w:rFonts w:hint="eastAsia" w:ascii="Times New Roman" w:hAnsi="Times New Roman" w:eastAsia="方正仿宋_GBK"/>
          <w:sz w:val="32"/>
          <w:szCs w:val="32"/>
        </w:rPr>
        <w:t>亩。</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bCs/>
          <w:sz w:val="32"/>
          <w:szCs w:val="32"/>
        </w:rPr>
        <w:t>第六条【土地补偿费和安置补助费的分配原则】</w:t>
      </w:r>
      <w:r>
        <w:rPr>
          <w:rFonts w:hint="eastAsia" w:ascii="Times New Roman" w:hAnsi="Times New Roman" w:eastAsia="方正仿宋_GBK"/>
          <w:sz w:val="32"/>
          <w:szCs w:val="32"/>
        </w:rPr>
        <w:t>区片综合地价中，土地补偿费占30%。土地补偿费由区征地实施单位支付给被征地农村集体经济组织。征收家庭承包土地的，土地补偿费的</w:t>
      </w:r>
      <w:r>
        <w:rPr>
          <w:rFonts w:ascii="Times New Roman" w:hAnsi="Times New Roman" w:eastAsia="方正仿宋_GBK"/>
          <w:sz w:val="32"/>
          <w:szCs w:val="32"/>
        </w:rPr>
        <w:t>80%</w:t>
      </w:r>
      <w:r>
        <w:rPr>
          <w:rFonts w:hint="eastAsia" w:ascii="Times New Roman" w:hAnsi="Times New Roman" w:eastAsia="方正仿宋_GBK"/>
          <w:sz w:val="32"/>
          <w:szCs w:val="32"/>
        </w:rPr>
        <w:t>由农村集体经济组织按照被征收土地面积发放给承包经营户，土地补偿费的</w:t>
      </w:r>
      <w:r>
        <w:rPr>
          <w:rFonts w:ascii="Times New Roman" w:hAnsi="Times New Roman" w:eastAsia="方正仿宋_GBK"/>
          <w:sz w:val="32"/>
          <w:szCs w:val="32"/>
        </w:rPr>
        <w:t>20%</w:t>
      </w:r>
      <w:r>
        <w:rPr>
          <w:rFonts w:hint="eastAsia" w:ascii="Times New Roman" w:hAnsi="Times New Roman" w:eastAsia="方正仿宋_GBK"/>
          <w:sz w:val="32"/>
          <w:szCs w:val="32"/>
        </w:rPr>
        <w:t>由农村集体经济组织依法管理和使用；征收未发包土地或者其他方式承包土地的，土地补偿费由农村集体经济组织依法管理和使用。</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区片综合地价中，安置补助费占70%。安置补助费由区征地实施单位发放给人员安置对象，每个人员安置对象的安置补助费发放标准为</w:t>
      </w:r>
      <w:r>
        <w:rPr>
          <w:rFonts w:ascii="Times New Roman" w:hAnsi="Times New Roman" w:eastAsia="方正仿宋_GBK"/>
          <w:sz w:val="32"/>
          <w:szCs w:val="32"/>
        </w:rPr>
        <w:t>38000</w:t>
      </w:r>
      <w:r>
        <w:rPr>
          <w:rFonts w:hint="eastAsia" w:ascii="Times New Roman" w:hAnsi="Times New Roman" w:eastAsia="方正仿宋_GBK"/>
          <w:sz w:val="32"/>
          <w:szCs w:val="32"/>
        </w:rPr>
        <w:t>元。安置补助费支付后有结余的，结余部分交由农村集体经济组织依法管理和使用；安置补助费不足的，由区人民政府安排资金予以补足。</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bCs/>
          <w:sz w:val="32"/>
          <w:szCs w:val="32"/>
        </w:rPr>
        <w:t>第七条【房屋补偿】</w:t>
      </w:r>
      <w:r>
        <w:rPr>
          <w:rFonts w:hint="eastAsia" w:ascii="Times New Roman" w:hAnsi="Times New Roman" w:eastAsia="方正仿宋_GBK"/>
          <w:sz w:val="32"/>
          <w:szCs w:val="32"/>
        </w:rPr>
        <w:t>农村房屋以不动产权属证书记载的合法建筑面积为准，按照附件</w:t>
      </w:r>
      <w:r>
        <w:rPr>
          <w:rFonts w:ascii="Times New Roman" w:hAnsi="Times New Roman" w:eastAsia="方正仿宋_GBK"/>
          <w:sz w:val="32"/>
          <w:szCs w:val="32"/>
        </w:rPr>
        <w:t>1</w:t>
      </w:r>
      <w:r>
        <w:rPr>
          <w:rFonts w:hint="eastAsia" w:ascii="Times New Roman" w:hAnsi="Times New Roman" w:eastAsia="方正仿宋_GBK"/>
          <w:sz w:val="32"/>
          <w:szCs w:val="32"/>
        </w:rPr>
        <w:t>确定的重置价格标准补偿。</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对未取得不动产权属证书的房屋，由区人民政府组织规划自然资源局、农业农村委等部门和镇人民政府（街道办事处）依法予以认定。涉及宅基地的房屋由区农业农村委牵头组织认定，其他房屋由区规划自然资源局牵头组织认定。</w:t>
      </w:r>
    </w:p>
    <w:p>
      <w:pPr>
        <w:pStyle w:val="9"/>
        <w:ind w:firstLine="640" w:firstLineChars="200"/>
        <w:rPr>
          <w:rFonts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rPr>
        <w:t>房屋内的水、电、气、管网等设施按实际安装费用补偿。</w:t>
      </w:r>
    </w:p>
    <w:p>
      <w:pPr>
        <w:spacing w:line="600" w:lineRule="exact"/>
        <w:ind w:firstLine="640" w:firstLineChars="200"/>
        <w:rPr>
          <w:rFonts w:ascii="Times New Roman" w:hAnsi="方正仿宋_GBK" w:eastAsia="方正仿宋_GBK" w:cs="Arial"/>
          <w:kern w:val="0"/>
          <w:sz w:val="32"/>
          <w:szCs w:val="32"/>
        </w:rPr>
      </w:pPr>
      <w:r>
        <w:rPr>
          <w:rFonts w:hint="eastAsia" w:ascii="方正黑体_GBK" w:hAnsi="Times New Roman" w:eastAsia="方正黑体_GBK"/>
          <w:bCs/>
          <w:sz w:val="32"/>
          <w:szCs w:val="32"/>
        </w:rPr>
        <w:t>第八条【其他地上附着物和青苗补偿】</w:t>
      </w:r>
      <w:r>
        <w:rPr>
          <w:rFonts w:hint="eastAsia" w:ascii="Times New Roman" w:hAnsi="Times New Roman" w:eastAsia="方正仿宋_GBK"/>
          <w:sz w:val="32"/>
          <w:szCs w:val="32"/>
        </w:rPr>
        <w:t>本实施办法所称其他地上附着物，是指除房屋外的建筑物、构筑物以及林木和其他经济作物等；青苗，是指土地上生长的农作物。其他地上附着物和青苗实行综合定额补偿，以被征收土地总面积扣除林地后的面积为准，每亩定额补偿</w:t>
      </w:r>
      <w:r>
        <w:rPr>
          <w:rFonts w:ascii="Times New Roman" w:hAnsi="Times New Roman" w:eastAsia="方正仿宋_GBK"/>
          <w:sz w:val="32"/>
          <w:szCs w:val="32"/>
        </w:rPr>
        <w:t>25000</w:t>
      </w:r>
      <w:r>
        <w:rPr>
          <w:rFonts w:hint="eastAsia" w:ascii="Times New Roman" w:hAnsi="Times New Roman" w:eastAsia="方正仿宋_GBK"/>
          <w:sz w:val="32"/>
          <w:szCs w:val="32"/>
        </w:rPr>
        <w:t>元。</w:t>
      </w:r>
    </w:p>
    <w:p>
      <w:pPr>
        <w:adjustRightInd w:val="0"/>
        <w:spacing w:line="600" w:lineRule="exact"/>
        <w:ind w:firstLine="645"/>
        <w:jc w:val="left"/>
        <w:rPr>
          <w:rFonts w:ascii="Times New Roman" w:hAnsi="Times New Roman" w:eastAsia="方正仿宋_GBK"/>
          <w:sz w:val="32"/>
          <w:szCs w:val="32"/>
        </w:rPr>
      </w:pPr>
      <w:r>
        <w:rPr>
          <w:rFonts w:hint="eastAsia" w:ascii="Times New Roman" w:hAnsi="Times New Roman" w:eastAsia="方正仿宋_GBK"/>
          <w:sz w:val="32"/>
          <w:szCs w:val="32"/>
        </w:rPr>
        <w:t>征收林地的林木及附着物补偿费，按照国家和我市征收林地的有关规定执行。补偿标准低于</w:t>
      </w:r>
      <w:r>
        <w:rPr>
          <w:rFonts w:ascii="Times New Roman" w:hAnsi="Times New Roman" w:eastAsia="方正仿宋_GBK"/>
          <w:sz w:val="32"/>
          <w:szCs w:val="32"/>
        </w:rPr>
        <w:t>25000</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亩的，按照</w:t>
      </w:r>
      <w:r>
        <w:rPr>
          <w:rFonts w:ascii="Times New Roman" w:hAnsi="Times New Roman" w:eastAsia="方正仿宋_GBK"/>
          <w:sz w:val="32"/>
          <w:szCs w:val="32"/>
        </w:rPr>
        <w:t>25000</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亩进行补偿。</w:t>
      </w:r>
    </w:p>
    <w:p>
      <w:pPr>
        <w:adjustRightInd w:val="0"/>
        <w:spacing w:line="600" w:lineRule="exact"/>
        <w:ind w:firstLine="645"/>
        <w:jc w:val="left"/>
        <w:rPr>
          <w:rFonts w:ascii="Times New Roman" w:hAnsi="Times New Roman" w:eastAsia="方正仿宋_GBK"/>
          <w:sz w:val="32"/>
          <w:szCs w:val="32"/>
        </w:rPr>
      </w:pPr>
      <w:r>
        <w:rPr>
          <w:rFonts w:hint="eastAsia" w:ascii="方正仿宋_GBK" w:eastAsia="方正仿宋_GBK"/>
          <w:sz w:val="32"/>
          <w:szCs w:val="32"/>
        </w:rPr>
        <w:t>宅基地使用权范围内其他地上附着</w:t>
      </w:r>
      <w:r>
        <w:rPr>
          <w:rFonts w:hint="eastAsia" w:ascii="Times New Roman" w:hAnsi="Times New Roman" w:eastAsia="方正仿宋_GBK"/>
          <w:sz w:val="32"/>
          <w:szCs w:val="32"/>
        </w:rPr>
        <w:t>物，在</w:t>
      </w:r>
      <w:r>
        <w:rPr>
          <w:rFonts w:hint="eastAsia" w:ascii="方正仿宋_GBK" w:eastAsia="方正仿宋_GBK"/>
          <w:sz w:val="32"/>
          <w:szCs w:val="32"/>
        </w:rPr>
        <w:t>拆除时</w:t>
      </w:r>
      <w:r>
        <w:rPr>
          <w:rFonts w:hint="eastAsia" w:ascii="Times New Roman" w:hAnsi="Times New Roman" w:eastAsia="方正仿宋_GBK"/>
          <w:sz w:val="32"/>
          <w:szCs w:val="32"/>
        </w:rPr>
        <w:t>给予补助，补助费用按照不动产权属证书记载的合法建筑面积乘以</w:t>
      </w:r>
      <w:r>
        <w:rPr>
          <w:rFonts w:ascii="Times New Roman" w:hAnsi="Times New Roman" w:eastAsia="方正仿宋_GBK"/>
          <w:sz w:val="32"/>
          <w:szCs w:val="32"/>
        </w:rPr>
        <w:t>100</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平方米计算。</w:t>
      </w:r>
    </w:p>
    <w:p>
      <w:pPr>
        <w:spacing w:line="600" w:lineRule="exact"/>
        <w:ind w:firstLine="681" w:firstLineChars="213"/>
      </w:pPr>
      <w:r>
        <w:rPr>
          <w:rFonts w:hint="eastAsia" w:ascii="Times New Roman" w:hAnsi="方正仿宋_GBK" w:eastAsia="方正仿宋_GBK" w:cs="Arial"/>
          <w:kern w:val="0"/>
          <w:sz w:val="32"/>
          <w:szCs w:val="32"/>
        </w:rPr>
        <w:t>企业用地范围内的其他地上附着物的补偿，按附件</w:t>
      </w:r>
      <w:r>
        <w:rPr>
          <w:rFonts w:ascii="Times New Roman" w:hAnsi="方正仿宋_GBK" w:eastAsia="方正仿宋_GBK" w:cs="Arial"/>
          <w:kern w:val="0"/>
          <w:sz w:val="32"/>
          <w:szCs w:val="32"/>
        </w:rPr>
        <w:t>2</w:t>
      </w:r>
      <w:r>
        <w:rPr>
          <w:rFonts w:hint="eastAsia" w:ascii="Times New Roman" w:hAnsi="方正仿宋_GBK" w:eastAsia="方正仿宋_GBK" w:cs="Arial"/>
          <w:kern w:val="0"/>
          <w:sz w:val="32"/>
          <w:szCs w:val="32"/>
        </w:rPr>
        <w:t>标准执行。</w:t>
      </w:r>
    </w:p>
    <w:p>
      <w:pPr>
        <w:adjustRightInd w:val="0"/>
        <w:spacing w:line="600" w:lineRule="exact"/>
        <w:ind w:firstLine="645"/>
        <w:jc w:val="left"/>
        <w:rPr>
          <w:rFonts w:ascii="Times New Roman" w:hAnsi="Times New Roman" w:eastAsia="方正仿宋_GBK"/>
          <w:sz w:val="32"/>
          <w:szCs w:val="32"/>
        </w:rPr>
      </w:pPr>
      <w:r>
        <w:rPr>
          <w:rFonts w:hint="eastAsia" w:ascii="方正黑体_GBK" w:hAnsi="Times New Roman" w:eastAsia="方正黑体_GBK"/>
          <w:bCs/>
          <w:sz w:val="32"/>
          <w:szCs w:val="32"/>
        </w:rPr>
        <w:t>第九条【不予补偿的情形】</w:t>
      </w:r>
      <w:r>
        <w:rPr>
          <w:rFonts w:hint="eastAsia" w:ascii="Times New Roman" w:hAnsi="Times New Roman" w:eastAsia="方正仿宋_GBK"/>
          <w:sz w:val="32"/>
          <w:szCs w:val="32"/>
        </w:rPr>
        <w:t>有下列情形之一的，不予补偿：</w:t>
      </w:r>
    </w:p>
    <w:p>
      <w:pPr>
        <w:adjustRightInd w:val="0"/>
        <w:spacing w:line="600" w:lineRule="exact"/>
        <w:ind w:firstLine="645"/>
        <w:jc w:val="left"/>
        <w:rPr>
          <w:rFonts w:ascii="Times New Roman" w:hAnsi="Times New Roman" w:eastAsia="方正仿宋_GBK"/>
          <w:sz w:val="32"/>
          <w:szCs w:val="32"/>
        </w:rPr>
      </w:pPr>
      <w:r>
        <w:rPr>
          <w:rFonts w:hint="eastAsia" w:ascii="Times New Roman" w:hAnsi="Times New Roman" w:eastAsia="方正仿宋_GBK"/>
          <w:sz w:val="32"/>
          <w:szCs w:val="32"/>
        </w:rPr>
        <w:t>（一）违法建（构）筑物；</w:t>
      </w:r>
    </w:p>
    <w:p>
      <w:pPr>
        <w:adjustRightInd w:val="0"/>
        <w:spacing w:line="600" w:lineRule="exact"/>
        <w:ind w:firstLine="645"/>
        <w:jc w:val="left"/>
        <w:rPr>
          <w:rFonts w:ascii="Times New Roman" w:hAnsi="Times New Roman" w:eastAsia="方正仿宋_GBK"/>
          <w:sz w:val="32"/>
          <w:szCs w:val="32"/>
        </w:rPr>
      </w:pPr>
      <w:r>
        <w:rPr>
          <w:rFonts w:hint="eastAsia" w:ascii="Times New Roman" w:hAnsi="Times New Roman" w:eastAsia="方正仿宋_GBK"/>
          <w:sz w:val="32"/>
          <w:szCs w:val="32"/>
        </w:rPr>
        <w:t>（二）区人民政府发布征收土地预公告后栽种的青苗及花草、树木等附着物；</w:t>
      </w:r>
    </w:p>
    <w:p>
      <w:pPr>
        <w:adjustRightInd w:val="0"/>
        <w:spacing w:line="600" w:lineRule="exact"/>
        <w:ind w:firstLine="645"/>
        <w:jc w:val="left"/>
        <w:rPr>
          <w:rFonts w:ascii="Times New Roman" w:hAnsi="Times New Roman" w:eastAsia="方正仿宋_GBK"/>
          <w:sz w:val="32"/>
          <w:szCs w:val="32"/>
        </w:rPr>
      </w:pPr>
      <w:r>
        <w:rPr>
          <w:rFonts w:hint="eastAsia" w:ascii="Times New Roman" w:hAnsi="Times New Roman" w:eastAsia="方正仿宋_GBK"/>
          <w:sz w:val="32"/>
          <w:szCs w:val="32"/>
        </w:rPr>
        <w:t>（三）其他不当增加补偿费用的情形。</w:t>
      </w:r>
    </w:p>
    <w:p>
      <w:pPr>
        <w:adjustRightInd w:val="0"/>
        <w:spacing w:line="600" w:lineRule="exact"/>
        <w:ind w:firstLine="645"/>
        <w:jc w:val="left"/>
        <w:rPr>
          <w:rFonts w:ascii="Times New Roman" w:hAnsi="Times New Roman" w:eastAsia="方正仿宋_GBK"/>
          <w:sz w:val="32"/>
          <w:szCs w:val="32"/>
        </w:rPr>
      </w:pPr>
      <w:r>
        <w:rPr>
          <w:rFonts w:hint="eastAsia" w:ascii="方正黑体_GBK" w:hAnsi="Times New Roman" w:eastAsia="方正黑体_GBK"/>
          <w:bCs/>
          <w:sz w:val="32"/>
          <w:szCs w:val="32"/>
        </w:rPr>
        <w:t>第十条【生产经营活动的搬迁补助费】</w:t>
      </w:r>
      <w:r>
        <w:rPr>
          <w:rFonts w:hint="eastAsia" w:ascii="Times New Roman" w:hAnsi="Times New Roman" w:eastAsia="方正仿宋_GBK"/>
          <w:sz w:val="32"/>
          <w:szCs w:val="32"/>
        </w:rPr>
        <w:t>征收土地预公告发布之日，持有合法证照且从事生产经营活动的，应当综合考虑生产经营年限、规模、类别、搬迁损失、搬迁难易度等因素，对生产经营者一次性给予搬迁补助费。</w:t>
      </w:r>
    </w:p>
    <w:p>
      <w:pPr>
        <w:spacing w:line="600" w:lineRule="exact"/>
        <w:ind w:firstLine="640" w:firstLineChars="200"/>
        <w:rPr>
          <w:rFonts w:ascii="Times New Roman" w:hAnsi="方正仿宋_GBK" w:eastAsia="方正仿宋_GBK" w:cs="Arial"/>
          <w:kern w:val="0"/>
          <w:sz w:val="32"/>
          <w:szCs w:val="32"/>
        </w:rPr>
      </w:pPr>
      <w:r>
        <w:rPr>
          <w:rFonts w:hint="eastAsia" w:ascii="Times New Roman" w:hAnsi="Times New Roman" w:eastAsia="方正仿宋_GBK"/>
          <w:sz w:val="32"/>
          <w:szCs w:val="32"/>
        </w:rPr>
        <w:t>（一）涉及</w:t>
      </w:r>
      <w:r>
        <w:rPr>
          <w:rFonts w:hint="eastAsia" w:ascii="Times New Roman" w:hAnsi="方正仿宋_GBK" w:eastAsia="方正仿宋_GBK" w:cs="Arial"/>
          <w:kern w:val="0"/>
          <w:sz w:val="32"/>
          <w:szCs w:val="32"/>
        </w:rPr>
        <w:t>成片种植苗木的搬迁补助费按种植面积</w:t>
      </w:r>
      <w:r>
        <w:rPr>
          <w:rFonts w:ascii="Times New Roman" w:hAnsi="方正仿宋_GBK" w:eastAsia="方正仿宋_GBK" w:cs="Arial"/>
          <w:kern w:val="0"/>
          <w:sz w:val="32"/>
          <w:szCs w:val="32"/>
        </w:rPr>
        <w:t>8000</w:t>
      </w:r>
      <w:r>
        <w:rPr>
          <w:rFonts w:hint="eastAsia" w:ascii="Times New Roman" w:hAnsi="方正仿宋_GBK" w:eastAsia="方正仿宋_GBK" w:cs="Arial"/>
          <w:kern w:val="0"/>
          <w:sz w:val="32"/>
          <w:szCs w:val="32"/>
        </w:rPr>
        <w:t>元</w:t>
      </w:r>
      <w:r>
        <w:rPr>
          <w:rFonts w:ascii="Times New Roman" w:hAnsi="方正仿宋_GBK" w:eastAsia="方正仿宋_GBK" w:cs="Arial"/>
          <w:kern w:val="0"/>
          <w:sz w:val="32"/>
          <w:szCs w:val="32"/>
        </w:rPr>
        <w:t>/</w:t>
      </w:r>
      <w:r>
        <w:rPr>
          <w:rFonts w:hint="eastAsia" w:ascii="Times New Roman" w:hAnsi="方正仿宋_GBK" w:eastAsia="方正仿宋_GBK" w:cs="Arial"/>
          <w:kern w:val="0"/>
          <w:sz w:val="32"/>
          <w:szCs w:val="32"/>
        </w:rPr>
        <w:t>亩计算，零星种植苗木</w:t>
      </w:r>
      <w:r>
        <w:rPr>
          <w:rFonts w:ascii="Times New Roman" w:hAnsi="方正仿宋_GBK" w:eastAsia="方正仿宋_GBK" w:cs="Arial"/>
          <w:kern w:val="0"/>
          <w:sz w:val="32"/>
          <w:szCs w:val="32"/>
        </w:rPr>
        <w:t>(</w:t>
      </w:r>
      <w:r>
        <w:rPr>
          <w:rFonts w:hint="eastAsia" w:ascii="Times New Roman" w:hAnsi="方正仿宋_GBK" w:eastAsia="方正仿宋_GBK" w:cs="Arial"/>
          <w:kern w:val="0"/>
          <w:sz w:val="32"/>
          <w:szCs w:val="32"/>
        </w:rPr>
        <w:t>含农作物</w:t>
      </w:r>
      <w:r>
        <w:rPr>
          <w:rFonts w:ascii="Times New Roman" w:hAnsi="方正仿宋_GBK" w:eastAsia="方正仿宋_GBK" w:cs="Arial"/>
          <w:kern w:val="0"/>
          <w:sz w:val="32"/>
          <w:szCs w:val="32"/>
        </w:rPr>
        <w:t>)</w:t>
      </w:r>
      <w:r>
        <w:rPr>
          <w:rFonts w:hint="eastAsia" w:ascii="Times New Roman" w:hAnsi="方正仿宋_GBK" w:eastAsia="方正仿宋_GBK" w:cs="Arial"/>
          <w:kern w:val="0"/>
          <w:sz w:val="32"/>
          <w:szCs w:val="32"/>
        </w:rPr>
        <w:t>的搬迁补助费按种植面积</w:t>
      </w:r>
      <w:r>
        <w:rPr>
          <w:rFonts w:ascii="Times New Roman" w:hAnsi="方正仿宋_GBK" w:eastAsia="方正仿宋_GBK" w:cs="Arial"/>
          <w:kern w:val="0"/>
          <w:sz w:val="32"/>
          <w:szCs w:val="32"/>
        </w:rPr>
        <w:t>3000</w:t>
      </w:r>
      <w:r>
        <w:rPr>
          <w:rFonts w:hint="eastAsia" w:ascii="Times New Roman" w:hAnsi="方正仿宋_GBK" w:eastAsia="方正仿宋_GBK" w:cs="Arial"/>
          <w:kern w:val="0"/>
          <w:sz w:val="32"/>
          <w:szCs w:val="32"/>
        </w:rPr>
        <w:t>元</w:t>
      </w:r>
      <w:r>
        <w:rPr>
          <w:rFonts w:ascii="Times New Roman" w:hAnsi="方正仿宋_GBK" w:eastAsia="方正仿宋_GBK" w:cs="Arial"/>
          <w:kern w:val="0"/>
          <w:sz w:val="32"/>
          <w:szCs w:val="32"/>
        </w:rPr>
        <w:t>/</w:t>
      </w:r>
      <w:r>
        <w:rPr>
          <w:rFonts w:hint="eastAsia" w:ascii="Times New Roman" w:hAnsi="方正仿宋_GBK" w:eastAsia="方正仿宋_GBK" w:cs="Arial"/>
          <w:kern w:val="0"/>
          <w:sz w:val="32"/>
          <w:szCs w:val="32"/>
        </w:rPr>
        <w:t>亩计算；水产养殖的搬迁补助费按养殖面积</w:t>
      </w:r>
      <w:r>
        <w:rPr>
          <w:rFonts w:ascii="Times New Roman" w:hAnsi="方正仿宋_GBK" w:eastAsia="方正仿宋_GBK" w:cs="Arial"/>
          <w:kern w:val="0"/>
          <w:sz w:val="32"/>
          <w:szCs w:val="32"/>
        </w:rPr>
        <w:t>3000</w:t>
      </w:r>
      <w:r>
        <w:rPr>
          <w:rFonts w:hint="eastAsia" w:ascii="Times New Roman" w:hAnsi="方正仿宋_GBK" w:eastAsia="方正仿宋_GBK" w:cs="Arial"/>
          <w:kern w:val="0"/>
          <w:sz w:val="32"/>
          <w:szCs w:val="32"/>
        </w:rPr>
        <w:t>元</w:t>
      </w:r>
      <w:r>
        <w:rPr>
          <w:rFonts w:ascii="Times New Roman" w:hAnsi="方正仿宋_GBK" w:eastAsia="方正仿宋_GBK" w:cs="Arial"/>
          <w:kern w:val="0"/>
          <w:sz w:val="32"/>
          <w:szCs w:val="32"/>
        </w:rPr>
        <w:t>/</w:t>
      </w:r>
      <w:r>
        <w:rPr>
          <w:rFonts w:hint="eastAsia" w:ascii="Times New Roman" w:hAnsi="方正仿宋_GBK" w:eastAsia="方正仿宋_GBK" w:cs="Arial"/>
          <w:kern w:val="0"/>
          <w:sz w:val="32"/>
          <w:szCs w:val="32"/>
        </w:rPr>
        <w:t>亩计算。</w:t>
      </w:r>
    </w:p>
    <w:p>
      <w:pPr>
        <w:spacing w:line="600" w:lineRule="exact"/>
        <w:ind w:firstLine="640" w:firstLineChars="200"/>
        <w:rPr>
          <w:rFonts w:ascii="Times New Roman" w:hAnsi="方正仿宋_GBK" w:eastAsia="方正仿宋_GBK" w:cs="Arial"/>
          <w:kern w:val="0"/>
          <w:sz w:val="32"/>
          <w:szCs w:val="32"/>
        </w:rPr>
      </w:pPr>
      <w:r>
        <w:rPr>
          <w:rFonts w:hint="eastAsia" w:ascii="Times New Roman" w:hAnsi="方正仿宋_GBK" w:eastAsia="方正仿宋_GBK" w:cs="Arial"/>
          <w:kern w:val="0"/>
          <w:sz w:val="32"/>
          <w:szCs w:val="32"/>
        </w:rPr>
        <w:t>（二）涉及设施设备搬迁的，搬迁后不丧失使用价值的，其搬迁补助费按所搬迁设施设备评估净值的</w:t>
      </w:r>
      <w:r>
        <w:rPr>
          <w:rFonts w:ascii="Times New Roman" w:hAnsi="方正仿宋_GBK" w:eastAsia="方正仿宋_GBK" w:cs="Arial"/>
          <w:kern w:val="0"/>
          <w:sz w:val="32"/>
          <w:szCs w:val="32"/>
        </w:rPr>
        <w:t>20%</w:t>
      </w:r>
      <w:r>
        <w:rPr>
          <w:rFonts w:hint="eastAsia" w:ascii="Times New Roman" w:hAnsi="方正仿宋_GBK" w:eastAsia="方正仿宋_GBK" w:cs="Arial"/>
          <w:kern w:val="0"/>
          <w:sz w:val="32"/>
          <w:szCs w:val="32"/>
        </w:rPr>
        <w:t>计算；对于搬迁困难或搬迁后丧失部分使用价值的，其搬迁补助费按所搬迁设施设备评估净值的</w:t>
      </w:r>
      <w:r>
        <w:rPr>
          <w:rFonts w:ascii="Times New Roman" w:hAnsi="方正仿宋_GBK" w:eastAsia="方正仿宋_GBK" w:cs="Arial"/>
          <w:kern w:val="0"/>
          <w:sz w:val="32"/>
          <w:szCs w:val="32"/>
        </w:rPr>
        <w:t>50%</w:t>
      </w:r>
      <w:r>
        <w:rPr>
          <w:rFonts w:hint="eastAsia" w:ascii="Times New Roman" w:hAnsi="方正仿宋_GBK" w:eastAsia="方正仿宋_GBK" w:cs="Arial"/>
          <w:kern w:val="0"/>
          <w:sz w:val="32"/>
          <w:szCs w:val="32"/>
        </w:rPr>
        <w:t>计算；搬迁后完全丧失使用价值的，其搬迁补助费按照设施设备评估净值计算。</w:t>
      </w:r>
    </w:p>
    <w:p>
      <w:pPr>
        <w:adjustRightInd w:val="0"/>
        <w:spacing w:line="600" w:lineRule="exact"/>
        <w:ind w:firstLine="645"/>
        <w:jc w:val="left"/>
        <w:rPr>
          <w:rFonts w:ascii="Times New Roman" w:hAnsi="方正黑体_GBK" w:eastAsia="方正黑体_GBK"/>
          <w:sz w:val="32"/>
          <w:szCs w:val="32"/>
        </w:rPr>
      </w:pPr>
      <w:r>
        <w:rPr>
          <w:rFonts w:hint="eastAsia" w:ascii="Times New Roman" w:hAnsi="Times New Roman" w:eastAsia="方正仿宋_GBK"/>
          <w:sz w:val="32"/>
          <w:szCs w:val="32"/>
        </w:rPr>
        <w:t>（三）涉及商服经营的，其搬迁补助费按照实际用于商服经营的房屋建筑面积乘以</w:t>
      </w:r>
      <w:r>
        <w:rPr>
          <w:rFonts w:ascii="Times New Roman" w:hAnsi="Times New Roman" w:eastAsia="方正仿宋_GBK"/>
          <w:sz w:val="32"/>
          <w:szCs w:val="32"/>
        </w:rPr>
        <w:t>100</w:t>
      </w:r>
      <w:r>
        <w:rPr>
          <w:rFonts w:hint="eastAsia" w:ascii="Times New Roman" w:hAnsi="Times New Roman" w:eastAsia="方正仿宋_GBK"/>
          <w:sz w:val="32"/>
          <w:szCs w:val="32"/>
        </w:rPr>
        <w:t>元/平方米计算。</w:t>
      </w:r>
    </w:p>
    <w:p>
      <w:pPr>
        <w:pStyle w:val="9"/>
        <w:spacing w:line="600" w:lineRule="exact"/>
        <w:ind w:firstLine="630"/>
        <w:rPr>
          <w:rFonts w:ascii="Times New Roman" w:hAnsi="Times New Roman" w:eastAsia="方正仿宋_GBK"/>
          <w:color w:val="auto"/>
          <w:sz w:val="32"/>
          <w:szCs w:val="32"/>
        </w:rPr>
      </w:pPr>
      <w:r>
        <w:rPr>
          <w:rFonts w:ascii="Times New Roman" w:hAnsi="Times New Roman" w:eastAsia="方正仿宋_GBK"/>
          <w:color w:val="auto"/>
          <w:sz w:val="32"/>
          <w:szCs w:val="32"/>
        </w:rPr>
        <w:t>评估机构由被评估对象的所有权人和</w:t>
      </w:r>
      <w:r>
        <w:rPr>
          <w:rFonts w:hint="eastAsia" w:ascii="Times New Roman" w:hAnsi="Times New Roman" w:eastAsia="方正仿宋_GBK"/>
          <w:color w:val="auto"/>
          <w:sz w:val="32"/>
          <w:szCs w:val="32"/>
        </w:rPr>
        <w:t>区</w:t>
      </w:r>
      <w:r>
        <w:rPr>
          <w:rFonts w:ascii="Times New Roman" w:hAnsi="Times New Roman" w:eastAsia="方正仿宋_GBK"/>
          <w:color w:val="auto"/>
          <w:sz w:val="32"/>
          <w:szCs w:val="32"/>
        </w:rPr>
        <w:t>征地实施</w:t>
      </w:r>
      <w:r>
        <w:rPr>
          <w:rFonts w:hint="eastAsia" w:ascii="Times New Roman" w:hAnsi="Times New Roman" w:eastAsia="方正仿宋_GBK"/>
          <w:color w:val="auto"/>
          <w:sz w:val="32"/>
          <w:szCs w:val="32"/>
        </w:rPr>
        <w:t>单位</w:t>
      </w:r>
      <w:r>
        <w:rPr>
          <w:rFonts w:ascii="Times New Roman" w:hAnsi="Times New Roman" w:eastAsia="方正仿宋_GBK"/>
          <w:color w:val="auto"/>
          <w:sz w:val="32"/>
          <w:szCs w:val="32"/>
        </w:rPr>
        <w:t>在规定时间内共同选择；无正当理由，被评估对象的所有权人在规定时间内不选择的，由</w:t>
      </w:r>
      <w:r>
        <w:rPr>
          <w:rFonts w:hint="eastAsia" w:ascii="Times New Roman" w:hAnsi="Times New Roman" w:eastAsia="方正仿宋_GBK"/>
          <w:color w:val="auto"/>
          <w:sz w:val="32"/>
          <w:szCs w:val="32"/>
        </w:rPr>
        <w:t>区</w:t>
      </w:r>
      <w:r>
        <w:rPr>
          <w:rFonts w:ascii="Times New Roman" w:hAnsi="Times New Roman" w:eastAsia="方正仿宋_GBK"/>
          <w:color w:val="auto"/>
          <w:sz w:val="32"/>
          <w:szCs w:val="32"/>
        </w:rPr>
        <w:t>征地实施</w:t>
      </w:r>
      <w:r>
        <w:rPr>
          <w:rFonts w:hint="eastAsia" w:ascii="Times New Roman" w:hAnsi="Times New Roman" w:eastAsia="方正仿宋_GBK"/>
          <w:color w:val="auto"/>
          <w:sz w:val="32"/>
          <w:szCs w:val="32"/>
        </w:rPr>
        <w:t>单位</w:t>
      </w:r>
      <w:r>
        <w:rPr>
          <w:rFonts w:ascii="Times New Roman" w:hAnsi="Times New Roman" w:eastAsia="方正仿宋_GBK"/>
          <w:color w:val="auto"/>
          <w:sz w:val="32"/>
          <w:szCs w:val="32"/>
        </w:rPr>
        <w:t>指定。</w:t>
      </w:r>
    </w:p>
    <w:p>
      <w:pPr>
        <w:pStyle w:val="9"/>
        <w:spacing w:line="600" w:lineRule="exact"/>
        <w:ind w:firstLine="630"/>
        <w:rPr>
          <w:rFonts w:ascii="Times New Roman" w:hAnsi="Times New Roman" w:eastAsia="方正仿宋_GBK"/>
          <w:color w:val="auto"/>
          <w:sz w:val="32"/>
          <w:szCs w:val="32"/>
        </w:rPr>
      </w:pPr>
    </w:p>
    <w:p>
      <w:pPr>
        <w:pStyle w:val="9"/>
        <w:spacing w:line="600" w:lineRule="exact"/>
        <w:jc w:val="center"/>
        <w:rPr>
          <w:rFonts w:ascii="Times New Roman" w:hAnsi="方正黑体_GBK" w:eastAsia="方正黑体_GBK" w:cs="Times New Roman"/>
          <w:color w:val="auto"/>
          <w:sz w:val="32"/>
          <w:szCs w:val="32"/>
        </w:rPr>
      </w:pPr>
      <w:r>
        <w:rPr>
          <w:rFonts w:hint="eastAsia" w:ascii="Times New Roman" w:hAnsi="方正黑体_GBK" w:eastAsia="方正黑体_GBK" w:cs="Times New Roman"/>
          <w:color w:val="auto"/>
          <w:sz w:val="32"/>
          <w:szCs w:val="32"/>
        </w:rPr>
        <w:t>第三章</w:t>
      </w:r>
      <w:r>
        <w:rPr>
          <w:rFonts w:ascii="Times New Roman" w:hAnsi="方正黑体_GBK" w:eastAsia="方正黑体_GBK" w:cs="Times New Roman"/>
          <w:color w:val="auto"/>
          <w:sz w:val="32"/>
          <w:szCs w:val="32"/>
        </w:rPr>
        <w:t xml:space="preserve">  </w:t>
      </w:r>
      <w:r>
        <w:rPr>
          <w:rFonts w:ascii="Times New Roman" w:hAnsi="Times New Roman" w:eastAsia="方正黑体_GBK" w:cs="Times New Roman"/>
          <w:color w:val="auto"/>
          <w:sz w:val="32"/>
          <w:szCs w:val="32"/>
        </w:rPr>
        <w:t xml:space="preserve"> </w:t>
      </w:r>
      <w:r>
        <w:rPr>
          <w:rFonts w:hint="eastAsia" w:ascii="Times New Roman" w:hAnsi="方正黑体_GBK" w:eastAsia="方正黑体_GBK" w:cs="Times New Roman"/>
          <w:color w:val="auto"/>
          <w:sz w:val="32"/>
          <w:szCs w:val="32"/>
        </w:rPr>
        <w:t>人员安置</w:t>
      </w:r>
    </w:p>
    <w:p>
      <w:pPr>
        <w:pStyle w:val="9"/>
        <w:spacing w:line="600" w:lineRule="exact"/>
        <w:ind w:firstLine="645"/>
        <w:rPr>
          <w:rFonts w:ascii="Times New Roman" w:hAnsi="Times New Roman" w:eastAsia="方正仿宋_GBK" w:cs="Times New Roman"/>
          <w:color w:val="auto"/>
          <w:sz w:val="32"/>
          <w:szCs w:val="32"/>
        </w:rPr>
      </w:pPr>
      <w:r>
        <w:rPr>
          <w:rFonts w:hint="eastAsia" w:ascii="方正黑体_GBK" w:hAnsi="Times New Roman" w:eastAsia="方正黑体_GBK" w:cs="Times New Roman"/>
          <w:bCs/>
          <w:color w:val="auto"/>
          <w:kern w:val="2"/>
          <w:sz w:val="32"/>
          <w:szCs w:val="32"/>
        </w:rPr>
        <w:t>第十一条【人员安置范围】</w:t>
      </w:r>
      <w:r>
        <w:rPr>
          <w:rFonts w:hint="eastAsia" w:ascii="Times New Roman" w:hAnsi="Times New Roman" w:eastAsia="方正仿宋_GBK" w:cs="Times New Roman"/>
          <w:color w:val="auto"/>
          <w:sz w:val="32"/>
          <w:szCs w:val="32"/>
        </w:rPr>
        <w:t>本实施办法所称人员安置对象应当从征收土地预公告发布之日计入被征地农村集体经济组织总人口的人员中产生。</w:t>
      </w:r>
    </w:p>
    <w:p>
      <w:pPr>
        <w:pStyle w:val="9"/>
        <w:spacing w:line="600" w:lineRule="exact"/>
        <w:ind w:firstLine="645"/>
        <w:rPr>
          <w:rFonts w:ascii="Times New Roman" w:hAnsi="Times New Roman" w:eastAsia="方正黑体_GBK" w:cs="Times New Roman"/>
          <w:color w:val="auto"/>
          <w:sz w:val="32"/>
          <w:szCs w:val="32"/>
        </w:rPr>
      </w:pPr>
      <w:r>
        <w:rPr>
          <w:rFonts w:hint="eastAsia" w:ascii="Times New Roman" w:hAnsi="Times New Roman" w:eastAsia="方正仿宋_GBK" w:cs="Times New Roman"/>
          <w:color w:val="auto"/>
          <w:sz w:val="32"/>
          <w:szCs w:val="32"/>
        </w:rPr>
        <w:t>下列人员计入被征地农村集体经济组织总人口：</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（一）户口登记在被征地农村集体经济组织所在地，且取得该农村集体经济组织土地承包经营权的人员；</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（二）因出生、政策性移民将户口登记在被征地农村集体经济组织所在地，且依法享有该农村集体经济组织土地承包经营权的人员；</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（三）因合法收养、合法婚姻将户口从其他农村集体经济组织迁入并长期在被征地农村集体经济组织生产生活，且依法享有被征地农村集体经济组织土地承包经营权的人员；</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（四）依法享有被征地农村集体经济组织土地承包经营权的在校大中专学生、现役军士和义务兵、儿童福利机构孤儿、服刑人员；</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（五）按照本市统筹城乡户籍制度改革有关规定保留征地补偿安置权利的人员；</w:t>
      </w:r>
    </w:p>
    <w:p>
      <w:pPr>
        <w:autoSpaceDE w:val="0"/>
        <w:adjustRightInd w:val="0"/>
        <w:snapToGrid w:val="0"/>
        <w:spacing w:line="60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（六）因其他原因，户口从被征地农村集体经济组织所在地迁出进城落户，但长期在被征地农村集体经济组织生产生活，且取得该农村集体经济组织土地承包经营权的人员。</w:t>
      </w:r>
    </w:p>
    <w:p>
      <w:pPr>
        <w:pStyle w:val="9"/>
        <w:widowControl w:val="0"/>
        <w:spacing w:line="600" w:lineRule="exact"/>
        <w:ind w:firstLine="640" w:firstLineChars="200"/>
        <w:rPr>
          <w:rFonts w:ascii="方正仿宋_GBK" w:hAnsi="Times New Roman" w:eastAsia="方正仿宋_GBK" w:cs="Times New Roman"/>
          <w:color w:val="auto"/>
          <w:kern w:val="2"/>
          <w:sz w:val="32"/>
          <w:szCs w:val="32"/>
        </w:rPr>
      </w:pPr>
      <w:r>
        <w:rPr>
          <w:rFonts w:hint="eastAsia" w:ascii="方正仿宋_GBK" w:hAnsi="Times New Roman" w:eastAsia="方正仿宋_GBK" w:cs="Times New Roman"/>
          <w:color w:val="auto"/>
          <w:kern w:val="2"/>
          <w:sz w:val="32"/>
          <w:szCs w:val="32"/>
        </w:rPr>
        <w:t>前款所称“长期”，是指区人民政府发布征收土地预公告之日，在被征地农村集体经济组织生产生活</w:t>
      </w:r>
      <w:r>
        <w:rPr>
          <w:rFonts w:ascii="Times New Roman" w:hAnsi="Times New Roman" w:eastAsia="方正仿宋_GBK" w:cs="Times New Roman"/>
          <w:color w:val="auto"/>
          <w:kern w:val="2"/>
          <w:sz w:val="32"/>
          <w:szCs w:val="32"/>
        </w:rPr>
        <w:t>1年以上，离婚后再婚配偶及随迁子女已在被征地农村集体经济组织生产生活3年</w:t>
      </w:r>
      <w:r>
        <w:rPr>
          <w:rFonts w:hint="eastAsia" w:ascii="方正仿宋_GBK" w:hAnsi="Times New Roman" w:eastAsia="方正仿宋_GBK" w:cs="Times New Roman"/>
          <w:color w:val="auto"/>
          <w:kern w:val="2"/>
          <w:sz w:val="32"/>
          <w:szCs w:val="32"/>
        </w:rPr>
        <w:t>以上。</w:t>
      </w:r>
    </w:p>
    <w:p>
      <w:pPr>
        <w:autoSpaceDE w:val="0"/>
        <w:adjustRightInd w:val="0"/>
        <w:snapToGrid w:val="0"/>
        <w:spacing w:line="600" w:lineRule="exact"/>
        <w:ind w:firstLine="640" w:firstLineChars="200"/>
        <w:jc w:val="left"/>
        <w:rPr>
          <w:rFonts w:ascii="Times New Roman" w:hAnsi="Times New Roman" w:eastAsia="方正仿宋_GBK"/>
          <w:sz w:val="32"/>
          <w:szCs w:val="32"/>
        </w:rPr>
      </w:pPr>
      <w:r>
        <w:rPr>
          <w:rFonts w:hint="eastAsia" w:ascii="方正黑体_GBK" w:hAnsi="Times New Roman" w:eastAsia="方正黑体_GBK"/>
          <w:bCs/>
          <w:sz w:val="32"/>
          <w:szCs w:val="32"/>
        </w:rPr>
        <w:t>第十二条【不计入总人口的情形】</w:t>
      </w:r>
      <w:r>
        <w:rPr>
          <w:rFonts w:hint="eastAsia" w:ascii="Times New Roman" w:hAnsi="Times New Roman" w:eastAsia="方正仿宋_GBK"/>
          <w:sz w:val="32"/>
          <w:szCs w:val="32"/>
        </w:rPr>
        <w:t>符合本实施办法第十一条规定但有下列情形之一的人员，不计入被征地农村集体经济组织总人口：</w:t>
      </w:r>
    </w:p>
    <w:p>
      <w:pPr>
        <w:autoSpaceDE w:val="0"/>
        <w:adjustRightInd w:val="0"/>
        <w:snapToGrid w:val="0"/>
        <w:spacing w:line="60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（一）征地前已实行征地人员安置的人员；</w:t>
      </w:r>
    </w:p>
    <w:p>
      <w:pPr>
        <w:pStyle w:val="9"/>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olor w:val="auto"/>
          <w:sz w:val="32"/>
          <w:szCs w:val="32"/>
        </w:rPr>
        <w:t>（二）国家机关、人民团体、事业单位等在编在职和退休人员</w:t>
      </w:r>
      <w:r>
        <w:rPr>
          <w:rFonts w:hint="eastAsia" w:ascii="Times New Roman" w:hAnsi="Times New Roman" w:eastAsia="方正仿宋_GBK" w:cs="Times New Roman"/>
          <w:color w:val="auto"/>
          <w:sz w:val="32"/>
          <w:szCs w:val="32"/>
        </w:rPr>
        <w:t>。</w:t>
      </w:r>
    </w:p>
    <w:p>
      <w:pPr>
        <w:pStyle w:val="9"/>
        <w:spacing w:line="600" w:lineRule="exact"/>
        <w:ind w:firstLine="640" w:firstLineChars="200"/>
        <w:rPr>
          <w:rFonts w:ascii="Times New Roman" w:hAnsi="Times New Roman" w:eastAsia="方正仿宋_GBK" w:cs="Times New Roman"/>
          <w:color w:val="auto"/>
          <w:sz w:val="32"/>
          <w:szCs w:val="32"/>
        </w:rPr>
      </w:pPr>
      <w:r>
        <w:rPr>
          <w:rFonts w:hint="eastAsia" w:ascii="方正黑体_GBK" w:hAnsi="Times New Roman" w:eastAsia="方正黑体_GBK" w:cs="Times New Roman"/>
          <w:bCs/>
          <w:color w:val="auto"/>
          <w:kern w:val="2"/>
          <w:sz w:val="32"/>
          <w:szCs w:val="32"/>
        </w:rPr>
        <w:t>第十三条【安置人数的确定】</w:t>
      </w:r>
      <w:r>
        <w:rPr>
          <w:rFonts w:hint="eastAsia" w:ascii="Times New Roman" w:hAnsi="Times New Roman" w:eastAsia="方正仿宋_GBK" w:cs="Times New Roman"/>
          <w:color w:val="auto"/>
          <w:sz w:val="32"/>
          <w:szCs w:val="32"/>
        </w:rPr>
        <w:t>农村集体经济组织的土地被全部</w:t>
      </w:r>
    </w:p>
    <w:p>
      <w:pPr>
        <w:pStyle w:val="9"/>
        <w:spacing w:line="600" w:lineRule="exact"/>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征收的，按照本实施办法计入被征地农村集体经济组织总人口的人员全部为人员安置对象。</w:t>
      </w:r>
    </w:p>
    <w:p>
      <w:pPr>
        <w:pStyle w:val="9"/>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pStyle w:val="9"/>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前款所称人均土地面积为集体土地所有权证登记的土地总面积（不含已被征收的土地面积）除以按照本实施办法计入被征地农村集体经济组织总人口数。前款所称农村集体经济组织耕地占比为集体土地所有权证登记的耕地面积（不含已被征收的耕地面积）占土地总面积（不含已被征收的土地面积）的比例。</w:t>
      </w:r>
    </w:p>
    <w:p>
      <w:pPr>
        <w:autoSpaceDE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方正黑体_GBK" w:hAnsi="Times New Roman" w:eastAsia="方正黑体_GBK"/>
          <w:bCs/>
          <w:sz w:val="32"/>
          <w:szCs w:val="32"/>
        </w:rPr>
        <w:t>第十四条【安置对象的确定】</w:t>
      </w:r>
      <w:r>
        <w:rPr>
          <w:rFonts w:hint="eastAsia" w:ascii="Times New Roman" w:hAnsi="Times New Roman" w:eastAsia="方正仿宋_GBK"/>
          <w:kern w:val="0"/>
          <w:sz w:val="32"/>
          <w:szCs w:val="32"/>
        </w:rPr>
        <w:t>具体的人员安置对象由被征地农村集体经济组织按照农户被征地多少和剩余耕地情况在农村集体经济组织总人口中确定。其中：征收家庭承包土地产生的人员安置对象人数，按照被征收耕地数量在被征地农户中从高到低依次确定；征收未发包土地或者其他方式承包土地产生的人员安置对象人数，按照征地后农户剩余人平耕地数量在被征地农户中从低到高依次确定；只征收未发包土地的，由村民会议讨论确定具体人员。</w:t>
      </w:r>
    </w:p>
    <w:p>
      <w:pPr>
        <w:autoSpaceDE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具体的人员安置对象经农村集体经济组织公示</w:t>
      </w:r>
      <w:r>
        <w:rPr>
          <w:rFonts w:ascii="Times New Roman" w:hAnsi="Times New Roman" w:eastAsia="方正仿宋_GBK"/>
          <w:kern w:val="0"/>
          <w:sz w:val="32"/>
          <w:szCs w:val="32"/>
        </w:rPr>
        <w:t>7</w:t>
      </w:r>
      <w:r>
        <w:rPr>
          <w:rFonts w:hint="eastAsia" w:ascii="Times New Roman" w:hAnsi="Times New Roman" w:eastAsia="方正仿宋_GBK"/>
          <w:kern w:val="0"/>
          <w:sz w:val="32"/>
          <w:szCs w:val="32"/>
        </w:rPr>
        <w:t>日无异议后，报镇人民政府（街道办事处）初审，区征地实施单位会同区规划自然资源、人力社保、公安、农业农村等部门复核，区人民政府核准。</w:t>
      </w:r>
    </w:p>
    <w:p>
      <w:pPr>
        <w:pStyle w:val="9"/>
        <w:spacing w:line="600" w:lineRule="exact"/>
        <w:ind w:firstLine="640" w:firstLineChars="200"/>
        <w:rPr>
          <w:rFonts w:ascii="Times New Roman" w:hAnsi="Times New Roman" w:eastAsia="方正仿宋_GBK" w:cs="Times New Roman"/>
          <w:color w:val="auto"/>
          <w:sz w:val="32"/>
          <w:szCs w:val="32"/>
        </w:rPr>
      </w:pPr>
      <w:r>
        <w:rPr>
          <w:rFonts w:hint="eastAsia" w:ascii="方正黑体_GBK" w:hAnsi="Times New Roman" w:eastAsia="方正黑体_GBK" w:cs="Times New Roman"/>
          <w:bCs/>
          <w:color w:val="auto"/>
          <w:kern w:val="2"/>
          <w:sz w:val="32"/>
          <w:szCs w:val="32"/>
        </w:rPr>
        <w:t>第十五条【参保补贴规定】</w:t>
      </w:r>
      <w:r>
        <w:rPr>
          <w:rFonts w:hint="eastAsia" w:ascii="Times New Roman" w:hAnsi="Times New Roman" w:eastAsia="方正仿宋_GBK" w:cs="Times New Roman"/>
          <w:color w:val="auto"/>
          <w:sz w:val="32"/>
          <w:szCs w:val="32"/>
        </w:rPr>
        <w:t>区人民政府应当将符合条件的人员安置对象纳入相应的养老等社会保障体系，并安排人员安置对象的社会保障费用，主要用于人员安置对象的养老保险等社会保险缴费补贴。人员安置对象的基本养老保险缴费补贴办法及标准，按照市人民政府有关规定执行。</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bCs/>
          <w:sz w:val="32"/>
          <w:szCs w:val="32"/>
        </w:rPr>
        <w:t>第十六条【促进就业】</w:t>
      </w:r>
      <w:r>
        <w:rPr>
          <w:rFonts w:hint="eastAsia" w:ascii="Times New Roman" w:hAnsi="Times New Roman" w:eastAsia="方正仿宋_GBK"/>
          <w:sz w:val="32"/>
          <w:szCs w:val="32"/>
        </w:rPr>
        <w:t>区人力资源和社会保障局将劳动力年龄段内有劳动能力、有就业需求的人员安置对象纳入公共就业服务范围，组织开展就业创业服务活动，促进其就业创业。</w:t>
      </w:r>
    </w:p>
    <w:p>
      <w:pPr>
        <w:pStyle w:val="9"/>
      </w:pPr>
    </w:p>
    <w:p>
      <w:pPr>
        <w:autoSpaceDE w:val="0"/>
        <w:adjustRightInd w:val="0"/>
        <w:snapToGrid w:val="0"/>
        <w:spacing w:line="600" w:lineRule="exact"/>
        <w:jc w:val="center"/>
        <w:rPr>
          <w:rFonts w:ascii="Times New Roman" w:hAnsi="Times New Roman" w:eastAsia="方正黑体_GBK"/>
          <w:sz w:val="32"/>
          <w:szCs w:val="32"/>
        </w:rPr>
      </w:pPr>
      <w:r>
        <w:rPr>
          <w:rFonts w:hint="eastAsia" w:ascii="Times New Roman" w:hAnsi="方正黑体_GBK" w:eastAsia="方正黑体_GBK"/>
          <w:sz w:val="32"/>
          <w:szCs w:val="32"/>
        </w:rPr>
        <w:t>第四章</w:t>
      </w:r>
      <w:r>
        <w:rPr>
          <w:rFonts w:ascii="Times New Roman" w:hAnsi="Times New Roman" w:eastAsia="方正黑体_GBK"/>
          <w:sz w:val="32"/>
          <w:szCs w:val="32"/>
        </w:rPr>
        <w:t xml:space="preserve">    </w:t>
      </w:r>
      <w:r>
        <w:rPr>
          <w:rFonts w:hint="eastAsia" w:ascii="Times New Roman" w:hAnsi="方正黑体_GBK" w:eastAsia="方正黑体_GBK"/>
          <w:sz w:val="32"/>
          <w:szCs w:val="32"/>
        </w:rPr>
        <w:t>住房安置</w:t>
      </w:r>
    </w:p>
    <w:p>
      <w:pPr>
        <w:pStyle w:val="9"/>
        <w:widowControl w:val="0"/>
        <w:spacing w:line="600" w:lineRule="exact"/>
        <w:ind w:firstLine="640" w:firstLineChars="200"/>
        <w:rPr>
          <w:rFonts w:ascii="Times New Roman" w:hAnsi="Times New Roman" w:eastAsia="方正仿宋_GBK" w:cs="Times New Roman"/>
          <w:color w:val="auto"/>
          <w:kern w:val="2"/>
          <w:sz w:val="32"/>
          <w:szCs w:val="32"/>
        </w:rPr>
      </w:pPr>
      <w:r>
        <w:rPr>
          <w:rFonts w:hint="eastAsia" w:ascii="方正黑体_GBK" w:hAnsi="Times New Roman" w:eastAsia="方正黑体_GBK" w:cs="Times New Roman"/>
          <w:bCs/>
          <w:color w:val="auto"/>
          <w:kern w:val="2"/>
          <w:sz w:val="32"/>
          <w:szCs w:val="32"/>
        </w:rPr>
        <w:t>第十七条【住房安置对象】</w:t>
      </w:r>
      <w:r>
        <w:rPr>
          <w:rFonts w:hint="eastAsia" w:ascii="Times New Roman" w:hAnsi="Times New Roman" w:eastAsia="方正仿宋_GBK" w:cs="Times New Roman"/>
          <w:color w:val="auto"/>
          <w:kern w:val="2"/>
          <w:sz w:val="32"/>
          <w:szCs w:val="32"/>
        </w:rPr>
        <w:t>农村集体经济组织的土地被全部征收的，按照本实施办法计入被征地农村集体经济组织总人口的人员全部为住房安置对象。</w:t>
      </w:r>
    </w:p>
    <w:p>
      <w:pPr>
        <w:pStyle w:val="9"/>
        <w:widowControl w:val="0"/>
        <w:spacing w:line="600" w:lineRule="exact"/>
        <w:ind w:firstLine="640" w:firstLineChars="200"/>
        <w:rPr>
          <w:rFonts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z w:val="32"/>
          <w:szCs w:val="32"/>
        </w:rPr>
        <w:t>农村集体经济组织的土地被部分征收的，征收土地预公告发布之日，持有征地范围内被搬迁住房的不动产权属证书，且按照本实施办法计入被征地农村集体经济组织总人口的人员为住房安置对象。</w:t>
      </w:r>
    </w:p>
    <w:p>
      <w:pPr>
        <w:pStyle w:val="9"/>
        <w:widowControl w:val="0"/>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征地前已实行征地人员安置但住房未被搬迁的人员，在其住房搬迁时纳入住房安置对象范围。</w:t>
      </w:r>
    </w:p>
    <w:p>
      <w:pPr>
        <w:autoSpaceDE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方正黑体_GBK" w:hAnsi="Times New Roman" w:eastAsia="方正黑体_GBK"/>
          <w:bCs/>
          <w:sz w:val="32"/>
          <w:szCs w:val="32"/>
        </w:rPr>
        <w:t>第十八条【不属于住房安置对象的情形】</w:t>
      </w:r>
      <w:r>
        <w:rPr>
          <w:rFonts w:hint="eastAsia" w:ascii="Times New Roman" w:hAnsi="Times New Roman" w:eastAsia="方正仿宋_GBK"/>
          <w:kern w:val="0"/>
          <w:sz w:val="32"/>
          <w:szCs w:val="32"/>
        </w:rPr>
        <w:t>符合本实施办法第十七条规定但有下列情形之一的人员，不属于住房安置对象：</w:t>
      </w:r>
    </w:p>
    <w:p>
      <w:pPr>
        <w:autoSpaceDE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（一）本实施办法施行前已实行征地住房安置的人员；</w:t>
      </w:r>
    </w:p>
    <w:p>
      <w:pPr>
        <w:autoSpaceDE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（二）已享受福利分房、划拨国有土地上自建房以及由单位修建并销售给职工的经济适用房等政策性实物住房的人员。</w:t>
      </w:r>
    </w:p>
    <w:p>
      <w:pPr>
        <w:pStyle w:val="9"/>
        <w:widowControl w:val="0"/>
        <w:spacing w:line="600" w:lineRule="exact"/>
        <w:ind w:firstLine="640" w:firstLineChars="200"/>
        <w:rPr>
          <w:rFonts w:ascii="Times New Roman" w:hAnsi="Times New Roman" w:eastAsia="方正仿宋_GBK" w:cs="Times New Roman"/>
          <w:color w:val="auto"/>
          <w:sz w:val="32"/>
          <w:szCs w:val="32"/>
        </w:rPr>
      </w:pPr>
      <w:r>
        <w:rPr>
          <w:rFonts w:hint="eastAsia" w:ascii="方正黑体_GBK" w:hAnsi="Times New Roman" w:eastAsia="方正黑体_GBK" w:cs="Times New Roman"/>
          <w:bCs/>
          <w:color w:val="auto"/>
          <w:kern w:val="2"/>
          <w:sz w:val="32"/>
          <w:szCs w:val="32"/>
        </w:rPr>
        <w:t>第十九条【安置方式的适用】</w:t>
      </w:r>
      <w:r>
        <w:rPr>
          <w:rFonts w:hint="eastAsia" w:ascii="Times New Roman" w:hAnsi="Times New Roman" w:eastAsia="方正仿宋_GBK" w:cs="Times New Roman"/>
          <w:color w:val="auto"/>
          <w:sz w:val="32"/>
          <w:szCs w:val="32"/>
        </w:rPr>
        <w:t>住房安置可以采取农村宅基地自建安置、安置房安置或者货币安置等方式。住房安置对象应当以户为单位统一选择一种安置方式，一处宅基地上的住房计为一户。</w:t>
      </w:r>
    </w:p>
    <w:p>
      <w:pPr>
        <w:pStyle w:val="9"/>
        <w:widowControl w:val="0"/>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选择农村宅基地自建安置的，应当符合乡（镇）土地利用总体规划、村规划，以及国家、市、区关于宅基地建房的有关规定。</w:t>
      </w:r>
    </w:p>
    <w:p>
      <w:pPr>
        <w:pStyle w:val="9"/>
        <w:widowControl w:val="0"/>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sz w:val="32"/>
          <w:szCs w:val="32"/>
        </w:rPr>
        <w:t>住房安置对象采取安置房安置或者货币安置后，该户家庭成员不得再申请农村宅基地新建住房。</w:t>
      </w:r>
    </w:p>
    <w:p>
      <w:pPr>
        <w:pStyle w:val="9"/>
        <w:widowControl w:val="0"/>
        <w:spacing w:line="600" w:lineRule="exact"/>
        <w:ind w:firstLine="640" w:firstLineChars="200"/>
        <w:rPr>
          <w:rFonts w:ascii="Times New Roman" w:hAnsi="Times New Roman" w:eastAsia="方正仿宋_GBK" w:cs="Times New Roman"/>
          <w:color w:val="auto"/>
          <w:kern w:val="2"/>
          <w:sz w:val="32"/>
          <w:szCs w:val="32"/>
        </w:rPr>
      </w:pPr>
      <w:r>
        <w:rPr>
          <w:rFonts w:hint="eastAsia" w:ascii="方正黑体_GBK" w:hAnsi="Times New Roman" w:eastAsia="方正黑体_GBK" w:cs="Times New Roman"/>
          <w:bCs/>
          <w:color w:val="auto"/>
          <w:kern w:val="2"/>
          <w:sz w:val="32"/>
          <w:szCs w:val="32"/>
        </w:rPr>
        <w:t>第二十条【宅基地自建安置补助】</w:t>
      </w:r>
      <w:r>
        <w:rPr>
          <w:rFonts w:hint="eastAsia" w:ascii="Times New Roman" w:hAnsi="Times New Roman" w:eastAsia="方正仿宋_GBK" w:cs="Times New Roman"/>
          <w:color w:val="auto"/>
          <w:sz w:val="32"/>
          <w:szCs w:val="32"/>
        </w:rPr>
        <w:t>农村宅基地自建安置的，应当给予自建住房补助，自建住房补助费用按照其不动产权属证书记载合法建筑面积的被拆迁房屋补偿金额的</w:t>
      </w:r>
      <w:r>
        <w:rPr>
          <w:rFonts w:ascii="Times New Roman" w:hAnsi="Times New Roman" w:eastAsia="方正仿宋_GBK" w:cs="Times New Roman"/>
          <w:color w:val="auto"/>
          <w:sz w:val="32"/>
          <w:szCs w:val="32"/>
        </w:rPr>
        <w:t>50%</w:t>
      </w:r>
      <w:r>
        <w:rPr>
          <w:rFonts w:hint="eastAsia" w:ascii="Times New Roman" w:hAnsi="Times New Roman" w:eastAsia="方正仿宋_GBK" w:cs="Times New Roman"/>
          <w:color w:val="auto"/>
          <w:sz w:val="32"/>
          <w:szCs w:val="32"/>
        </w:rPr>
        <w:t>计算。</w:t>
      </w:r>
    </w:p>
    <w:p>
      <w:pPr>
        <w:pStyle w:val="9"/>
        <w:widowControl w:val="0"/>
        <w:spacing w:line="600" w:lineRule="exact"/>
        <w:ind w:firstLine="640" w:firstLineChars="200"/>
        <w:rPr>
          <w:rFonts w:ascii="Times New Roman" w:hAnsi="Times New Roman" w:eastAsia="方正仿宋_GBK" w:cs="Times New Roman"/>
          <w:color w:val="auto"/>
          <w:sz w:val="32"/>
          <w:szCs w:val="32"/>
        </w:rPr>
      </w:pPr>
      <w:r>
        <w:rPr>
          <w:rFonts w:hint="eastAsia" w:ascii="方正黑体_GBK" w:hAnsi="Times New Roman" w:eastAsia="方正黑体_GBK" w:cs="Times New Roman"/>
          <w:bCs/>
          <w:color w:val="auto"/>
          <w:kern w:val="2"/>
          <w:sz w:val="32"/>
          <w:szCs w:val="32"/>
        </w:rPr>
        <w:t>第二十一条【安置房或货币安置面积标准】</w:t>
      </w:r>
      <w:r>
        <w:rPr>
          <w:rFonts w:hint="eastAsia" w:ascii="Times New Roman" w:hAnsi="Times New Roman" w:eastAsia="方正仿宋_GBK" w:cs="Times New Roman"/>
          <w:color w:val="auto"/>
          <w:sz w:val="32"/>
          <w:szCs w:val="32"/>
        </w:rPr>
        <w:t>实行安置房安置或者货币安置的，住房安置对象的住房安置建筑面积标准为每人</w:t>
      </w:r>
      <w:r>
        <w:rPr>
          <w:rFonts w:ascii="Times New Roman" w:hAnsi="Times New Roman" w:eastAsia="方正仿宋_GBK" w:cs="Times New Roman"/>
          <w:color w:val="auto"/>
          <w:sz w:val="32"/>
          <w:szCs w:val="32"/>
        </w:rPr>
        <w:t>30</w:t>
      </w:r>
      <w:r>
        <w:rPr>
          <w:rFonts w:hint="eastAsia" w:ascii="Times New Roman" w:hAnsi="Times New Roman" w:eastAsia="方正仿宋_GBK" w:cs="Times New Roman"/>
          <w:color w:val="auto"/>
          <w:sz w:val="32"/>
          <w:szCs w:val="32"/>
        </w:rPr>
        <w:t>平方米。</w:t>
      </w:r>
    </w:p>
    <w:p>
      <w:pPr>
        <w:pStyle w:val="9"/>
        <w:widowControl w:val="0"/>
        <w:spacing w:line="600" w:lineRule="exact"/>
        <w:ind w:firstLine="640" w:firstLineChars="200"/>
        <w:rPr>
          <w:rFonts w:ascii="Times New Roman" w:hAnsi="Times New Roman" w:eastAsia="方正仿宋_GBK" w:cs="Times New Roman"/>
          <w:color w:val="auto"/>
          <w:sz w:val="32"/>
          <w:szCs w:val="32"/>
        </w:rPr>
      </w:pPr>
      <w:r>
        <w:rPr>
          <w:rFonts w:hint="eastAsia" w:ascii="方正黑体_GBK" w:hAnsi="Times New Roman" w:eastAsia="方正黑体_GBK" w:cs="Times New Roman"/>
          <w:bCs/>
          <w:color w:val="auto"/>
          <w:kern w:val="2"/>
          <w:sz w:val="32"/>
          <w:szCs w:val="32"/>
        </w:rPr>
        <w:t>第二十二条【特殊对象的住房安置】</w:t>
      </w:r>
      <w:r>
        <w:rPr>
          <w:rFonts w:hint="eastAsia" w:ascii="Times New Roman" w:hAnsi="Times New Roman" w:eastAsia="方正仿宋_GBK" w:cs="Times New Roman"/>
          <w:color w:val="auto"/>
          <w:sz w:val="32"/>
          <w:szCs w:val="32"/>
        </w:rPr>
        <w:t>住房安置对象夫妻双方均无子女的，实行安置房安置或者货币安置时，可以申请增加</w:t>
      </w:r>
      <w:r>
        <w:rPr>
          <w:rFonts w:ascii="Times New Roman" w:hAnsi="Times New Roman" w:eastAsia="方正仿宋_GBK" w:cs="Times New Roman"/>
          <w:color w:val="auto"/>
          <w:sz w:val="32"/>
          <w:szCs w:val="32"/>
        </w:rPr>
        <w:t>15</w:t>
      </w:r>
      <w:r>
        <w:rPr>
          <w:rFonts w:hint="eastAsia" w:ascii="Times New Roman" w:hAnsi="Times New Roman" w:eastAsia="方正仿宋_GBK" w:cs="Times New Roman"/>
          <w:color w:val="auto"/>
          <w:sz w:val="32"/>
          <w:szCs w:val="32"/>
        </w:rPr>
        <w:t>平方米建筑面积的住房。</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住房安置对象已达到法定结婚年龄未婚的，在人员安置完毕后，可以申请增加</w:t>
      </w:r>
      <w:r>
        <w:rPr>
          <w:rFonts w:ascii="Times New Roman" w:hAnsi="Times New Roman" w:eastAsia="方正仿宋_GBK"/>
          <w:sz w:val="32"/>
          <w:szCs w:val="32"/>
        </w:rPr>
        <w:t>15</w:t>
      </w:r>
      <w:r>
        <w:rPr>
          <w:rFonts w:hint="eastAsia" w:ascii="Times New Roman" w:hAnsi="Times New Roman" w:eastAsia="方正仿宋_GBK"/>
          <w:sz w:val="32"/>
          <w:szCs w:val="32"/>
        </w:rPr>
        <w:t>平方米建筑面积的住房安置，与住房安置对象合并安置。</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住房安置对象的配偶或未成年子女，不属于被征地农村集体经济组织总人口范围，征地前未实行征地住房安置，长期居住在被征地范围内，且家庭无其他住房和不享有其他农村集体经济组织宅基地权利的，可以申请</w:t>
      </w:r>
      <w:r>
        <w:rPr>
          <w:rFonts w:ascii="Times New Roman" w:hAnsi="Times New Roman" w:eastAsia="方正仿宋_GBK"/>
          <w:sz w:val="32"/>
          <w:szCs w:val="32"/>
        </w:rPr>
        <w:t>15</w:t>
      </w:r>
      <w:r>
        <w:rPr>
          <w:rFonts w:hint="eastAsia" w:ascii="Times New Roman" w:hAnsi="Times New Roman" w:eastAsia="方正仿宋_GBK"/>
          <w:sz w:val="32"/>
          <w:szCs w:val="32"/>
        </w:rPr>
        <w:t>平方米建筑面积的住房，与住房安置对象合并安置。再婚登记</w:t>
      </w:r>
      <w:r>
        <w:rPr>
          <w:rFonts w:ascii="Times New Roman" w:hAnsi="Times New Roman" w:eastAsia="方正仿宋_GBK"/>
          <w:sz w:val="32"/>
          <w:szCs w:val="32"/>
        </w:rPr>
        <w:t>3</w:t>
      </w:r>
      <w:r>
        <w:rPr>
          <w:rFonts w:hint="eastAsia" w:ascii="Times New Roman" w:hAnsi="Times New Roman" w:eastAsia="方正仿宋_GBK"/>
          <w:sz w:val="32"/>
          <w:szCs w:val="32"/>
        </w:rPr>
        <w:t>年及以上或婚内有共同生育子女的，可以实行安置房安置或者货币住房安置；再婚登记不足</w:t>
      </w:r>
      <w:r>
        <w:rPr>
          <w:rFonts w:ascii="Times New Roman" w:hAnsi="Times New Roman" w:eastAsia="方正仿宋_GBK"/>
          <w:sz w:val="32"/>
          <w:szCs w:val="32"/>
        </w:rPr>
        <w:t>3</w:t>
      </w:r>
      <w:r>
        <w:rPr>
          <w:rFonts w:hint="eastAsia" w:ascii="Times New Roman" w:hAnsi="Times New Roman" w:eastAsia="方正仿宋_GBK"/>
          <w:sz w:val="32"/>
          <w:szCs w:val="32"/>
        </w:rPr>
        <w:t>年的，只能以户为单位选择安置房安置。再婚配偶的原成年子女不予住房安置。</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本条所称“长期居住在被征地范围内”，是指征收土地预公告发布之日，在被征地农村集体经济组织居住</w:t>
      </w:r>
      <w:r>
        <w:rPr>
          <w:rFonts w:ascii="Times New Roman" w:hAnsi="Times New Roman" w:eastAsia="方正仿宋_GBK"/>
          <w:sz w:val="32"/>
          <w:szCs w:val="32"/>
        </w:rPr>
        <w:t>1</w:t>
      </w:r>
      <w:r>
        <w:rPr>
          <w:rFonts w:hint="eastAsia" w:ascii="Times New Roman" w:hAnsi="Times New Roman" w:eastAsia="方正仿宋_GBK"/>
          <w:sz w:val="32"/>
          <w:szCs w:val="32"/>
        </w:rPr>
        <w:t>年以上，离婚后再婚配偶及随迁子女已在被征地农村集体经济组织居住</w:t>
      </w:r>
      <w:r>
        <w:rPr>
          <w:rFonts w:ascii="Times New Roman" w:hAnsi="Times New Roman" w:eastAsia="方正仿宋_GBK"/>
          <w:sz w:val="32"/>
          <w:szCs w:val="32"/>
        </w:rPr>
        <w:t>3</w:t>
      </w:r>
      <w:r>
        <w:rPr>
          <w:rFonts w:hint="eastAsia" w:ascii="Times New Roman" w:hAnsi="Times New Roman" w:eastAsia="方正仿宋_GBK"/>
          <w:sz w:val="32"/>
          <w:szCs w:val="32"/>
        </w:rPr>
        <w:t>年以上；“家庭无其他住房”，是指住房安置对象及其配偶、未成年子女均无商品房、农村住房和享受过福利房、经济适用房、安置房等住房。</w:t>
      </w:r>
    </w:p>
    <w:p>
      <w:pPr>
        <w:adjustRightInd w:val="0"/>
        <w:snapToGrid w:val="0"/>
        <w:spacing w:line="600" w:lineRule="exact"/>
        <w:ind w:firstLine="640" w:firstLineChars="200"/>
        <w:jc w:val="left"/>
        <w:rPr>
          <w:rFonts w:ascii="Times New Roman" w:hAnsi="Times New Roman" w:eastAsia="方正仿宋_GBK"/>
          <w:sz w:val="32"/>
          <w:szCs w:val="32"/>
        </w:rPr>
      </w:pPr>
      <w:r>
        <w:rPr>
          <w:rFonts w:hint="eastAsia" w:ascii="方正黑体_GBK" w:hAnsi="Times New Roman" w:eastAsia="方正黑体_GBK"/>
          <w:bCs/>
          <w:sz w:val="32"/>
          <w:szCs w:val="32"/>
        </w:rPr>
        <w:t>第二十三条【安置房购买价格】</w:t>
      </w:r>
      <w:r>
        <w:rPr>
          <w:rFonts w:hint="eastAsia" w:ascii="Times New Roman" w:hAnsi="Times New Roman" w:eastAsia="方正仿宋_GBK"/>
          <w:sz w:val="32"/>
          <w:szCs w:val="32"/>
        </w:rPr>
        <w:t>安置房安置的，应安置建筑面积的部分，按照砖混结构房屋的重置价格标准（1020元/平方米）购买。</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因户型设计等原因，以户为单位，安置房超过应安置建筑面积不满</w:t>
      </w:r>
      <w:r>
        <w:rPr>
          <w:rFonts w:ascii="Times New Roman" w:hAnsi="Times New Roman" w:eastAsia="方正仿宋_GBK"/>
          <w:sz w:val="32"/>
          <w:szCs w:val="32"/>
        </w:rPr>
        <w:t>5</w:t>
      </w:r>
      <w:r>
        <w:rPr>
          <w:rFonts w:hint="eastAsia" w:ascii="Times New Roman" w:hAnsi="Times New Roman" w:eastAsia="方正仿宋_GBK"/>
          <w:sz w:val="32"/>
          <w:szCs w:val="32"/>
        </w:rPr>
        <w:t>平方米的部分，按照安置房建安造价的</w:t>
      </w:r>
      <w:r>
        <w:rPr>
          <w:rFonts w:ascii="Times New Roman" w:hAnsi="Times New Roman" w:eastAsia="方正仿宋_GBK"/>
          <w:sz w:val="32"/>
          <w:szCs w:val="32"/>
        </w:rPr>
        <w:t>50%</w:t>
      </w:r>
      <w:r>
        <w:rPr>
          <w:rFonts w:hint="eastAsia" w:ascii="Times New Roman" w:hAnsi="Times New Roman" w:eastAsia="方正仿宋_GBK"/>
          <w:sz w:val="32"/>
          <w:szCs w:val="32"/>
        </w:rPr>
        <w:t>购买；超过应安置建筑面积</w:t>
      </w:r>
      <w:r>
        <w:rPr>
          <w:rFonts w:ascii="Times New Roman" w:hAnsi="Times New Roman" w:eastAsia="方正仿宋_GBK"/>
          <w:sz w:val="32"/>
          <w:szCs w:val="32"/>
        </w:rPr>
        <w:t>5</w:t>
      </w:r>
      <w:r>
        <w:rPr>
          <w:rFonts w:hint="eastAsia" w:ascii="Times New Roman" w:hAnsi="Times New Roman" w:eastAsia="方正仿宋_GBK"/>
          <w:sz w:val="32"/>
          <w:szCs w:val="32"/>
        </w:rPr>
        <w:t>平方米以上（含</w:t>
      </w:r>
      <w:r>
        <w:rPr>
          <w:rFonts w:ascii="Times New Roman" w:hAnsi="Times New Roman" w:eastAsia="方正仿宋_GBK"/>
          <w:sz w:val="32"/>
          <w:szCs w:val="32"/>
        </w:rPr>
        <w:t>5</w:t>
      </w:r>
      <w:r>
        <w:rPr>
          <w:rFonts w:hint="eastAsia" w:ascii="Times New Roman" w:hAnsi="Times New Roman" w:eastAsia="方正仿宋_GBK"/>
          <w:sz w:val="32"/>
          <w:szCs w:val="32"/>
        </w:rPr>
        <w:t>平方米）不满</w:t>
      </w:r>
      <w:r>
        <w:rPr>
          <w:rFonts w:ascii="Times New Roman" w:hAnsi="Times New Roman" w:eastAsia="方正仿宋_GBK"/>
          <w:sz w:val="32"/>
          <w:szCs w:val="32"/>
        </w:rPr>
        <w:t>10</w:t>
      </w:r>
      <w:r>
        <w:rPr>
          <w:rFonts w:hint="eastAsia" w:ascii="Times New Roman" w:hAnsi="Times New Roman" w:eastAsia="方正仿宋_GBK"/>
          <w:sz w:val="32"/>
          <w:szCs w:val="32"/>
        </w:rPr>
        <w:t>平方米的部分，按照安置房建安造价购买；超过应安置建筑面积</w:t>
      </w:r>
      <w:r>
        <w:rPr>
          <w:rFonts w:ascii="Times New Roman" w:hAnsi="Times New Roman" w:eastAsia="方正仿宋_GBK"/>
          <w:sz w:val="32"/>
          <w:szCs w:val="32"/>
        </w:rPr>
        <w:t>10</w:t>
      </w:r>
      <w:r>
        <w:rPr>
          <w:rFonts w:hint="eastAsia" w:ascii="Times New Roman" w:hAnsi="Times New Roman" w:eastAsia="方正仿宋_GBK"/>
          <w:sz w:val="32"/>
          <w:szCs w:val="32"/>
        </w:rPr>
        <w:t>平方米以上（含</w:t>
      </w:r>
      <w:r>
        <w:rPr>
          <w:rFonts w:ascii="Times New Roman" w:hAnsi="Times New Roman" w:eastAsia="方正仿宋_GBK"/>
          <w:sz w:val="32"/>
          <w:szCs w:val="32"/>
        </w:rPr>
        <w:t>10</w:t>
      </w:r>
      <w:r>
        <w:rPr>
          <w:rFonts w:hint="eastAsia" w:ascii="Times New Roman" w:hAnsi="Times New Roman" w:eastAsia="方正仿宋_GBK"/>
          <w:sz w:val="32"/>
          <w:szCs w:val="32"/>
        </w:rPr>
        <w:t>平方米）的部分，按照住房货币安置价格标准购买。安置房建安造价标准为2600元/平方米。</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因户型设计、住房安置对象意愿等原因，购买安置房未达到应安置建筑面积的，不足部分按照本实施办法第二十六条规定的住房货币安置价格标准支付给住房安置对象。</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bCs/>
          <w:sz w:val="32"/>
          <w:szCs w:val="32"/>
        </w:rPr>
        <w:t>第二十四条【安置房的有关要求】</w:t>
      </w:r>
      <w:r>
        <w:rPr>
          <w:rFonts w:hint="eastAsia" w:ascii="Times New Roman" w:hAnsi="Times New Roman" w:eastAsia="方正仿宋_GBK"/>
          <w:sz w:val="32"/>
          <w:szCs w:val="32"/>
        </w:rPr>
        <w:t>安置房应当在国有土地上建设。</w:t>
      </w:r>
    </w:p>
    <w:p>
      <w:pPr>
        <w:autoSpaceDE w:val="0"/>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区人民政府应当安排安置房的建设资金、首期物业专项维修资金以及居民用电、自来水、天然气、有线电视的安装费用。</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住房安置对象选择安置房安置的，安置住房公摊系数若高于</w:t>
      </w:r>
      <w:r>
        <w:rPr>
          <w:rFonts w:ascii="Times New Roman" w:hAnsi="Times New Roman" w:eastAsia="方正仿宋_GBK"/>
          <w:sz w:val="32"/>
          <w:szCs w:val="32"/>
        </w:rPr>
        <w:t>15%</w:t>
      </w:r>
      <w:r>
        <w:rPr>
          <w:rFonts w:hint="eastAsia" w:ascii="Times New Roman" w:hAnsi="Times New Roman" w:eastAsia="方正仿宋_GBK"/>
          <w:sz w:val="32"/>
          <w:szCs w:val="32"/>
        </w:rPr>
        <w:t>，只按</w:t>
      </w:r>
      <w:r>
        <w:rPr>
          <w:rFonts w:ascii="Times New Roman" w:hAnsi="Times New Roman" w:eastAsia="方正仿宋_GBK"/>
          <w:sz w:val="32"/>
          <w:szCs w:val="32"/>
        </w:rPr>
        <w:t>15%</w:t>
      </w:r>
      <w:r>
        <w:rPr>
          <w:rFonts w:hint="eastAsia" w:ascii="Times New Roman" w:hAnsi="Times New Roman" w:eastAsia="方正仿宋_GBK"/>
          <w:sz w:val="32"/>
          <w:szCs w:val="32"/>
        </w:rPr>
        <w:t>结算，超过</w:t>
      </w:r>
      <w:r>
        <w:rPr>
          <w:rFonts w:ascii="Times New Roman" w:hAnsi="Times New Roman" w:eastAsia="方正仿宋_GBK"/>
          <w:sz w:val="32"/>
          <w:szCs w:val="32"/>
        </w:rPr>
        <w:t>15%</w:t>
      </w:r>
      <w:r>
        <w:rPr>
          <w:rFonts w:hint="eastAsia" w:ascii="Times New Roman" w:hAnsi="Times New Roman" w:eastAsia="方正仿宋_GBK"/>
          <w:sz w:val="32"/>
          <w:szCs w:val="32"/>
        </w:rPr>
        <w:t>部分由住房安置单位缴纳。</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bCs/>
          <w:sz w:val="32"/>
          <w:szCs w:val="32"/>
        </w:rPr>
        <w:t>第二十五条【住房货币安置标准】</w:t>
      </w:r>
      <w:r>
        <w:rPr>
          <w:rFonts w:hint="eastAsia" w:ascii="Times New Roman" w:hAnsi="Times New Roman" w:eastAsia="方正仿宋_GBK"/>
          <w:sz w:val="32"/>
          <w:szCs w:val="32"/>
        </w:rPr>
        <w:t>住房安置对象选择货币安置住房方式的，以户为单位与区征地实施单位签订货币安置住房协议，一次性结算货币安置款。货币安置款额等于住房货币安置价格标准乘以其应安置建筑面积。</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中梁山街道、华岩镇的住房货币安置价格标准为</w:t>
      </w:r>
      <w:r>
        <w:rPr>
          <w:rFonts w:ascii="Times New Roman" w:hAnsi="Times New Roman" w:eastAsia="方正仿宋_GBK"/>
          <w:sz w:val="32"/>
          <w:szCs w:val="32"/>
        </w:rPr>
        <w:t>10</w:t>
      </w:r>
      <w:r>
        <w:rPr>
          <w:rFonts w:hint="eastAsia" w:ascii="Times New Roman" w:hAnsi="Times New Roman" w:eastAsia="方正仿宋_GBK"/>
          <w:sz w:val="32"/>
          <w:szCs w:val="32"/>
        </w:rPr>
        <w:t>0</w:t>
      </w:r>
      <w:r>
        <w:rPr>
          <w:rFonts w:ascii="Times New Roman" w:hAnsi="Times New Roman" w:eastAsia="方正仿宋_GBK"/>
          <w:sz w:val="32"/>
          <w:szCs w:val="32"/>
        </w:rPr>
        <w:t>50</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平方米；陶家镇、西彭镇、铜罐驿镇的住房货币安置价格标准为6</w:t>
      </w:r>
      <w:r>
        <w:rPr>
          <w:rFonts w:ascii="Times New Roman" w:hAnsi="Times New Roman" w:eastAsia="方正仿宋_GBK"/>
          <w:sz w:val="32"/>
          <w:szCs w:val="32"/>
        </w:rPr>
        <w:t>000</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平方米；渝州路街道、石桥铺街道、二郎街道、杨家坪街道、黄桷坪街道、谢家湾街道、石坪桥街道、九龙街道的住房货币安置价格以补偿安置方案确定的标准为准。</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选择货币安置住房方式的，以货币安置款额的</w:t>
      </w:r>
      <w:r>
        <w:rPr>
          <w:rFonts w:ascii="Times New Roman" w:hAnsi="Times New Roman" w:eastAsia="方正仿宋_GBK"/>
          <w:sz w:val="32"/>
          <w:szCs w:val="32"/>
        </w:rPr>
        <w:t>20</w:t>
      </w:r>
      <w:r>
        <w:rPr>
          <w:rFonts w:hint="eastAsia" w:ascii="Times New Roman" w:hAnsi="Times New Roman" w:eastAsia="方正仿宋_GBK"/>
          <w:sz w:val="32"/>
          <w:szCs w:val="32"/>
        </w:rPr>
        <w:t>％给予基本奖励和补助。</w:t>
      </w:r>
    </w:p>
    <w:p>
      <w:pPr>
        <w:spacing w:line="600" w:lineRule="exact"/>
        <w:ind w:firstLine="640" w:firstLineChars="200"/>
        <w:rPr>
          <w:rFonts w:ascii="Times New Roman" w:hAnsi="Times New Roman" w:eastAsia="方正仿宋_GBK"/>
          <w:sz w:val="32"/>
          <w:szCs w:val="32"/>
        </w:rPr>
      </w:pPr>
      <w:r>
        <w:rPr>
          <w:rFonts w:hint="eastAsia" w:ascii="Times New Roman" w:hAnsi="方正仿宋_GBK" w:eastAsia="方正仿宋_GBK"/>
          <w:kern w:val="0"/>
          <w:sz w:val="32"/>
          <w:szCs w:val="32"/>
        </w:rPr>
        <w:t>区征地实施单位明确安置双方签订房屋拆迁及住房货币安置协议的签约期限为30日（从区征地实施单位正式发布住房安置通知之日起计算）。在前</w:t>
      </w:r>
      <w:r>
        <w:rPr>
          <w:rFonts w:ascii="Times New Roman" w:hAnsi="Times New Roman" w:eastAsia="方正仿宋_GBK"/>
          <w:kern w:val="0"/>
          <w:sz w:val="32"/>
          <w:szCs w:val="32"/>
        </w:rPr>
        <w:t>15</w:t>
      </w:r>
      <w:r>
        <w:rPr>
          <w:rFonts w:hint="eastAsia" w:ascii="Times New Roman" w:hAnsi="方正仿宋_GBK" w:eastAsia="方正仿宋_GBK"/>
          <w:kern w:val="0"/>
          <w:sz w:val="32"/>
          <w:szCs w:val="32"/>
        </w:rPr>
        <w:t>日内（含第</w:t>
      </w:r>
      <w:r>
        <w:rPr>
          <w:rFonts w:ascii="Times New Roman" w:hAnsi="Times New Roman" w:eastAsia="方正仿宋_GBK"/>
          <w:kern w:val="0"/>
          <w:sz w:val="32"/>
          <w:szCs w:val="32"/>
        </w:rPr>
        <w:t>15</w:t>
      </w:r>
      <w:r>
        <w:rPr>
          <w:rFonts w:hint="eastAsia" w:ascii="Times New Roman" w:hAnsi="方正仿宋_GBK" w:eastAsia="方正仿宋_GBK"/>
          <w:kern w:val="0"/>
          <w:sz w:val="32"/>
          <w:szCs w:val="32"/>
        </w:rPr>
        <w:t>日）签订房屋拆迁及住房货币安置协议并交出房屋的，按住房货币安置建筑面积给予</w:t>
      </w:r>
      <w:r>
        <w:rPr>
          <w:rFonts w:hint="eastAsia" w:ascii="Times New Roman" w:hAnsi="Times New Roman" w:eastAsia="方正仿宋_GBK"/>
          <w:kern w:val="0"/>
          <w:sz w:val="32"/>
          <w:szCs w:val="32"/>
        </w:rPr>
        <w:t>15</w:t>
      </w:r>
      <w:r>
        <w:rPr>
          <w:rFonts w:ascii="Times New Roman" w:hAnsi="Times New Roman" w:eastAsia="方正仿宋_GBK"/>
          <w:kern w:val="0"/>
          <w:sz w:val="32"/>
          <w:szCs w:val="32"/>
        </w:rPr>
        <w:t>00</w:t>
      </w:r>
      <w:r>
        <w:rPr>
          <w:rFonts w:hint="eastAsia" w:ascii="Times New Roman" w:hAnsi="方正仿宋_GBK" w:eastAsia="方正仿宋_GBK"/>
          <w:kern w:val="0"/>
          <w:sz w:val="32"/>
          <w:szCs w:val="32"/>
        </w:rPr>
        <w:t>元</w:t>
      </w:r>
      <w:r>
        <w:rPr>
          <w:rFonts w:ascii="Times New Roman" w:hAnsi="Times New Roman" w:eastAsia="方正仿宋_GBK"/>
          <w:kern w:val="0"/>
          <w:sz w:val="32"/>
          <w:szCs w:val="32"/>
        </w:rPr>
        <w:t>/</w:t>
      </w:r>
      <w:r>
        <w:rPr>
          <w:rFonts w:hint="eastAsia" w:ascii="Times New Roman" w:hAnsi="方正仿宋_GBK" w:eastAsia="方正仿宋_GBK"/>
          <w:kern w:val="0"/>
          <w:sz w:val="32"/>
          <w:szCs w:val="32"/>
        </w:rPr>
        <w:t>平方米的特别奖励；在后15日内（含第</w:t>
      </w:r>
      <w:r>
        <w:rPr>
          <w:rFonts w:ascii="Times New Roman" w:hAnsi="Times New Roman" w:eastAsia="方正仿宋_GBK"/>
          <w:kern w:val="0"/>
          <w:sz w:val="32"/>
          <w:szCs w:val="32"/>
        </w:rPr>
        <w:t>30</w:t>
      </w:r>
      <w:r>
        <w:rPr>
          <w:rFonts w:hint="eastAsia" w:ascii="Times New Roman" w:hAnsi="方正仿宋_GBK" w:eastAsia="方正仿宋_GBK"/>
          <w:kern w:val="0"/>
          <w:sz w:val="32"/>
          <w:szCs w:val="32"/>
        </w:rPr>
        <w:t>日）签订房屋拆迁及住房货币安置协议并交出房屋的，按住房货币安置建筑面积给予</w:t>
      </w: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0</w:t>
      </w:r>
      <w:r>
        <w:rPr>
          <w:rFonts w:ascii="Times New Roman" w:hAnsi="Times New Roman" w:eastAsia="方正仿宋_GBK"/>
          <w:kern w:val="0"/>
          <w:sz w:val="32"/>
          <w:szCs w:val="32"/>
        </w:rPr>
        <w:t>00</w:t>
      </w:r>
      <w:r>
        <w:rPr>
          <w:rFonts w:hint="eastAsia" w:ascii="Times New Roman" w:hAnsi="方正仿宋_GBK" w:eastAsia="方正仿宋_GBK"/>
          <w:kern w:val="0"/>
          <w:sz w:val="32"/>
          <w:szCs w:val="32"/>
        </w:rPr>
        <w:t>元</w:t>
      </w:r>
      <w:r>
        <w:rPr>
          <w:rFonts w:ascii="Times New Roman" w:hAnsi="Times New Roman" w:eastAsia="方正仿宋_GBK"/>
          <w:kern w:val="0"/>
          <w:sz w:val="32"/>
          <w:szCs w:val="32"/>
        </w:rPr>
        <w:t>/</w:t>
      </w:r>
      <w:r>
        <w:rPr>
          <w:rFonts w:hint="eastAsia" w:ascii="Times New Roman" w:hAnsi="方正仿宋_GBK" w:eastAsia="方正仿宋_GBK"/>
          <w:kern w:val="0"/>
          <w:sz w:val="32"/>
          <w:szCs w:val="32"/>
        </w:rPr>
        <w:t>平方米的特别奖励；超过签约期限未签订协议的，不予特别奖励。</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bCs/>
          <w:sz w:val="32"/>
          <w:szCs w:val="32"/>
        </w:rPr>
        <w:t>第二十六条【不重复安置】</w:t>
      </w:r>
      <w:r>
        <w:rPr>
          <w:rFonts w:hint="eastAsia" w:ascii="Times New Roman" w:hAnsi="Times New Roman" w:eastAsia="方正仿宋_GBK"/>
          <w:sz w:val="32"/>
          <w:szCs w:val="32"/>
        </w:rPr>
        <w:t>住房安置对象合法拥有两处以上（含两处）农村住房的，只在其享有宅基地权利的住房被搬迁时安置</w:t>
      </w:r>
      <w:r>
        <w:rPr>
          <w:rFonts w:ascii="Times New Roman" w:hAnsi="Times New Roman" w:eastAsia="方正仿宋_GBK"/>
          <w:sz w:val="32"/>
          <w:szCs w:val="32"/>
        </w:rPr>
        <w:t>1</w:t>
      </w:r>
      <w:r>
        <w:rPr>
          <w:rFonts w:hint="eastAsia" w:ascii="Times New Roman" w:hAnsi="Times New Roman" w:eastAsia="方正仿宋_GBK"/>
          <w:sz w:val="32"/>
          <w:szCs w:val="32"/>
        </w:rPr>
        <w:t>次住房，不得重复安置住房。</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bCs/>
          <w:sz w:val="32"/>
          <w:szCs w:val="32"/>
        </w:rPr>
        <w:t>第二十七条【对不安置情形的补助】</w:t>
      </w:r>
      <w:r>
        <w:rPr>
          <w:rFonts w:hint="eastAsia" w:ascii="Times New Roman" w:hAnsi="Times New Roman" w:eastAsia="方正仿宋_GBK"/>
          <w:sz w:val="32"/>
          <w:szCs w:val="32"/>
        </w:rPr>
        <w:t>符合下列情形之一的，其被搬迁房屋按重置价格标准上浮</w:t>
      </w:r>
      <w:r>
        <w:rPr>
          <w:rFonts w:ascii="Times New Roman" w:hAnsi="Times New Roman" w:eastAsia="方正仿宋_GBK"/>
          <w:sz w:val="32"/>
          <w:szCs w:val="32"/>
        </w:rPr>
        <w:t>50%</w:t>
      </w:r>
      <w:r>
        <w:rPr>
          <w:rFonts w:hint="eastAsia" w:ascii="Times New Roman" w:hAnsi="Times New Roman" w:eastAsia="方正仿宋_GBK"/>
          <w:sz w:val="32"/>
          <w:szCs w:val="32"/>
        </w:rPr>
        <w:t>予以补助：</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（一）被搬迁住房所有权人均不属于住房安置对象的；</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（二）被搬迁住房属于住房安置对象合法拥有两处以上（含两处）农村住房，且按本实施办法第二十六条规定不予住房安置的；</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（三）乡镇企业、乡（镇）村公共设施、公益事业用房等登记为非住宅的房屋。</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bCs/>
          <w:sz w:val="32"/>
          <w:szCs w:val="32"/>
        </w:rPr>
        <w:t>第二十八条【住房的搬迁和临时安置】</w:t>
      </w:r>
      <w:r>
        <w:rPr>
          <w:rFonts w:hint="eastAsia" w:ascii="Times New Roman" w:hAnsi="Times New Roman" w:eastAsia="方正仿宋_GBK"/>
          <w:sz w:val="32"/>
          <w:szCs w:val="32"/>
        </w:rPr>
        <w:t>征地搬迁农村住房，按照每户</w:t>
      </w:r>
      <w:r>
        <w:rPr>
          <w:rFonts w:ascii="Times New Roman" w:hAnsi="Times New Roman" w:eastAsia="方正仿宋_GBK"/>
          <w:sz w:val="32"/>
          <w:szCs w:val="32"/>
        </w:rPr>
        <w:t>2000</w:t>
      </w:r>
      <w:r>
        <w:rPr>
          <w:rFonts w:hint="eastAsia" w:ascii="Times New Roman" w:hAnsi="Times New Roman" w:eastAsia="方正仿宋_GBK"/>
          <w:sz w:val="32"/>
          <w:szCs w:val="32"/>
        </w:rPr>
        <w:t>元的标准一次性支付搬迁费，用于被搬迁户搬家及生产生活设施迁移。选择安置房安置的被搬迁户按两次计发。</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农村宅基地自建安置的，按照符合宅基地申请条件的人员</w:t>
      </w:r>
      <w:r>
        <w:rPr>
          <w:rFonts w:ascii="Times New Roman" w:hAnsi="Times New Roman" w:eastAsia="方正仿宋_GBK"/>
          <w:sz w:val="32"/>
          <w:szCs w:val="32"/>
        </w:rPr>
        <w:t>每人每月</w:t>
      </w:r>
      <w:r>
        <w:rPr>
          <w:rFonts w:hint="eastAsia" w:ascii="Times New Roman" w:hAnsi="Times New Roman" w:eastAsia="方正仿宋_GBK"/>
          <w:sz w:val="32"/>
          <w:szCs w:val="32"/>
        </w:rPr>
        <w:t>300</w:t>
      </w:r>
      <w:r>
        <w:rPr>
          <w:rFonts w:ascii="Times New Roman" w:hAnsi="Times New Roman" w:eastAsia="方正仿宋_GBK"/>
          <w:sz w:val="32"/>
          <w:szCs w:val="32"/>
        </w:rPr>
        <w:t>元</w:t>
      </w:r>
      <w:r>
        <w:rPr>
          <w:rFonts w:hint="eastAsia" w:ascii="Times New Roman" w:hAnsi="Times New Roman" w:eastAsia="方正仿宋_GBK"/>
          <w:sz w:val="32"/>
          <w:szCs w:val="32"/>
        </w:rPr>
        <w:t>计算并一次性支付18个月的临时安置费。</w:t>
      </w:r>
    </w:p>
    <w:p>
      <w:pPr>
        <w:adjustRightInd w:val="0"/>
        <w:snapToGrid w:val="0"/>
        <w:spacing w:line="600" w:lineRule="exact"/>
        <w:ind w:firstLine="640" w:firstLineChars="200"/>
        <w:rPr>
          <w:rFonts w:ascii="Times New Roman" w:hAnsi="方正仿宋_GBK" w:eastAsia="方正仿宋_GBK"/>
          <w:sz w:val="32"/>
          <w:szCs w:val="32"/>
        </w:rPr>
      </w:pPr>
      <w:r>
        <w:rPr>
          <w:rFonts w:hint="eastAsia" w:ascii="Times New Roman" w:hAnsi="方正仿宋_GBK" w:eastAsia="方正仿宋_GBK"/>
          <w:sz w:val="32"/>
          <w:szCs w:val="32"/>
        </w:rPr>
        <w:t>住房货币安置的，按照应安置建筑面积</w:t>
      </w:r>
      <w:r>
        <w:rPr>
          <w:rFonts w:ascii="Times New Roman" w:hAnsi="方正仿宋_GBK" w:eastAsia="方正仿宋_GBK"/>
          <w:sz w:val="32"/>
          <w:szCs w:val="32"/>
        </w:rPr>
        <w:t>每平方米每月</w:t>
      </w:r>
      <w:r>
        <w:rPr>
          <w:rFonts w:hint="eastAsia" w:ascii="Times New Roman" w:hAnsi="方正仿宋_GBK" w:eastAsia="方正仿宋_GBK"/>
          <w:sz w:val="32"/>
          <w:szCs w:val="32"/>
        </w:rPr>
        <w:t>15</w:t>
      </w:r>
      <w:r>
        <w:rPr>
          <w:rFonts w:ascii="Times New Roman" w:hAnsi="方正仿宋_GBK" w:eastAsia="方正仿宋_GBK"/>
          <w:sz w:val="32"/>
          <w:szCs w:val="32"/>
        </w:rPr>
        <w:t>元</w:t>
      </w:r>
      <w:r>
        <w:rPr>
          <w:rFonts w:hint="eastAsia" w:ascii="Times New Roman" w:hAnsi="方正仿宋_GBK" w:eastAsia="方正仿宋_GBK"/>
          <w:sz w:val="32"/>
          <w:szCs w:val="32"/>
        </w:rPr>
        <w:t>计算并一次性支付12个月的临时安置费。</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安置房安置的，按照应安置建筑面积计算并支付自搬迁之月起至安置房交付后</w:t>
      </w:r>
      <w:r>
        <w:rPr>
          <w:rFonts w:ascii="Times New Roman" w:hAnsi="Times New Roman" w:eastAsia="方正仿宋_GBK"/>
          <w:sz w:val="32"/>
          <w:szCs w:val="32"/>
        </w:rPr>
        <w:t>6</w:t>
      </w:r>
      <w:r>
        <w:rPr>
          <w:rFonts w:hint="eastAsia" w:ascii="Times New Roman" w:hAnsi="Times New Roman" w:eastAsia="方正仿宋_GBK"/>
          <w:sz w:val="32"/>
          <w:szCs w:val="32"/>
        </w:rPr>
        <w:t>个月的临时安置费。</w:t>
      </w:r>
      <w:r>
        <w:rPr>
          <w:rFonts w:hint="eastAsia" w:ascii="Times New Roman" w:hAnsi="方正仿宋_GBK" w:eastAsia="方正仿宋_GBK"/>
          <w:sz w:val="32"/>
          <w:szCs w:val="32"/>
        </w:rPr>
        <w:t>住房安置人员过渡期在</w:t>
      </w:r>
      <w:r>
        <w:rPr>
          <w:rFonts w:ascii="Times New Roman" w:hAnsi="Times New Roman" w:eastAsia="方正仿宋_GBK"/>
          <w:sz w:val="32"/>
          <w:szCs w:val="32"/>
        </w:rPr>
        <w:t>24</w:t>
      </w:r>
      <w:r>
        <w:rPr>
          <w:rFonts w:hint="eastAsia" w:ascii="Times New Roman" w:hAnsi="Times New Roman" w:eastAsia="方正仿宋_GBK"/>
          <w:sz w:val="32"/>
          <w:szCs w:val="32"/>
        </w:rPr>
        <w:t>个月</w:t>
      </w:r>
      <w:r>
        <w:rPr>
          <w:rFonts w:hint="eastAsia" w:ascii="Times New Roman" w:hAnsi="方正仿宋_GBK" w:eastAsia="方正仿宋_GBK"/>
          <w:sz w:val="32"/>
          <w:szCs w:val="32"/>
        </w:rPr>
        <w:t>内（含</w:t>
      </w:r>
      <w:r>
        <w:rPr>
          <w:rFonts w:ascii="Times New Roman" w:hAnsi="Times New Roman" w:eastAsia="方正仿宋_GBK"/>
          <w:sz w:val="32"/>
          <w:szCs w:val="32"/>
        </w:rPr>
        <w:t>24</w:t>
      </w:r>
      <w:r>
        <w:rPr>
          <w:rFonts w:hint="eastAsia" w:ascii="Times New Roman" w:hAnsi="Times New Roman" w:eastAsia="方正仿宋_GBK"/>
          <w:sz w:val="32"/>
          <w:szCs w:val="32"/>
        </w:rPr>
        <w:t>个月</w:t>
      </w:r>
      <w:r>
        <w:rPr>
          <w:rFonts w:hint="eastAsia" w:ascii="Times New Roman" w:hAnsi="方正仿宋_GBK" w:eastAsia="方正仿宋_GBK"/>
          <w:sz w:val="32"/>
          <w:szCs w:val="32"/>
        </w:rPr>
        <w:t>）的，临时安置费标准为</w:t>
      </w:r>
      <w:r>
        <w:rPr>
          <w:rFonts w:ascii="Times New Roman" w:hAnsi="方正仿宋_GBK" w:eastAsia="方正仿宋_GBK"/>
          <w:sz w:val="32"/>
          <w:szCs w:val="32"/>
        </w:rPr>
        <w:t>每平方米每月</w:t>
      </w:r>
      <w:r>
        <w:rPr>
          <w:rFonts w:hint="eastAsia" w:ascii="Times New Roman" w:hAnsi="方正仿宋_GBK" w:eastAsia="方正仿宋_GBK"/>
          <w:sz w:val="32"/>
          <w:szCs w:val="32"/>
        </w:rPr>
        <w:t>15</w:t>
      </w:r>
      <w:r>
        <w:rPr>
          <w:rFonts w:ascii="Times New Roman" w:hAnsi="方正仿宋_GBK" w:eastAsia="方正仿宋_GBK"/>
          <w:sz w:val="32"/>
          <w:szCs w:val="32"/>
        </w:rPr>
        <w:t>元</w:t>
      </w:r>
      <w:r>
        <w:rPr>
          <w:rFonts w:hint="eastAsia" w:ascii="Times New Roman" w:hAnsi="方正仿宋_GBK" w:eastAsia="方正仿宋_GBK"/>
          <w:sz w:val="32"/>
          <w:szCs w:val="32"/>
        </w:rPr>
        <w:t>；过渡期在</w:t>
      </w:r>
      <w:r>
        <w:rPr>
          <w:rFonts w:ascii="Times New Roman" w:hAnsi="Times New Roman" w:eastAsia="方正仿宋_GBK"/>
          <w:sz w:val="32"/>
          <w:szCs w:val="32"/>
        </w:rPr>
        <w:t>25</w:t>
      </w:r>
      <w:r>
        <w:rPr>
          <w:rFonts w:hint="eastAsia" w:ascii="Times New Roman" w:hAnsi="Times New Roman" w:eastAsia="方正仿宋_GBK"/>
          <w:sz w:val="32"/>
          <w:szCs w:val="32"/>
        </w:rPr>
        <w:t>个月</w:t>
      </w:r>
      <w:r>
        <w:rPr>
          <w:rFonts w:hint="eastAsia" w:ascii="Times New Roman" w:hAnsi="方正仿宋_GBK" w:eastAsia="方正仿宋_GBK"/>
          <w:sz w:val="32"/>
          <w:szCs w:val="32"/>
        </w:rPr>
        <w:t>（含</w:t>
      </w:r>
      <w:r>
        <w:rPr>
          <w:rFonts w:ascii="Times New Roman" w:hAnsi="方正仿宋_GBK" w:eastAsia="方正仿宋_GBK"/>
          <w:sz w:val="32"/>
          <w:szCs w:val="32"/>
        </w:rPr>
        <w:t>25</w:t>
      </w:r>
      <w:r>
        <w:rPr>
          <w:rFonts w:hint="eastAsia" w:ascii="Times New Roman" w:hAnsi="方正仿宋_GBK" w:eastAsia="方正仿宋_GBK"/>
          <w:sz w:val="32"/>
          <w:szCs w:val="32"/>
        </w:rPr>
        <w:t>个月）至</w:t>
      </w:r>
      <w:r>
        <w:rPr>
          <w:rFonts w:ascii="Times New Roman" w:hAnsi="Times New Roman" w:eastAsia="方正仿宋_GBK"/>
          <w:sz w:val="32"/>
          <w:szCs w:val="32"/>
        </w:rPr>
        <w:t>48</w:t>
      </w:r>
      <w:r>
        <w:rPr>
          <w:rFonts w:hint="eastAsia" w:ascii="Times New Roman" w:hAnsi="Times New Roman" w:eastAsia="方正仿宋_GBK"/>
          <w:sz w:val="32"/>
          <w:szCs w:val="32"/>
        </w:rPr>
        <w:t>个月</w:t>
      </w:r>
      <w:r>
        <w:rPr>
          <w:rFonts w:hint="eastAsia" w:ascii="Times New Roman" w:hAnsi="方正仿宋_GBK" w:eastAsia="方正仿宋_GBK"/>
          <w:sz w:val="32"/>
          <w:szCs w:val="32"/>
        </w:rPr>
        <w:t>内（含</w:t>
      </w:r>
      <w:r>
        <w:rPr>
          <w:rFonts w:ascii="Times New Roman" w:hAnsi="方正仿宋_GBK" w:eastAsia="方正仿宋_GBK"/>
          <w:sz w:val="32"/>
          <w:szCs w:val="32"/>
        </w:rPr>
        <w:t>48</w:t>
      </w:r>
      <w:r>
        <w:rPr>
          <w:rFonts w:hint="eastAsia" w:ascii="Times New Roman" w:hAnsi="方正仿宋_GBK" w:eastAsia="方正仿宋_GBK"/>
          <w:sz w:val="32"/>
          <w:szCs w:val="32"/>
        </w:rPr>
        <w:t>个月）的，临时安置费标准为</w:t>
      </w:r>
      <w:r>
        <w:rPr>
          <w:rFonts w:ascii="Times New Roman" w:hAnsi="方正仿宋_GBK" w:eastAsia="方正仿宋_GBK"/>
          <w:sz w:val="32"/>
          <w:szCs w:val="32"/>
        </w:rPr>
        <w:t>每平方米每月</w:t>
      </w:r>
      <w:r>
        <w:rPr>
          <w:rFonts w:hint="eastAsia" w:ascii="Times New Roman" w:hAnsi="方正仿宋_GBK" w:eastAsia="方正仿宋_GBK"/>
          <w:sz w:val="32"/>
          <w:szCs w:val="32"/>
        </w:rPr>
        <w:t>20</w:t>
      </w:r>
      <w:r>
        <w:rPr>
          <w:rFonts w:ascii="Times New Roman" w:hAnsi="方正仿宋_GBK" w:eastAsia="方正仿宋_GBK"/>
          <w:sz w:val="32"/>
          <w:szCs w:val="32"/>
        </w:rPr>
        <w:t>元</w:t>
      </w:r>
      <w:r>
        <w:rPr>
          <w:rFonts w:hint="eastAsia" w:ascii="Times New Roman" w:hAnsi="方正仿宋_GBK" w:eastAsia="方正仿宋_GBK"/>
          <w:sz w:val="32"/>
          <w:szCs w:val="32"/>
        </w:rPr>
        <w:t>；因住房安置方的原因造成超过</w:t>
      </w:r>
      <w:r>
        <w:rPr>
          <w:rFonts w:ascii="Times New Roman" w:hAnsi="方正仿宋_GBK" w:eastAsia="方正仿宋_GBK"/>
          <w:sz w:val="32"/>
          <w:szCs w:val="32"/>
        </w:rPr>
        <w:t>48</w:t>
      </w:r>
      <w:r>
        <w:rPr>
          <w:rFonts w:hint="eastAsia" w:ascii="Times New Roman" w:hAnsi="方正仿宋_GBK" w:eastAsia="方正仿宋_GBK"/>
          <w:sz w:val="32"/>
          <w:szCs w:val="32"/>
        </w:rPr>
        <w:t>个月以上未安置住房的，临时安置费标准为</w:t>
      </w:r>
      <w:r>
        <w:rPr>
          <w:rFonts w:ascii="Times New Roman" w:hAnsi="方正仿宋_GBK" w:eastAsia="方正仿宋_GBK"/>
          <w:sz w:val="32"/>
          <w:szCs w:val="32"/>
        </w:rPr>
        <w:t>每平方米每月</w:t>
      </w:r>
      <w:r>
        <w:rPr>
          <w:rFonts w:hint="eastAsia" w:ascii="Times New Roman" w:hAnsi="方正仿宋_GBK" w:eastAsia="方正仿宋_GBK"/>
          <w:sz w:val="32"/>
          <w:szCs w:val="32"/>
        </w:rPr>
        <w:t>25</w:t>
      </w:r>
      <w:r>
        <w:rPr>
          <w:rFonts w:ascii="Times New Roman" w:hAnsi="方正仿宋_GBK" w:eastAsia="方正仿宋_GBK"/>
          <w:sz w:val="32"/>
          <w:szCs w:val="32"/>
        </w:rPr>
        <w:t>元</w:t>
      </w:r>
      <w:r>
        <w:rPr>
          <w:rFonts w:hint="eastAsia" w:ascii="Times New Roman" w:hAnsi="方正仿宋_GBK" w:eastAsia="方正仿宋_GBK"/>
          <w:sz w:val="32"/>
          <w:szCs w:val="32"/>
        </w:rPr>
        <w:t>。</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bCs/>
          <w:sz w:val="32"/>
          <w:szCs w:val="32"/>
        </w:rPr>
        <w:t>第二十九条【搬迁奖励】</w:t>
      </w:r>
      <w:r>
        <w:rPr>
          <w:rFonts w:hint="eastAsia" w:ascii="Times New Roman" w:hAnsi="方正仿宋_GBK" w:eastAsia="方正仿宋_GBK"/>
          <w:kern w:val="0"/>
          <w:sz w:val="32"/>
          <w:szCs w:val="32"/>
        </w:rPr>
        <w:t>在签约期限内</w:t>
      </w:r>
      <w:r>
        <w:rPr>
          <w:rFonts w:hint="eastAsia" w:ascii="Times New Roman" w:hAnsi="Times New Roman" w:eastAsia="方正仿宋_GBK"/>
          <w:sz w:val="32"/>
          <w:szCs w:val="32"/>
        </w:rPr>
        <w:t>办结人员安置和房屋拆迁手续并交出土地的，给予搬迁</w:t>
      </w:r>
      <w:r>
        <w:rPr>
          <w:rFonts w:hint="eastAsia" w:ascii="Times New Roman" w:hAnsi="Times New Roman" w:eastAsia="方正仿宋_GBK"/>
          <w:bCs/>
          <w:sz w:val="32"/>
          <w:szCs w:val="32"/>
        </w:rPr>
        <w:t>奖励，搬迁奖励标准为2000元/人</w:t>
      </w:r>
      <w:r>
        <w:rPr>
          <w:rFonts w:hint="eastAsia" w:ascii="Times New Roman" w:hAnsi="Times New Roman" w:eastAsia="方正仿宋_GBK"/>
          <w:sz w:val="32"/>
          <w:szCs w:val="32"/>
        </w:rPr>
        <w:t>。</w:t>
      </w:r>
      <w:r>
        <w:rPr>
          <w:rFonts w:hint="eastAsia" w:ascii="Times New Roman" w:hAnsi="Times New Roman" w:eastAsia="方正仿宋_GBK"/>
          <w:bCs/>
          <w:sz w:val="32"/>
          <w:szCs w:val="32"/>
        </w:rPr>
        <w:t>超出规定时间的，不予奖励。</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bCs/>
          <w:sz w:val="32"/>
          <w:szCs w:val="32"/>
        </w:rPr>
        <w:t>第三十条【残值收购】</w:t>
      </w:r>
      <w:r>
        <w:rPr>
          <w:rFonts w:hint="eastAsia" w:ascii="Times New Roman" w:hAnsi="Times New Roman" w:eastAsia="方正仿宋_GBK"/>
          <w:sz w:val="32"/>
          <w:szCs w:val="32"/>
        </w:rPr>
        <w:t>持有不动产权属证书或经认定为合法建筑的房屋，在被拆迁时可以向征地单位申请残值收购，残值收购后的房屋由征地单位拆除。残值收购标准按照其房屋价格补偿金额的3</w:t>
      </w:r>
      <w:r>
        <w:rPr>
          <w:rFonts w:ascii="Times New Roman" w:hAnsi="Times New Roman" w:eastAsia="方正仿宋_GBK"/>
          <w:sz w:val="32"/>
          <w:szCs w:val="32"/>
        </w:rPr>
        <w:t>%</w:t>
      </w:r>
      <w:r>
        <w:rPr>
          <w:rFonts w:hint="eastAsia" w:ascii="Times New Roman" w:hAnsi="Times New Roman" w:eastAsia="方正仿宋_GBK"/>
          <w:sz w:val="32"/>
          <w:szCs w:val="32"/>
        </w:rPr>
        <w:t>计算。</w:t>
      </w:r>
    </w:p>
    <w:p>
      <w:pPr>
        <w:pStyle w:val="9"/>
        <w:spacing w:line="600" w:lineRule="exact"/>
        <w:jc w:val="center"/>
        <w:rPr>
          <w:rFonts w:ascii="Times New Roman" w:hAnsi="Times New Roman" w:eastAsia="方正黑体_GBK" w:cs="Times New Roman"/>
          <w:color w:val="auto"/>
          <w:sz w:val="32"/>
          <w:szCs w:val="32"/>
        </w:rPr>
      </w:pPr>
    </w:p>
    <w:p>
      <w:pPr>
        <w:pStyle w:val="9"/>
        <w:spacing w:line="600" w:lineRule="exact"/>
        <w:jc w:val="center"/>
        <w:rPr>
          <w:rFonts w:ascii="Times New Roman" w:hAnsi="Times New Roman" w:eastAsia="方正黑体_GBK" w:cs="Times New Roman"/>
          <w:color w:val="auto"/>
          <w:sz w:val="32"/>
          <w:szCs w:val="32"/>
        </w:rPr>
      </w:pPr>
      <w:r>
        <w:rPr>
          <w:rFonts w:hint="eastAsia" w:ascii="Times New Roman" w:hAnsi="Times New Roman" w:eastAsia="方正黑体_GBK"/>
          <w:color w:val="auto"/>
          <w:sz w:val="32"/>
          <w:szCs w:val="32"/>
        </w:rPr>
        <w:t>第五章</w:t>
      </w:r>
      <w:r>
        <w:rPr>
          <w:rFonts w:ascii="Times New Roman" w:hAnsi="Times New Roman" w:eastAsia="方正黑体_GBK"/>
          <w:color w:val="auto"/>
          <w:sz w:val="32"/>
          <w:szCs w:val="32"/>
        </w:rPr>
        <w:t xml:space="preserve">    </w:t>
      </w:r>
      <w:r>
        <w:rPr>
          <w:rFonts w:hint="eastAsia" w:ascii="Times New Roman" w:hAnsi="Times New Roman" w:eastAsia="方正黑体_GBK" w:cs="Times New Roman"/>
          <w:color w:val="auto"/>
          <w:sz w:val="32"/>
          <w:szCs w:val="32"/>
        </w:rPr>
        <w:t>附则</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bCs/>
          <w:sz w:val="32"/>
          <w:szCs w:val="32"/>
        </w:rPr>
        <w:t>第三十一条【施行时间】</w:t>
      </w:r>
      <w:r>
        <w:rPr>
          <w:rFonts w:hint="eastAsia" w:ascii="Times New Roman" w:hAnsi="Times New Roman" w:eastAsia="方正仿宋_GBK"/>
          <w:sz w:val="32"/>
          <w:szCs w:val="32"/>
        </w:rPr>
        <w:t>本实施办法自</w:t>
      </w:r>
      <w:r>
        <w:rPr>
          <w:rFonts w:ascii="Times New Roman" w:hAnsi="Times New Roman" w:eastAsia="方正仿宋_GBK"/>
          <w:sz w:val="32"/>
          <w:szCs w:val="32"/>
        </w:rPr>
        <w:t>2021</w:t>
      </w:r>
      <w:r>
        <w:rPr>
          <w:rFonts w:hint="eastAsia" w:ascii="Times New Roman" w:hAnsi="Times New Roman" w:eastAsia="方正仿宋_GBK"/>
          <w:sz w:val="32"/>
          <w:szCs w:val="32"/>
        </w:rPr>
        <w:t>年7月1日起施行，原征地补偿安置标准与本实施办法规定不一致的，以本实施办法为准。</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《重庆市九龙坡区人民政府关于印发重庆市九龙坡区征地补偿安置实施细则的通知》（九龙坡府发﹝</w:t>
      </w:r>
      <w:r>
        <w:rPr>
          <w:rFonts w:ascii="Times New Roman" w:hAnsi="Times New Roman" w:eastAsia="方正仿宋_GBK"/>
          <w:sz w:val="32"/>
          <w:szCs w:val="32"/>
        </w:rPr>
        <w:t>2013</w:t>
      </w:r>
      <w:r>
        <w:rPr>
          <w:rFonts w:hint="eastAsia" w:ascii="Times New Roman" w:hAnsi="Times New Roman" w:eastAsia="方正仿宋_GBK"/>
          <w:sz w:val="32"/>
          <w:szCs w:val="32"/>
        </w:rPr>
        <w:t>﹞</w:t>
      </w:r>
      <w:r>
        <w:rPr>
          <w:rFonts w:ascii="Times New Roman" w:hAnsi="Times New Roman" w:eastAsia="方正仿宋_GBK"/>
          <w:sz w:val="32"/>
          <w:szCs w:val="32"/>
        </w:rPr>
        <w:t>17</w:t>
      </w:r>
      <w:r>
        <w:rPr>
          <w:rFonts w:hint="eastAsia" w:ascii="Times New Roman" w:hAnsi="Times New Roman" w:eastAsia="方正仿宋_GBK"/>
          <w:sz w:val="32"/>
          <w:szCs w:val="32"/>
        </w:rPr>
        <w:t>号）同时废止。</w:t>
      </w:r>
    </w:p>
    <w:p>
      <w:pPr>
        <w:pStyle w:val="9"/>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本实施办法施行前已经确定征地补偿安置方案的项目，按照原政策执行。</w:t>
      </w:r>
    </w:p>
    <w:p>
      <w:pPr>
        <w:pStyle w:val="9"/>
        <w:spacing w:line="600" w:lineRule="exact"/>
        <w:ind w:firstLine="640" w:firstLineChars="200"/>
        <w:rPr>
          <w:rFonts w:ascii="Times New Roman" w:hAnsi="Times New Roman" w:eastAsia="方正仿宋_GBK" w:cs="Times New Roman"/>
          <w:color w:val="auto"/>
          <w:sz w:val="32"/>
          <w:szCs w:val="32"/>
        </w:rPr>
      </w:pPr>
    </w:p>
    <w:p>
      <w:pPr>
        <w:pStyle w:val="9"/>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附件：1.九龙坡区农村房屋重置价格补偿标准</w:t>
      </w:r>
    </w:p>
    <w:p>
      <w:pPr>
        <w:pStyle w:val="9"/>
        <w:spacing w:line="600" w:lineRule="exact"/>
        <w:ind w:firstLine="1600" w:firstLineChars="5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2.九龙坡区征收集体土地构着物补偿标准</w:t>
      </w:r>
    </w:p>
    <w:p>
      <w:pPr>
        <w:pStyle w:val="9"/>
        <w:spacing w:line="600" w:lineRule="exact"/>
        <w:rPr>
          <w:rFonts w:ascii="方正黑体_GBK" w:hAnsi="方正仿宋_GBK" w:eastAsia="方正黑体_GBK" w:cs="方正仿宋_GBK"/>
          <w:color w:val="auto"/>
          <w:sz w:val="28"/>
          <w:szCs w:val="28"/>
        </w:rPr>
      </w:pPr>
    </w:p>
    <w:p>
      <w:pPr>
        <w:spacing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p>
    <w:p>
      <w:pPr>
        <w:pStyle w:val="9"/>
        <w:spacing w:line="600" w:lineRule="exact"/>
        <w:rPr>
          <w:rFonts w:ascii="方正黑体_GBK" w:hAnsi="方正仿宋_GBK" w:eastAsia="方正黑体_GBK" w:cs="方正仿宋_GBK"/>
          <w:color w:val="auto"/>
          <w:sz w:val="28"/>
          <w:szCs w:val="28"/>
        </w:rPr>
      </w:pPr>
      <w:r>
        <w:rPr>
          <w:rFonts w:hint="eastAsia" w:ascii="方正黑体_GBK" w:hAnsi="方正仿宋_GBK" w:eastAsia="方正黑体_GBK" w:cs="方正仿宋_GBK"/>
          <w:color w:val="auto"/>
          <w:sz w:val="28"/>
          <w:szCs w:val="28"/>
        </w:rPr>
        <w:t>附件1：</w:t>
      </w:r>
    </w:p>
    <w:p>
      <w:pPr>
        <w:snapToGrid w:val="0"/>
        <w:jc w:val="center"/>
        <w:rPr>
          <w:rFonts w:ascii="方正小标宋_GBK" w:eastAsia="方正小标宋_GBK"/>
          <w:sz w:val="36"/>
          <w:szCs w:val="36"/>
        </w:rPr>
      </w:pPr>
      <w:r>
        <w:rPr>
          <w:rFonts w:hint="eastAsia" w:ascii="方正小标宋_GBK" w:eastAsia="方正小标宋_GBK"/>
          <w:sz w:val="36"/>
          <w:szCs w:val="36"/>
        </w:rPr>
        <w:t>九龙坡区农村房屋重置价格补偿标准</w:t>
      </w:r>
    </w:p>
    <w:p>
      <w:pPr>
        <w:snapToGrid w:val="0"/>
        <w:rPr>
          <w:rFonts w:ascii="Times New Roman" w:eastAsia="方正仿宋_GBK"/>
          <w:sz w:val="32"/>
          <w:szCs w:val="32"/>
        </w:rPr>
      </w:pPr>
      <w:r>
        <w:t xml:space="preserve"> </w:t>
      </w:r>
    </w:p>
    <w:p>
      <w:pPr>
        <w:snapToGrid w:val="0"/>
        <w:jc w:val="right"/>
        <w:rPr>
          <w:rFonts w:hint="eastAsia" w:ascii="方正书宋_GBK" w:hAnsi="方正书宋_GBK"/>
          <w:sz w:val="24"/>
        </w:rPr>
      </w:pPr>
      <w:r>
        <w:rPr>
          <w:rFonts w:ascii="方正书宋_GBK" w:hAnsi="方正书宋_GBK"/>
          <w:sz w:val="24"/>
        </w:rPr>
        <w:t>单位：元</w:t>
      </w:r>
      <w:r>
        <w:rPr>
          <w:sz w:val="24"/>
        </w:rPr>
        <w:t>/</w:t>
      </w:r>
      <w:r>
        <w:rPr>
          <w:rFonts w:ascii="方正书宋_GBK" w:hAnsi="方正书宋_GBK"/>
          <w:sz w:val="24"/>
        </w:rPr>
        <w:t>平方米</w:t>
      </w:r>
    </w:p>
    <w:tbl>
      <w:tblPr>
        <w:tblStyle w:val="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43"/>
        <w:gridCol w:w="6327"/>
        <w:gridCol w:w="110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443" w:type="dxa"/>
            <w:vMerge w:val="restart"/>
            <w:tcBorders>
              <w:top w:val="single" w:color="auto" w:sz="6" w:space="0"/>
              <w:left w:val="single" w:color="auto" w:sz="6" w:space="0"/>
              <w:bottom w:val="single" w:color="auto" w:sz="2" w:space="0"/>
              <w:right w:val="single" w:color="auto" w:sz="2" w:space="0"/>
            </w:tcBorders>
            <w:tcMar>
              <w:top w:w="57" w:type="dxa"/>
              <w:left w:w="57" w:type="dxa"/>
              <w:bottom w:w="57" w:type="dxa"/>
              <w:right w:w="57" w:type="dxa"/>
            </w:tcMar>
            <w:vAlign w:val="center"/>
          </w:tcPr>
          <w:p>
            <w:pPr>
              <w:jc w:val="right"/>
              <w:rPr>
                <w:rFonts w:ascii="方正黑体_GBK" w:eastAsia="方正黑体_GBK"/>
                <w:sz w:val="24"/>
              </w:rPr>
            </w:pPr>
            <w:r>
              <w:rPr>
                <w:rFonts w:hint="eastAsia" w:ascii="方正黑体_GBK" w:eastAsia="方正黑体_GBK"/>
                <w:sz w:val="24"/>
              </w:rPr>
              <w:t>类别</w:t>
            </w:r>
          </w:p>
          <w:p>
            <w:pPr>
              <w:rPr>
                <w:rFonts w:ascii="方正黑体_GBK" w:eastAsia="方正黑体_GBK"/>
                <w:sz w:val="24"/>
              </w:rPr>
            </w:pPr>
            <w:r>
              <w:rPr>
                <w:rFonts w:hint="eastAsia" w:ascii="方正黑体_GBK" w:eastAsia="方正黑体_GBK"/>
                <w:sz w:val="24"/>
              </w:rPr>
              <w:t>结构</w:t>
            </w:r>
          </w:p>
        </w:tc>
        <w:tc>
          <w:tcPr>
            <w:tcW w:w="6327" w:type="dxa"/>
            <w:vMerge w:val="restart"/>
            <w:tcBorders>
              <w:top w:val="single" w:color="auto" w:sz="6" w:space="0"/>
              <w:left w:val="nil"/>
              <w:bottom w:val="single" w:color="auto" w:sz="2" w:space="0"/>
              <w:right w:val="single" w:color="auto" w:sz="2" w:space="0"/>
            </w:tcBorders>
            <w:tcMar>
              <w:top w:w="57" w:type="dxa"/>
              <w:left w:w="57" w:type="dxa"/>
              <w:bottom w:w="57" w:type="dxa"/>
              <w:right w:w="57" w:type="dxa"/>
            </w:tcMar>
            <w:vAlign w:val="center"/>
          </w:tcPr>
          <w:p>
            <w:pPr>
              <w:jc w:val="center"/>
              <w:rPr>
                <w:rFonts w:ascii="方正黑体_GBK" w:eastAsia="方正黑体_GBK"/>
                <w:sz w:val="24"/>
              </w:rPr>
            </w:pPr>
            <w:r>
              <w:rPr>
                <w:rFonts w:hint="eastAsia" w:ascii="方正黑体_GBK" w:eastAsia="方正黑体_GBK"/>
                <w:sz w:val="24"/>
              </w:rPr>
              <w:t>房  屋  结  构</w:t>
            </w:r>
          </w:p>
        </w:tc>
        <w:tc>
          <w:tcPr>
            <w:tcW w:w="1106" w:type="dxa"/>
            <w:vMerge w:val="restart"/>
            <w:tcBorders>
              <w:top w:val="single" w:color="auto" w:sz="6" w:space="0"/>
              <w:left w:val="nil"/>
              <w:bottom w:val="single" w:color="auto" w:sz="2" w:space="0"/>
              <w:right w:val="single" w:color="auto" w:sz="6" w:space="0"/>
            </w:tcBorders>
            <w:tcMar>
              <w:top w:w="57" w:type="dxa"/>
              <w:left w:w="57" w:type="dxa"/>
              <w:bottom w:w="57" w:type="dxa"/>
              <w:right w:w="57" w:type="dxa"/>
            </w:tcMar>
            <w:vAlign w:val="center"/>
          </w:tcPr>
          <w:p>
            <w:pPr>
              <w:jc w:val="center"/>
              <w:rPr>
                <w:rFonts w:ascii="方正黑体_GBK" w:eastAsia="方正黑体_GBK"/>
                <w:sz w:val="24"/>
              </w:rPr>
            </w:pPr>
            <w:r>
              <w:rPr>
                <w:rFonts w:hint="eastAsia" w:ascii="方正黑体_GBK" w:eastAsia="方正黑体_GBK"/>
                <w:sz w:val="24"/>
              </w:rPr>
              <w:t>补偿标准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443" w:type="dxa"/>
            <w:vMerge w:val="continue"/>
            <w:tcBorders>
              <w:top w:val="single" w:color="auto" w:sz="6" w:space="0"/>
              <w:left w:val="single" w:color="auto" w:sz="6" w:space="0"/>
              <w:bottom w:val="single" w:color="auto" w:sz="2" w:space="0"/>
              <w:right w:val="single" w:color="auto" w:sz="2" w:space="0"/>
            </w:tcBorders>
            <w:vAlign w:val="center"/>
          </w:tcPr>
          <w:p>
            <w:pPr>
              <w:widowControl/>
              <w:jc w:val="left"/>
              <w:rPr>
                <w:rFonts w:ascii="方正黑体_GBK" w:eastAsia="方正黑体_GBK"/>
                <w:sz w:val="24"/>
              </w:rPr>
            </w:pPr>
          </w:p>
        </w:tc>
        <w:tc>
          <w:tcPr>
            <w:tcW w:w="6327" w:type="dxa"/>
            <w:vMerge w:val="continue"/>
            <w:tcBorders>
              <w:top w:val="single" w:color="auto" w:sz="6" w:space="0"/>
              <w:left w:val="nil"/>
              <w:bottom w:val="single" w:color="auto" w:sz="2" w:space="0"/>
              <w:right w:val="single" w:color="auto" w:sz="2" w:space="0"/>
            </w:tcBorders>
            <w:vAlign w:val="center"/>
          </w:tcPr>
          <w:p>
            <w:pPr>
              <w:widowControl/>
              <w:jc w:val="left"/>
              <w:rPr>
                <w:rFonts w:ascii="方正黑体_GBK" w:eastAsia="方正黑体_GBK"/>
                <w:sz w:val="24"/>
              </w:rPr>
            </w:pPr>
          </w:p>
        </w:tc>
        <w:tc>
          <w:tcPr>
            <w:tcW w:w="1106" w:type="dxa"/>
            <w:vMerge w:val="continue"/>
            <w:tcBorders>
              <w:top w:val="single" w:color="auto" w:sz="6" w:space="0"/>
              <w:left w:val="nil"/>
              <w:bottom w:val="single" w:color="auto" w:sz="2" w:space="0"/>
              <w:right w:val="single" w:color="auto" w:sz="6" w:space="0"/>
            </w:tcBorders>
            <w:vAlign w:val="center"/>
          </w:tcPr>
          <w:p>
            <w:pPr>
              <w:widowControl/>
              <w:jc w:val="left"/>
              <w:rPr>
                <w:rFonts w:ascii="方正黑体_GBK" w:eastAsia="方正黑体_GBK"/>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443" w:type="dxa"/>
            <w:tcBorders>
              <w:top w:val="single" w:color="auto" w:sz="2" w:space="0"/>
              <w:left w:val="single" w:color="auto" w:sz="6" w:space="0"/>
              <w:bottom w:val="single" w:color="auto" w:sz="2" w:space="0"/>
              <w:right w:val="single" w:color="auto" w:sz="2" w:space="0"/>
            </w:tcBorders>
            <w:tcMar>
              <w:top w:w="57" w:type="dxa"/>
              <w:left w:w="57" w:type="dxa"/>
              <w:bottom w:w="57" w:type="dxa"/>
              <w:right w:w="57" w:type="dxa"/>
            </w:tcMar>
            <w:vAlign w:val="center"/>
          </w:tcPr>
          <w:p>
            <w:pPr>
              <w:jc w:val="center"/>
              <w:rPr>
                <w:rFonts w:hint="eastAsia" w:ascii="方正仿宋_GBK" w:hAnsi="方正书宋_GBK" w:eastAsia="方正仿宋_GBK"/>
                <w:sz w:val="24"/>
              </w:rPr>
            </w:pPr>
            <w:r>
              <w:rPr>
                <w:rFonts w:hint="eastAsia" w:ascii="方正仿宋_GBK" w:hAnsi="方正书宋_GBK" w:eastAsia="方正仿宋_GBK"/>
                <w:sz w:val="24"/>
              </w:rPr>
              <w:t>钢砼结构</w:t>
            </w:r>
          </w:p>
        </w:tc>
        <w:tc>
          <w:tcPr>
            <w:tcW w:w="6327" w:type="dxa"/>
            <w:tcBorders>
              <w:top w:val="single" w:color="auto" w:sz="2" w:space="0"/>
              <w:left w:val="nil"/>
              <w:bottom w:val="single" w:color="auto" w:sz="2" w:space="0"/>
              <w:right w:val="single" w:color="auto" w:sz="2" w:space="0"/>
            </w:tcBorders>
            <w:tcMar>
              <w:top w:w="57" w:type="dxa"/>
              <w:left w:w="57" w:type="dxa"/>
              <w:bottom w:w="57" w:type="dxa"/>
              <w:right w:w="57" w:type="dxa"/>
            </w:tcMar>
            <w:vAlign w:val="center"/>
          </w:tcPr>
          <w:p>
            <w:pPr>
              <w:rPr>
                <w:rFonts w:hint="eastAsia" w:ascii="方正仿宋_GBK" w:hAnsi="方正书宋_GBK" w:eastAsia="方正仿宋_GBK"/>
                <w:sz w:val="24"/>
              </w:rPr>
            </w:pPr>
            <w:r>
              <w:rPr>
                <w:rFonts w:hint="eastAsia" w:ascii="方正仿宋_GBK" w:hAnsi="方正书宋_GBK" w:eastAsia="方正仿宋_GBK"/>
                <w:sz w:val="24"/>
              </w:rPr>
              <w:t>框架（剪力墙）现浇盖</w:t>
            </w:r>
          </w:p>
        </w:tc>
        <w:tc>
          <w:tcPr>
            <w:tcW w:w="1106" w:type="dxa"/>
            <w:tcBorders>
              <w:top w:val="single" w:color="auto" w:sz="2" w:space="0"/>
              <w:left w:val="nil"/>
              <w:bottom w:val="single" w:color="auto" w:sz="2" w:space="0"/>
              <w:right w:val="single" w:color="auto" w:sz="6" w:space="0"/>
            </w:tcBorders>
            <w:tcMar>
              <w:top w:w="57" w:type="dxa"/>
              <w:left w:w="57" w:type="dxa"/>
              <w:bottom w:w="57" w:type="dxa"/>
              <w:right w:w="57" w:type="dxa"/>
            </w:tcMar>
            <w:vAlign w:val="center"/>
          </w:tcPr>
          <w:p>
            <w:pPr>
              <w:jc w:val="center"/>
              <w:rPr>
                <w:rFonts w:hint="eastAsia" w:ascii="方正仿宋_GBK" w:hAnsi="方正书宋_GBK" w:eastAsia="方正仿宋_GBK"/>
                <w:sz w:val="24"/>
              </w:rPr>
            </w:pPr>
            <w:r>
              <w:rPr>
                <w:rFonts w:hint="eastAsia" w:ascii="方正仿宋_GBK" w:eastAsia="方正仿宋_GBK"/>
                <w:sz w:val="24"/>
              </w:rPr>
              <w:t>1280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443" w:type="dxa"/>
            <w:tcBorders>
              <w:top w:val="single" w:color="auto" w:sz="2" w:space="0"/>
              <w:left w:val="single" w:color="auto" w:sz="6" w:space="0"/>
              <w:bottom w:val="single" w:color="auto" w:sz="2" w:space="0"/>
              <w:right w:val="single" w:color="auto" w:sz="2" w:space="0"/>
            </w:tcBorders>
            <w:tcMar>
              <w:top w:w="57" w:type="dxa"/>
              <w:left w:w="57" w:type="dxa"/>
              <w:bottom w:w="57" w:type="dxa"/>
              <w:right w:w="57" w:type="dxa"/>
            </w:tcMar>
            <w:vAlign w:val="center"/>
          </w:tcPr>
          <w:p>
            <w:pPr>
              <w:jc w:val="center"/>
              <w:rPr>
                <w:rFonts w:hint="eastAsia" w:ascii="方正仿宋_GBK" w:hAnsi="方正书宋_GBK" w:eastAsia="方正仿宋_GBK"/>
                <w:sz w:val="24"/>
              </w:rPr>
            </w:pPr>
            <w:r>
              <w:rPr>
                <w:rFonts w:hint="eastAsia" w:ascii="方正仿宋_GBK" w:hAnsi="方正书宋_GBK" w:eastAsia="方正仿宋_GBK"/>
                <w:sz w:val="24"/>
              </w:rPr>
              <w:t>砖混结构</w:t>
            </w:r>
          </w:p>
        </w:tc>
        <w:tc>
          <w:tcPr>
            <w:tcW w:w="6327" w:type="dxa"/>
            <w:tcBorders>
              <w:top w:val="single" w:color="auto" w:sz="2" w:space="0"/>
              <w:left w:val="nil"/>
              <w:bottom w:val="single" w:color="auto" w:sz="2" w:space="0"/>
              <w:right w:val="single" w:color="auto" w:sz="2" w:space="0"/>
            </w:tcBorders>
            <w:tcMar>
              <w:top w:w="57" w:type="dxa"/>
              <w:left w:w="57" w:type="dxa"/>
              <w:bottom w:w="57" w:type="dxa"/>
              <w:right w:w="57" w:type="dxa"/>
            </w:tcMar>
            <w:vAlign w:val="center"/>
          </w:tcPr>
          <w:p>
            <w:pPr>
              <w:rPr>
                <w:rFonts w:hint="eastAsia" w:ascii="方正仿宋_GBK" w:hAnsi="方正书宋_GBK" w:eastAsia="方正仿宋_GBK"/>
                <w:sz w:val="24"/>
              </w:rPr>
            </w:pPr>
            <w:r>
              <w:rPr>
                <w:rFonts w:hint="eastAsia" w:ascii="方正仿宋_GBK" w:hAnsi="方正书宋_GBK" w:eastAsia="方正仿宋_GBK"/>
                <w:sz w:val="24"/>
              </w:rPr>
              <w:t>砖墙（条石）预制盖</w:t>
            </w:r>
          </w:p>
        </w:tc>
        <w:tc>
          <w:tcPr>
            <w:tcW w:w="1106" w:type="dxa"/>
            <w:tcBorders>
              <w:top w:val="single" w:color="auto" w:sz="2" w:space="0"/>
              <w:left w:val="nil"/>
              <w:bottom w:val="single" w:color="auto" w:sz="2" w:space="0"/>
              <w:right w:val="single" w:color="auto" w:sz="6" w:space="0"/>
            </w:tcBorders>
            <w:tcMar>
              <w:top w:w="57" w:type="dxa"/>
              <w:left w:w="57" w:type="dxa"/>
              <w:bottom w:w="57" w:type="dxa"/>
              <w:right w:w="57" w:type="dxa"/>
            </w:tcMar>
            <w:vAlign w:val="center"/>
          </w:tcPr>
          <w:p>
            <w:pPr>
              <w:jc w:val="center"/>
              <w:rPr>
                <w:rFonts w:hint="eastAsia" w:ascii="方正仿宋_GBK" w:hAnsi="方正书宋_GBK" w:eastAsia="方正仿宋_GBK"/>
                <w:sz w:val="24"/>
              </w:rPr>
            </w:pPr>
            <w:r>
              <w:rPr>
                <w:rFonts w:hint="eastAsia" w:ascii="方正仿宋_GBK" w:eastAsia="方正仿宋_GBK"/>
                <w:sz w:val="24"/>
              </w:rPr>
              <w:t>1020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443" w:type="dxa"/>
            <w:vMerge w:val="restart"/>
            <w:tcBorders>
              <w:top w:val="nil"/>
              <w:left w:val="single" w:color="auto" w:sz="6" w:space="0"/>
              <w:bottom w:val="single" w:color="auto" w:sz="2" w:space="0"/>
              <w:right w:val="single" w:color="auto" w:sz="2" w:space="0"/>
            </w:tcBorders>
            <w:tcMar>
              <w:top w:w="57" w:type="dxa"/>
              <w:left w:w="57" w:type="dxa"/>
              <w:bottom w:w="57" w:type="dxa"/>
              <w:right w:w="57" w:type="dxa"/>
            </w:tcMar>
            <w:vAlign w:val="center"/>
          </w:tcPr>
          <w:p>
            <w:pPr>
              <w:jc w:val="center"/>
              <w:rPr>
                <w:rFonts w:hint="eastAsia" w:ascii="方正仿宋_GBK" w:hAnsi="方正书宋_GBK" w:eastAsia="方正仿宋_GBK"/>
                <w:sz w:val="24"/>
              </w:rPr>
            </w:pPr>
            <w:r>
              <w:rPr>
                <w:rFonts w:hint="eastAsia" w:ascii="方正仿宋_GBK" w:hAnsi="方正书宋_GBK" w:eastAsia="方正仿宋_GBK"/>
                <w:sz w:val="24"/>
              </w:rPr>
              <w:t>砖木结构</w:t>
            </w:r>
          </w:p>
        </w:tc>
        <w:tc>
          <w:tcPr>
            <w:tcW w:w="6327" w:type="dxa"/>
            <w:tcBorders>
              <w:top w:val="single" w:color="auto" w:sz="2" w:space="0"/>
              <w:left w:val="nil"/>
              <w:bottom w:val="single" w:color="auto" w:sz="2" w:space="0"/>
              <w:right w:val="single" w:color="auto" w:sz="2" w:space="0"/>
            </w:tcBorders>
            <w:tcMar>
              <w:top w:w="57" w:type="dxa"/>
              <w:left w:w="57" w:type="dxa"/>
              <w:bottom w:w="57" w:type="dxa"/>
              <w:right w:w="57" w:type="dxa"/>
            </w:tcMar>
            <w:vAlign w:val="center"/>
          </w:tcPr>
          <w:p>
            <w:pPr>
              <w:rPr>
                <w:rFonts w:hint="eastAsia" w:ascii="方正仿宋_GBK" w:hAnsi="方正书宋_GBK" w:eastAsia="方正仿宋_GBK"/>
                <w:sz w:val="24"/>
              </w:rPr>
            </w:pPr>
            <w:r>
              <w:rPr>
                <w:rFonts w:hint="eastAsia" w:ascii="方正仿宋_GBK" w:hAnsi="方正书宋_GBK" w:eastAsia="方正仿宋_GBK"/>
                <w:sz w:val="24"/>
              </w:rPr>
              <w:t>砖墙（木板）穿逗瓦盖</w:t>
            </w:r>
          </w:p>
        </w:tc>
        <w:tc>
          <w:tcPr>
            <w:tcW w:w="1106" w:type="dxa"/>
            <w:tcBorders>
              <w:top w:val="single" w:color="auto" w:sz="2" w:space="0"/>
              <w:left w:val="nil"/>
              <w:bottom w:val="single" w:color="auto" w:sz="2" w:space="0"/>
              <w:right w:val="single" w:color="auto" w:sz="6" w:space="0"/>
            </w:tcBorders>
            <w:tcMar>
              <w:top w:w="57" w:type="dxa"/>
              <w:left w:w="57" w:type="dxa"/>
              <w:bottom w:w="57" w:type="dxa"/>
              <w:right w:w="57" w:type="dxa"/>
            </w:tcMar>
            <w:vAlign w:val="center"/>
          </w:tcPr>
          <w:p>
            <w:pPr>
              <w:jc w:val="center"/>
              <w:rPr>
                <w:rFonts w:hint="eastAsia" w:ascii="方正仿宋_GBK" w:hAnsi="方正书宋_GBK" w:eastAsia="方正仿宋_GBK"/>
                <w:sz w:val="24"/>
              </w:rPr>
            </w:pPr>
            <w:r>
              <w:rPr>
                <w:rFonts w:hint="eastAsia" w:ascii="方正仿宋_GBK" w:eastAsia="方正仿宋_GBK"/>
                <w:sz w:val="24"/>
              </w:rPr>
              <w:t>860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443" w:type="dxa"/>
            <w:vMerge w:val="continue"/>
            <w:tcBorders>
              <w:top w:val="nil"/>
              <w:left w:val="single" w:color="auto" w:sz="6" w:space="0"/>
              <w:bottom w:val="single" w:color="auto" w:sz="2" w:space="0"/>
              <w:right w:val="single" w:color="auto" w:sz="2" w:space="0"/>
            </w:tcBorders>
            <w:vAlign w:val="center"/>
          </w:tcPr>
          <w:p>
            <w:pPr>
              <w:widowControl/>
              <w:jc w:val="left"/>
              <w:rPr>
                <w:rFonts w:hint="eastAsia" w:ascii="方正仿宋_GBK" w:hAnsi="方正书宋_GBK" w:eastAsia="方正仿宋_GBK"/>
                <w:sz w:val="24"/>
              </w:rPr>
            </w:pPr>
          </w:p>
        </w:tc>
        <w:tc>
          <w:tcPr>
            <w:tcW w:w="6327" w:type="dxa"/>
            <w:tcBorders>
              <w:top w:val="single" w:color="auto" w:sz="2" w:space="0"/>
              <w:left w:val="nil"/>
              <w:bottom w:val="single" w:color="auto" w:sz="2" w:space="0"/>
              <w:right w:val="single" w:color="auto" w:sz="2" w:space="0"/>
            </w:tcBorders>
            <w:tcMar>
              <w:top w:w="57" w:type="dxa"/>
              <w:left w:w="57" w:type="dxa"/>
              <w:bottom w:w="57" w:type="dxa"/>
              <w:right w:w="57" w:type="dxa"/>
            </w:tcMar>
            <w:vAlign w:val="center"/>
          </w:tcPr>
          <w:p>
            <w:pPr>
              <w:rPr>
                <w:rFonts w:hint="eastAsia" w:ascii="方正仿宋_GBK" w:hAnsi="方正书宋_GBK" w:eastAsia="方正仿宋_GBK"/>
                <w:sz w:val="24"/>
              </w:rPr>
            </w:pPr>
            <w:r>
              <w:rPr>
                <w:rFonts w:hint="eastAsia" w:ascii="方正仿宋_GBK" w:hAnsi="方正书宋_GBK" w:eastAsia="方正仿宋_GBK"/>
                <w:sz w:val="24"/>
              </w:rPr>
              <w:t>砖墙（片石）瓦盖</w:t>
            </w:r>
          </w:p>
        </w:tc>
        <w:tc>
          <w:tcPr>
            <w:tcW w:w="1106" w:type="dxa"/>
            <w:tcBorders>
              <w:top w:val="single" w:color="auto" w:sz="2" w:space="0"/>
              <w:left w:val="nil"/>
              <w:bottom w:val="single" w:color="auto" w:sz="2" w:space="0"/>
              <w:right w:val="single" w:color="auto" w:sz="6" w:space="0"/>
            </w:tcBorders>
            <w:tcMar>
              <w:top w:w="57" w:type="dxa"/>
              <w:left w:w="57" w:type="dxa"/>
              <w:bottom w:w="57" w:type="dxa"/>
              <w:right w:w="57" w:type="dxa"/>
            </w:tcMar>
            <w:vAlign w:val="center"/>
          </w:tcPr>
          <w:p>
            <w:pPr>
              <w:jc w:val="center"/>
              <w:rPr>
                <w:rFonts w:hint="eastAsia" w:ascii="方正仿宋_GBK" w:hAnsi="方正书宋_GBK" w:eastAsia="方正仿宋_GBK"/>
                <w:sz w:val="24"/>
              </w:rPr>
            </w:pPr>
            <w:r>
              <w:rPr>
                <w:rFonts w:hint="eastAsia" w:ascii="方正仿宋_GBK" w:eastAsia="方正仿宋_GBK"/>
                <w:sz w:val="24"/>
              </w:rPr>
              <w:t>820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443" w:type="dxa"/>
            <w:vMerge w:val="continue"/>
            <w:tcBorders>
              <w:top w:val="nil"/>
              <w:left w:val="single" w:color="auto" w:sz="6" w:space="0"/>
              <w:bottom w:val="single" w:color="auto" w:sz="2" w:space="0"/>
              <w:right w:val="single" w:color="auto" w:sz="2" w:space="0"/>
            </w:tcBorders>
            <w:vAlign w:val="center"/>
          </w:tcPr>
          <w:p>
            <w:pPr>
              <w:widowControl/>
              <w:jc w:val="left"/>
              <w:rPr>
                <w:rFonts w:hint="eastAsia" w:ascii="方正仿宋_GBK" w:hAnsi="方正书宋_GBK" w:eastAsia="方正仿宋_GBK"/>
                <w:sz w:val="24"/>
              </w:rPr>
            </w:pPr>
          </w:p>
        </w:tc>
        <w:tc>
          <w:tcPr>
            <w:tcW w:w="6327" w:type="dxa"/>
            <w:tcBorders>
              <w:top w:val="single" w:color="auto" w:sz="2" w:space="0"/>
              <w:left w:val="nil"/>
              <w:bottom w:val="single" w:color="auto" w:sz="2" w:space="0"/>
              <w:right w:val="single" w:color="auto" w:sz="2" w:space="0"/>
            </w:tcBorders>
            <w:tcMar>
              <w:top w:w="57" w:type="dxa"/>
              <w:left w:w="57" w:type="dxa"/>
              <w:bottom w:w="57" w:type="dxa"/>
              <w:right w:w="57" w:type="dxa"/>
            </w:tcMar>
            <w:vAlign w:val="center"/>
          </w:tcPr>
          <w:p>
            <w:pPr>
              <w:rPr>
                <w:rFonts w:hint="eastAsia" w:ascii="方正仿宋_GBK" w:hAnsi="方正书宋_GBK" w:eastAsia="方正仿宋_GBK"/>
                <w:sz w:val="24"/>
              </w:rPr>
            </w:pPr>
            <w:r>
              <w:rPr>
                <w:rFonts w:hint="eastAsia" w:ascii="方正仿宋_GBK" w:hAnsi="方正书宋_GBK" w:eastAsia="方正仿宋_GBK"/>
                <w:sz w:val="24"/>
              </w:rPr>
              <w:t>砖墙石棉瓦盖（油毡、玻纤瓦、彩钢盖）</w:t>
            </w:r>
          </w:p>
        </w:tc>
        <w:tc>
          <w:tcPr>
            <w:tcW w:w="1106" w:type="dxa"/>
            <w:tcBorders>
              <w:top w:val="single" w:color="auto" w:sz="2" w:space="0"/>
              <w:left w:val="nil"/>
              <w:bottom w:val="single" w:color="auto" w:sz="2" w:space="0"/>
              <w:right w:val="single" w:color="auto" w:sz="6" w:space="0"/>
            </w:tcBorders>
            <w:tcMar>
              <w:top w:w="57" w:type="dxa"/>
              <w:left w:w="57" w:type="dxa"/>
              <w:bottom w:w="57" w:type="dxa"/>
              <w:right w:w="57" w:type="dxa"/>
            </w:tcMar>
            <w:vAlign w:val="center"/>
          </w:tcPr>
          <w:p>
            <w:pPr>
              <w:jc w:val="center"/>
              <w:rPr>
                <w:rFonts w:hint="eastAsia" w:ascii="方正仿宋_GBK" w:hAnsi="方正书宋_GBK" w:eastAsia="方正仿宋_GBK"/>
                <w:sz w:val="24"/>
              </w:rPr>
            </w:pPr>
            <w:r>
              <w:rPr>
                <w:rFonts w:hint="eastAsia" w:ascii="方正仿宋_GBK" w:eastAsia="方正仿宋_GBK"/>
                <w:sz w:val="24"/>
              </w:rPr>
              <w:t>720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443" w:type="dxa"/>
            <w:vMerge w:val="restart"/>
            <w:tcBorders>
              <w:top w:val="nil"/>
              <w:left w:val="single" w:color="auto" w:sz="6" w:space="0"/>
              <w:bottom w:val="single" w:color="auto" w:sz="2" w:space="0"/>
              <w:right w:val="single" w:color="auto" w:sz="2" w:space="0"/>
            </w:tcBorders>
            <w:tcMar>
              <w:top w:w="57" w:type="dxa"/>
              <w:left w:w="57" w:type="dxa"/>
              <w:bottom w:w="57" w:type="dxa"/>
              <w:right w:w="57" w:type="dxa"/>
            </w:tcMar>
            <w:vAlign w:val="center"/>
          </w:tcPr>
          <w:p>
            <w:pPr>
              <w:jc w:val="center"/>
              <w:rPr>
                <w:rFonts w:hint="eastAsia" w:ascii="方正仿宋_GBK" w:hAnsi="方正书宋_GBK" w:eastAsia="方正仿宋_GBK"/>
                <w:sz w:val="24"/>
              </w:rPr>
            </w:pPr>
            <w:r>
              <w:rPr>
                <w:rFonts w:hint="eastAsia" w:ascii="方正仿宋_GBK" w:hAnsi="方正书宋_GBK" w:eastAsia="方正仿宋_GBK"/>
                <w:sz w:val="24"/>
              </w:rPr>
              <w:t>土墙结构</w:t>
            </w:r>
          </w:p>
        </w:tc>
        <w:tc>
          <w:tcPr>
            <w:tcW w:w="6327" w:type="dxa"/>
            <w:tcBorders>
              <w:top w:val="single" w:color="auto" w:sz="2" w:space="0"/>
              <w:left w:val="nil"/>
              <w:bottom w:val="single" w:color="auto" w:sz="2" w:space="0"/>
              <w:right w:val="single" w:color="auto" w:sz="2" w:space="0"/>
            </w:tcBorders>
            <w:tcMar>
              <w:top w:w="57" w:type="dxa"/>
              <w:left w:w="57" w:type="dxa"/>
              <w:bottom w:w="57" w:type="dxa"/>
              <w:right w:w="57" w:type="dxa"/>
            </w:tcMar>
            <w:vAlign w:val="center"/>
          </w:tcPr>
          <w:p>
            <w:pPr>
              <w:rPr>
                <w:rFonts w:hint="eastAsia" w:ascii="方正仿宋_GBK" w:hAnsi="方正书宋_GBK" w:eastAsia="方正仿宋_GBK"/>
                <w:sz w:val="24"/>
              </w:rPr>
            </w:pPr>
            <w:r>
              <w:rPr>
                <w:rFonts w:hint="eastAsia" w:ascii="方正仿宋_GBK" w:hAnsi="方正书宋_GBK" w:eastAsia="方正仿宋_GBK"/>
                <w:sz w:val="24"/>
              </w:rPr>
              <w:t>土墙瓦盖</w:t>
            </w:r>
          </w:p>
        </w:tc>
        <w:tc>
          <w:tcPr>
            <w:tcW w:w="1106" w:type="dxa"/>
            <w:tcBorders>
              <w:top w:val="single" w:color="auto" w:sz="2" w:space="0"/>
              <w:left w:val="nil"/>
              <w:bottom w:val="single" w:color="auto" w:sz="2" w:space="0"/>
              <w:right w:val="single" w:color="auto" w:sz="6" w:space="0"/>
            </w:tcBorders>
            <w:tcMar>
              <w:top w:w="57" w:type="dxa"/>
              <w:left w:w="57" w:type="dxa"/>
              <w:bottom w:w="57" w:type="dxa"/>
              <w:right w:w="57" w:type="dxa"/>
            </w:tcMar>
            <w:vAlign w:val="center"/>
          </w:tcPr>
          <w:p>
            <w:pPr>
              <w:jc w:val="center"/>
              <w:rPr>
                <w:rFonts w:hint="eastAsia" w:ascii="方正仿宋_GBK" w:hAnsi="方正书宋_GBK" w:eastAsia="方正仿宋_GBK"/>
                <w:sz w:val="24"/>
              </w:rPr>
            </w:pPr>
            <w:r>
              <w:rPr>
                <w:rFonts w:hint="eastAsia" w:ascii="方正仿宋_GBK" w:eastAsia="方正仿宋_GBK"/>
                <w:sz w:val="24"/>
              </w:rPr>
              <w:t>490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443" w:type="dxa"/>
            <w:vMerge w:val="continue"/>
            <w:tcBorders>
              <w:top w:val="nil"/>
              <w:left w:val="single" w:color="auto" w:sz="6" w:space="0"/>
              <w:bottom w:val="single" w:color="auto" w:sz="2" w:space="0"/>
              <w:right w:val="single" w:color="auto" w:sz="2" w:space="0"/>
            </w:tcBorders>
            <w:vAlign w:val="center"/>
          </w:tcPr>
          <w:p>
            <w:pPr>
              <w:widowControl/>
              <w:jc w:val="left"/>
              <w:rPr>
                <w:rFonts w:hint="eastAsia" w:ascii="方正仿宋_GBK" w:hAnsi="方正书宋_GBK" w:eastAsia="方正仿宋_GBK"/>
                <w:sz w:val="24"/>
              </w:rPr>
            </w:pPr>
          </w:p>
        </w:tc>
        <w:tc>
          <w:tcPr>
            <w:tcW w:w="6327" w:type="dxa"/>
            <w:tcBorders>
              <w:top w:val="single" w:color="auto" w:sz="2" w:space="0"/>
              <w:left w:val="nil"/>
              <w:bottom w:val="single" w:color="auto" w:sz="2" w:space="0"/>
              <w:right w:val="single" w:color="auto" w:sz="2" w:space="0"/>
            </w:tcBorders>
            <w:tcMar>
              <w:top w:w="57" w:type="dxa"/>
              <w:left w:w="57" w:type="dxa"/>
              <w:bottom w:w="57" w:type="dxa"/>
              <w:right w:w="57" w:type="dxa"/>
            </w:tcMar>
            <w:vAlign w:val="center"/>
          </w:tcPr>
          <w:p>
            <w:pPr>
              <w:rPr>
                <w:rFonts w:hint="eastAsia" w:ascii="方正仿宋_GBK" w:hAnsi="方正书宋_GBK" w:eastAsia="方正仿宋_GBK"/>
                <w:sz w:val="24"/>
              </w:rPr>
            </w:pPr>
            <w:r>
              <w:rPr>
                <w:rFonts w:hint="eastAsia" w:ascii="方正仿宋_GBK" w:hAnsi="方正书宋_GBK" w:eastAsia="方正仿宋_GBK"/>
                <w:sz w:val="24"/>
              </w:rPr>
              <w:t>石棉瓦、玻纤瓦盖</w:t>
            </w:r>
          </w:p>
        </w:tc>
        <w:tc>
          <w:tcPr>
            <w:tcW w:w="1106" w:type="dxa"/>
            <w:tcBorders>
              <w:top w:val="single" w:color="auto" w:sz="2" w:space="0"/>
              <w:left w:val="nil"/>
              <w:bottom w:val="single" w:color="auto" w:sz="2" w:space="0"/>
              <w:right w:val="single" w:color="auto" w:sz="6" w:space="0"/>
            </w:tcBorders>
            <w:tcMar>
              <w:top w:w="57" w:type="dxa"/>
              <w:left w:w="57" w:type="dxa"/>
              <w:bottom w:w="57" w:type="dxa"/>
              <w:right w:w="57" w:type="dxa"/>
            </w:tcMar>
            <w:vAlign w:val="center"/>
          </w:tcPr>
          <w:p>
            <w:pPr>
              <w:jc w:val="center"/>
              <w:rPr>
                <w:rFonts w:hint="eastAsia" w:ascii="方正仿宋_GBK" w:hAnsi="方正书宋_GBK" w:eastAsia="方正仿宋_GBK"/>
                <w:sz w:val="24"/>
              </w:rPr>
            </w:pPr>
            <w:r>
              <w:rPr>
                <w:rFonts w:hint="eastAsia" w:ascii="方正仿宋_GBK" w:eastAsia="方正仿宋_GBK"/>
                <w:sz w:val="24"/>
              </w:rPr>
              <w:t>430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443" w:type="dxa"/>
            <w:vMerge w:val="restart"/>
            <w:tcBorders>
              <w:top w:val="nil"/>
              <w:left w:val="single" w:color="auto" w:sz="6" w:space="0"/>
              <w:bottom w:val="single" w:color="auto" w:sz="2" w:space="0"/>
              <w:right w:val="single" w:color="auto" w:sz="2" w:space="0"/>
            </w:tcBorders>
            <w:tcMar>
              <w:top w:w="57" w:type="dxa"/>
              <w:left w:w="57" w:type="dxa"/>
              <w:bottom w:w="57" w:type="dxa"/>
              <w:right w:w="57" w:type="dxa"/>
            </w:tcMar>
            <w:vAlign w:val="center"/>
          </w:tcPr>
          <w:p>
            <w:pPr>
              <w:jc w:val="center"/>
              <w:rPr>
                <w:rFonts w:hint="eastAsia" w:ascii="方正仿宋_GBK" w:hAnsi="方正书宋_GBK" w:eastAsia="方正仿宋_GBK"/>
                <w:sz w:val="24"/>
              </w:rPr>
            </w:pPr>
            <w:r>
              <w:rPr>
                <w:rFonts w:hint="eastAsia" w:ascii="方正仿宋_GBK" w:hAnsi="方正书宋_GBK" w:eastAsia="方正仿宋_GBK"/>
                <w:sz w:val="24"/>
              </w:rPr>
              <w:t>简易结构</w:t>
            </w:r>
          </w:p>
        </w:tc>
        <w:tc>
          <w:tcPr>
            <w:tcW w:w="6327" w:type="dxa"/>
            <w:tcBorders>
              <w:top w:val="single" w:color="auto" w:sz="2" w:space="0"/>
              <w:left w:val="nil"/>
              <w:bottom w:val="single" w:color="auto" w:sz="2" w:space="0"/>
              <w:right w:val="single" w:color="auto" w:sz="2" w:space="0"/>
            </w:tcBorders>
            <w:tcMar>
              <w:top w:w="57" w:type="dxa"/>
              <w:left w:w="57" w:type="dxa"/>
              <w:bottom w:w="57" w:type="dxa"/>
              <w:right w:w="57" w:type="dxa"/>
            </w:tcMar>
            <w:vAlign w:val="center"/>
          </w:tcPr>
          <w:p>
            <w:pPr>
              <w:rPr>
                <w:rFonts w:hint="eastAsia" w:ascii="方正仿宋_GBK" w:hAnsi="方正书宋_GBK" w:eastAsia="方正仿宋_GBK"/>
                <w:spacing w:val="-4"/>
                <w:sz w:val="24"/>
              </w:rPr>
            </w:pPr>
            <w:r>
              <w:rPr>
                <w:rFonts w:hint="eastAsia" w:ascii="方正仿宋_GBK" w:hAnsi="方正书宋_GBK" w:eastAsia="方正仿宋_GBK"/>
                <w:spacing w:val="-4"/>
                <w:sz w:val="24"/>
              </w:rPr>
              <w:t>砖柱（石柱、木柱、钢柱）石棉瓦盖（油毡、玻纤瓦、彩钢盖）</w:t>
            </w:r>
          </w:p>
        </w:tc>
        <w:tc>
          <w:tcPr>
            <w:tcW w:w="1106" w:type="dxa"/>
            <w:tcBorders>
              <w:top w:val="single" w:color="auto" w:sz="2" w:space="0"/>
              <w:left w:val="nil"/>
              <w:bottom w:val="single" w:color="auto" w:sz="2" w:space="0"/>
              <w:right w:val="single" w:color="auto" w:sz="6" w:space="0"/>
            </w:tcBorders>
            <w:tcMar>
              <w:top w:w="57" w:type="dxa"/>
              <w:left w:w="57" w:type="dxa"/>
              <w:bottom w:w="57" w:type="dxa"/>
              <w:right w:w="57" w:type="dxa"/>
            </w:tcMar>
            <w:vAlign w:val="center"/>
          </w:tcPr>
          <w:p>
            <w:pPr>
              <w:jc w:val="center"/>
              <w:rPr>
                <w:rFonts w:hint="eastAsia" w:ascii="方正仿宋_GBK" w:hAnsi="方正书宋_GBK" w:eastAsia="方正仿宋_GBK"/>
                <w:sz w:val="24"/>
              </w:rPr>
            </w:pPr>
            <w:r>
              <w:rPr>
                <w:rFonts w:hint="eastAsia" w:ascii="方正仿宋_GBK" w:eastAsia="方正仿宋_GBK"/>
                <w:sz w:val="24"/>
              </w:rPr>
              <w:t>240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443" w:type="dxa"/>
            <w:vMerge w:val="continue"/>
            <w:tcBorders>
              <w:top w:val="nil"/>
              <w:left w:val="single" w:color="auto" w:sz="6" w:space="0"/>
              <w:bottom w:val="single" w:color="auto" w:sz="2" w:space="0"/>
              <w:right w:val="single" w:color="auto" w:sz="2" w:space="0"/>
            </w:tcBorders>
            <w:vAlign w:val="center"/>
          </w:tcPr>
          <w:p>
            <w:pPr>
              <w:widowControl/>
              <w:jc w:val="left"/>
              <w:rPr>
                <w:rFonts w:hint="eastAsia" w:ascii="方正仿宋_GBK" w:hAnsi="方正书宋_GBK" w:eastAsia="方正仿宋_GBK"/>
                <w:sz w:val="24"/>
              </w:rPr>
            </w:pPr>
          </w:p>
        </w:tc>
        <w:tc>
          <w:tcPr>
            <w:tcW w:w="6327" w:type="dxa"/>
            <w:tcBorders>
              <w:top w:val="single" w:color="auto" w:sz="2" w:space="0"/>
              <w:left w:val="nil"/>
              <w:bottom w:val="single" w:color="auto" w:sz="6" w:space="0"/>
              <w:right w:val="single" w:color="auto" w:sz="2" w:space="0"/>
            </w:tcBorders>
            <w:tcMar>
              <w:top w:w="57" w:type="dxa"/>
              <w:left w:w="57" w:type="dxa"/>
              <w:bottom w:w="57" w:type="dxa"/>
              <w:right w:w="57" w:type="dxa"/>
            </w:tcMar>
            <w:vAlign w:val="center"/>
          </w:tcPr>
          <w:p>
            <w:pPr>
              <w:rPr>
                <w:rFonts w:hint="eastAsia" w:ascii="方正仿宋_GBK" w:hAnsi="方正书宋_GBK" w:eastAsia="方正仿宋_GBK"/>
                <w:sz w:val="24"/>
              </w:rPr>
            </w:pPr>
            <w:r>
              <w:rPr>
                <w:rFonts w:hint="eastAsia" w:ascii="方正仿宋_GBK" w:hAnsi="方正书宋_GBK" w:eastAsia="方正仿宋_GBK"/>
                <w:sz w:val="24"/>
              </w:rPr>
              <w:t>简易棚房</w:t>
            </w:r>
          </w:p>
        </w:tc>
        <w:tc>
          <w:tcPr>
            <w:tcW w:w="1106" w:type="dxa"/>
            <w:tcBorders>
              <w:top w:val="single" w:color="auto" w:sz="2" w:space="0"/>
              <w:left w:val="nil"/>
              <w:bottom w:val="single" w:color="auto" w:sz="6" w:space="0"/>
              <w:right w:val="single" w:color="auto" w:sz="6" w:space="0"/>
            </w:tcBorders>
            <w:tcMar>
              <w:top w:w="57" w:type="dxa"/>
              <w:left w:w="57" w:type="dxa"/>
              <w:bottom w:w="57" w:type="dxa"/>
              <w:right w:w="57" w:type="dxa"/>
            </w:tcMar>
            <w:vAlign w:val="center"/>
          </w:tcPr>
          <w:p>
            <w:pPr>
              <w:jc w:val="center"/>
              <w:rPr>
                <w:rFonts w:hint="eastAsia" w:ascii="方正仿宋_GBK" w:hAnsi="方正书宋_GBK" w:eastAsia="方正仿宋_GBK"/>
                <w:sz w:val="24"/>
              </w:rPr>
            </w:pPr>
            <w:r>
              <w:rPr>
                <w:rFonts w:hint="eastAsia" w:ascii="方正仿宋_GBK" w:eastAsia="方正仿宋_GBK"/>
                <w:sz w:val="24"/>
              </w:rPr>
              <w:t>190</w:t>
            </w:r>
          </w:p>
        </w:tc>
      </w:tr>
    </w:tbl>
    <w:p>
      <w:pPr>
        <w:snapToGrid w:val="0"/>
        <w:jc w:val="center"/>
        <w:rPr>
          <w:rFonts w:ascii="Times New Roman" w:hAnsi="方正仿宋_GBK" w:eastAsia="方正仿宋_GBK"/>
          <w:sz w:val="24"/>
        </w:rPr>
      </w:pPr>
    </w:p>
    <w:p>
      <w:pPr>
        <w:snapToGrid w:val="0"/>
        <w:ind w:firstLine="480" w:firstLineChars="200"/>
        <w:rPr>
          <w:rFonts w:ascii="Times New Roman" w:hAnsi="方正仿宋_GBK" w:eastAsia="方正仿宋_GBK"/>
          <w:sz w:val="24"/>
        </w:rPr>
      </w:pPr>
      <w:r>
        <w:rPr>
          <w:rFonts w:hint="eastAsia" w:ascii="Times New Roman" w:hAnsi="方正仿宋_GBK" w:eastAsia="方正仿宋_GBK"/>
          <w:sz w:val="24"/>
        </w:rPr>
        <w:t>说明：</w:t>
      </w:r>
    </w:p>
    <w:p>
      <w:pPr>
        <w:snapToGrid w:val="0"/>
        <w:ind w:firstLine="480" w:firstLineChars="200"/>
        <w:rPr>
          <w:rFonts w:ascii="Times New Roman" w:hAnsi="方正仿宋_GBK" w:eastAsia="方正仿宋_GBK"/>
          <w:sz w:val="24"/>
        </w:rPr>
      </w:pPr>
      <w:r>
        <w:rPr>
          <w:rFonts w:ascii="Times New Roman" w:hAnsi="Times New Roman" w:eastAsia="方正仿宋_GBK"/>
          <w:sz w:val="24"/>
        </w:rPr>
        <w:t>1</w:t>
      </w:r>
      <w:r>
        <w:rPr>
          <w:rFonts w:hint="eastAsia" w:ascii="Times New Roman" w:hAnsi="方正仿宋_GBK" w:eastAsia="方正仿宋_GBK"/>
          <w:sz w:val="24"/>
        </w:rPr>
        <w:t>．房屋层高</w:t>
      </w:r>
      <w:r>
        <w:rPr>
          <w:rFonts w:ascii="Times New Roman" w:hAnsi="Times New Roman" w:eastAsia="方正仿宋_GBK"/>
          <w:sz w:val="24"/>
        </w:rPr>
        <w:t>5</w:t>
      </w:r>
      <w:r>
        <w:rPr>
          <w:rFonts w:hint="eastAsia" w:ascii="Times New Roman" w:hAnsi="方正仿宋_GBK" w:eastAsia="方正仿宋_GBK"/>
          <w:sz w:val="24"/>
        </w:rPr>
        <w:t>米（含</w:t>
      </w:r>
      <w:r>
        <w:rPr>
          <w:rFonts w:ascii="Times New Roman" w:hAnsi="Times New Roman" w:eastAsia="方正仿宋_GBK"/>
          <w:sz w:val="24"/>
        </w:rPr>
        <w:t>5</w:t>
      </w:r>
      <w:r>
        <w:rPr>
          <w:rFonts w:hint="eastAsia" w:ascii="Times New Roman" w:hAnsi="方正仿宋_GBK" w:eastAsia="方正仿宋_GBK"/>
          <w:sz w:val="24"/>
        </w:rPr>
        <w:t>米）以上的，按同类标准上浮</w:t>
      </w:r>
      <w:r>
        <w:rPr>
          <w:rFonts w:ascii="Times New Roman" w:hAnsi="Times New Roman" w:eastAsia="方正仿宋_GBK"/>
          <w:sz w:val="24"/>
        </w:rPr>
        <w:t>40%</w:t>
      </w:r>
      <w:r>
        <w:rPr>
          <w:rFonts w:hint="eastAsia" w:ascii="Times New Roman" w:hAnsi="方正仿宋_GBK" w:eastAsia="方正仿宋_GBK"/>
          <w:sz w:val="24"/>
        </w:rPr>
        <w:t>计算补偿；在</w:t>
      </w:r>
      <w:r>
        <w:rPr>
          <w:rFonts w:ascii="Times New Roman" w:hAnsi="Times New Roman" w:eastAsia="方正仿宋_GBK"/>
          <w:sz w:val="24"/>
        </w:rPr>
        <w:t>4</w:t>
      </w:r>
      <w:r>
        <w:rPr>
          <w:rFonts w:hint="eastAsia" w:ascii="Times New Roman" w:hAnsi="方正仿宋_GBK" w:eastAsia="方正仿宋_GBK"/>
          <w:sz w:val="24"/>
        </w:rPr>
        <w:t>米（含</w:t>
      </w:r>
      <w:r>
        <w:rPr>
          <w:rFonts w:ascii="Times New Roman" w:hAnsi="Times New Roman" w:eastAsia="方正仿宋_GBK"/>
          <w:sz w:val="24"/>
        </w:rPr>
        <w:t>4</w:t>
      </w:r>
      <w:r>
        <w:rPr>
          <w:rFonts w:hint="eastAsia" w:ascii="Times New Roman" w:hAnsi="方正仿宋_GBK" w:eastAsia="方正仿宋_GBK"/>
          <w:sz w:val="24"/>
        </w:rPr>
        <w:t>米）以上至</w:t>
      </w:r>
      <w:r>
        <w:rPr>
          <w:rFonts w:ascii="Times New Roman" w:hAnsi="Times New Roman" w:eastAsia="方正仿宋_GBK"/>
          <w:sz w:val="24"/>
        </w:rPr>
        <w:t>5</w:t>
      </w:r>
      <w:r>
        <w:rPr>
          <w:rFonts w:hint="eastAsia" w:ascii="Times New Roman" w:hAnsi="方正仿宋_GBK" w:eastAsia="方正仿宋_GBK"/>
          <w:sz w:val="24"/>
        </w:rPr>
        <w:t>米（不含</w:t>
      </w:r>
      <w:r>
        <w:rPr>
          <w:rFonts w:ascii="Times New Roman" w:hAnsi="Times New Roman" w:eastAsia="方正仿宋_GBK"/>
          <w:sz w:val="24"/>
        </w:rPr>
        <w:t>5</w:t>
      </w:r>
      <w:r>
        <w:rPr>
          <w:rFonts w:hint="eastAsia" w:ascii="Times New Roman" w:hAnsi="方正仿宋_GBK" w:eastAsia="方正仿宋_GBK"/>
          <w:sz w:val="24"/>
        </w:rPr>
        <w:t>米）以下的，按同类标准上浮</w:t>
      </w:r>
      <w:r>
        <w:rPr>
          <w:rFonts w:ascii="Times New Roman" w:hAnsi="Times New Roman" w:eastAsia="方正仿宋_GBK"/>
          <w:sz w:val="24"/>
        </w:rPr>
        <w:t>30%</w:t>
      </w:r>
      <w:r>
        <w:rPr>
          <w:rFonts w:hint="eastAsia" w:ascii="Times New Roman" w:hAnsi="方正仿宋_GBK" w:eastAsia="方正仿宋_GBK"/>
          <w:sz w:val="24"/>
        </w:rPr>
        <w:t>计算补偿；</w:t>
      </w:r>
    </w:p>
    <w:p>
      <w:pPr>
        <w:snapToGrid w:val="0"/>
        <w:ind w:firstLine="480" w:firstLineChars="200"/>
        <w:rPr>
          <w:rFonts w:ascii="Times New Roman" w:hAnsi="方正仿宋_GBK" w:eastAsia="方正仿宋_GBK"/>
          <w:sz w:val="24"/>
        </w:rPr>
      </w:pPr>
      <w:r>
        <w:rPr>
          <w:rFonts w:ascii="Times New Roman" w:hAnsi="Times New Roman" w:eastAsia="方正仿宋_GBK"/>
          <w:sz w:val="24"/>
        </w:rPr>
        <w:t>2.</w:t>
      </w:r>
      <w:r>
        <w:rPr>
          <w:rFonts w:hint="eastAsia" w:ascii="Times New Roman" w:hAnsi="方正仿宋_GBK" w:eastAsia="方正仿宋_GBK"/>
          <w:sz w:val="24"/>
        </w:rPr>
        <w:t>房屋层高在</w:t>
      </w:r>
      <w:r>
        <w:rPr>
          <w:rFonts w:ascii="Times New Roman" w:hAnsi="Times New Roman" w:eastAsia="方正仿宋_GBK"/>
          <w:sz w:val="24"/>
        </w:rPr>
        <w:t>2.2</w:t>
      </w:r>
      <w:r>
        <w:rPr>
          <w:rFonts w:hint="eastAsia" w:ascii="Times New Roman" w:hAnsi="方正仿宋_GBK" w:eastAsia="方正仿宋_GBK"/>
          <w:sz w:val="24"/>
        </w:rPr>
        <w:t>米以下（不含</w:t>
      </w:r>
      <w:r>
        <w:rPr>
          <w:rFonts w:ascii="Times New Roman" w:hAnsi="Times New Roman" w:eastAsia="方正仿宋_GBK"/>
          <w:sz w:val="24"/>
        </w:rPr>
        <w:t>2.2</w:t>
      </w:r>
      <w:r>
        <w:rPr>
          <w:rFonts w:hint="eastAsia" w:ascii="Times New Roman" w:hAnsi="方正仿宋_GBK" w:eastAsia="方正仿宋_GBK"/>
          <w:sz w:val="24"/>
        </w:rPr>
        <w:t>米），</w:t>
      </w:r>
      <w:r>
        <w:rPr>
          <w:rFonts w:ascii="Times New Roman" w:hAnsi="Times New Roman" w:eastAsia="方正仿宋_GBK"/>
          <w:sz w:val="24"/>
        </w:rPr>
        <w:t>1.5</w:t>
      </w:r>
      <w:r>
        <w:rPr>
          <w:rFonts w:hint="eastAsia" w:ascii="Times New Roman" w:hAnsi="方正仿宋_GBK" w:eastAsia="方正仿宋_GBK"/>
          <w:sz w:val="24"/>
        </w:rPr>
        <w:t>米以上（含</w:t>
      </w:r>
      <w:r>
        <w:rPr>
          <w:rFonts w:ascii="Times New Roman" w:hAnsi="Times New Roman" w:eastAsia="方正仿宋_GBK"/>
          <w:sz w:val="24"/>
        </w:rPr>
        <w:t>1.5</w:t>
      </w:r>
      <w:r>
        <w:rPr>
          <w:rFonts w:hint="eastAsia" w:ascii="Times New Roman" w:hAnsi="方正仿宋_GBK" w:eastAsia="方正仿宋_GBK"/>
          <w:sz w:val="24"/>
        </w:rPr>
        <w:t>米）的，按同类房屋标准的</w:t>
      </w:r>
      <w:r>
        <w:rPr>
          <w:rFonts w:ascii="Times New Roman" w:hAnsi="Times New Roman" w:eastAsia="方正仿宋_GBK"/>
          <w:sz w:val="24"/>
        </w:rPr>
        <w:t>70%</w:t>
      </w:r>
      <w:r>
        <w:rPr>
          <w:rFonts w:hint="eastAsia" w:ascii="Times New Roman" w:hAnsi="方正仿宋_GBK" w:eastAsia="方正仿宋_GBK"/>
          <w:sz w:val="24"/>
        </w:rPr>
        <w:t>计算补偿；房屋层高在</w:t>
      </w:r>
      <w:r>
        <w:rPr>
          <w:rFonts w:ascii="Times New Roman" w:hAnsi="Times New Roman" w:eastAsia="方正仿宋_GBK"/>
          <w:sz w:val="24"/>
        </w:rPr>
        <w:t>1.5</w:t>
      </w:r>
      <w:r>
        <w:rPr>
          <w:rFonts w:hint="eastAsia" w:ascii="Times New Roman" w:hAnsi="方正仿宋_GBK" w:eastAsia="方正仿宋_GBK"/>
          <w:sz w:val="24"/>
        </w:rPr>
        <w:t>米以下（不含</w:t>
      </w:r>
      <w:r>
        <w:rPr>
          <w:rFonts w:ascii="Times New Roman" w:hAnsi="Times New Roman" w:eastAsia="方正仿宋_GBK"/>
          <w:sz w:val="24"/>
        </w:rPr>
        <w:t>1.5</w:t>
      </w:r>
      <w:r>
        <w:rPr>
          <w:rFonts w:hint="eastAsia" w:ascii="Times New Roman" w:hAnsi="方正仿宋_GBK" w:eastAsia="方正仿宋_GBK"/>
          <w:sz w:val="24"/>
        </w:rPr>
        <w:t>米），</w:t>
      </w:r>
      <w:r>
        <w:rPr>
          <w:rFonts w:ascii="Times New Roman" w:hAnsi="Times New Roman" w:eastAsia="方正仿宋_GBK"/>
          <w:sz w:val="24"/>
        </w:rPr>
        <w:t>1</w:t>
      </w:r>
      <w:r>
        <w:rPr>
          <w:rFonts w:hint="eastAsia" w:ascii="Times New Roman" w:hAnsi="方正仿宋_GBK" w:eastAsia="方正仿宋_GBK"/>
          <w:sz w:val="24"/>
        </w:rPr>
        <w:t>米以上（含</w:t>
      </w:r>
      <w:r>
        <w:rPr>
          <w:rFonts w:ascii="Times New Roman" w:hAnsi="Times New Roman" w:eastAsia="方正仿宋_GBK"/>
          <w:sz w:val="24"/>
        </w:rPr>
        <w:t>1</w:t>
      </w:r>
      <w:r>
        <w:rPr>
          <w:rFonts w:hint="eastAsia" w:ascii="Times New Roman" w:hAnsi="方正仿宋_GBK" w:eastAsia="方正仿宋_GBK"/>
          <w:sz w:val="24"/>
        </w:rPr>
        <w:t>米）的，按同类房屋标准的</w:t>
      </w:r>
      <w:r>
        <w:rPr>
          <w:rFonts w:ascii="Times New Roman" w:hAnsi="Times New Roman" w:eastAsia="方正仿宋_GBK"/>
          <w:sz w:val="24"/>
        </w:rPr>
        <w:t>50%</w:t>
      </w:r>
      <w:r>
        <w:rPr>
          <w:rFonts w:hint="eastAsia" w:ascii="Times New Roman" w:hAnsi="方正仿宋_GBK" w:eastAsia="方正仿宋_GBK"/>
          <w:sz w:val="24"/>
        </w:rPr>
        <w:t>计算补偿；房屋层高在</w:t>
      </w:r>
      <w:r>
        <w:rPr>
          <w:rFonts w:ascii="Times New Roman" w:hAnsi="Times New Roman" w:eastAsia="方正仿宋_GBK"/>
          <w:sz w:val="24"/>
        </w:rPr>
        <w:t>1</w:t>
      </w:r>
      <w:r>
        <w:rPr>
          <w:rFonts w:hint="eastAsia" w:ascii="Times New Roman" w:hAnsi="方正仿宋_GBK" w:eastAsia="方正仿宋_GBK"/>
          <w:sz w:val="24"/>
        </w:rPr>
        <w:t>米以下（不含</w:t>
      </w:r>
      <w:r>
        <w:rPr>
          <w:rFonts w:ascii="Times New Roman" w:hAnsi="Times New Roman" w:eastAsia="方正仿宋_GBK"/>
          <w:sz w:val="24"/>
        </w:rPr>
        <w:t>1</w:t>
      </w:r>
      <w:r>
        <w:rPr>
          <w:rFonts w:hint="eastAsia" w:ascii="Times New Roman" w:hAnsi="方正仿宋_GBK" w:eastAsia="方正仿宋_GBK"/>
          <w:sz w:val="24"/>
        </w:rPr>
        <w:t>米）的，按同类房屋标准的</w:t>
      </w:r>
      <w:r>
        <w:rPr>
          <w:rFonts w:ascii="Times New Roman" w:hAnsi="Times New Roman" w:eastAsia="方正仿宋_GBK"/>
          <w:sz w:val="24"/>
        </w:rPr>
        <w:t>20%</w:t>
      </w:r>
      <w:r>
        <w:rPr>
          <w:rFonts w:hint="eastAsia" w:ascii="Times New Roman" w:hAnsi="方正仿宋_GBK" w:eastAsia="方正仿宋_GBK"/>
          <w:sz w:val="24"/>
        </w:rPr>
        <w:t>计算补偿。</w:t>
      </w:r>
    </w:p>
    <w:p>
      <w:pPr>
        <w:snapToGrid w:val="0"/>
        <w:ind w:firstLine="480" w:firstLineChars="200"/>
        <w:rPr>
          <w:rFonts w:ascii="Times New Roman" w:hAnsi="方正仿宋_GBK" w:eastAsia="方正仿宋_GBK"/>
          <w:sz w:val="24"/>
        </w:rPr>
      </w:pPr>
      <w:r>
        <w:rPr>
          <w:rFonts w:ascii="Times New Roman" w:hAnsi="Times New Roman" w:eastAsia="方正仿宋_GBK"/>
          <w:sz w:val="24"/>
        </w:rPr>
        <w:t>3.</w:t>
      </w:r>
      <w:r>
        <w:rPr>
          <w:rFonts w:hint="eastAsia" w:ascii="Times New Roman" w:hAnsi="方正仿宋_GBK" w:eastAsia="方正仿宋_GBK"/>
          <w:sz w:val="24"/>
        </w:rPr>
        <w:t>外阳台按同类房屋的</w:t>
      </w:r>
      <w:r>
        <w:rPr>
          <w:rFonts w:ascii="Times New Roman" w:hAnsi="Times New Roman" w:eastAsia="方正仿宋_GBK"/>
          <w:sz w:val="24"/>
        </w:rPr>
        <w:t>50%</w:t>
      </w:r>
      <w:r>
        <w:rPr>
          <w:rFonts w:hint="eastAsia" w:ascii="Times New Roman" w:hAnsi="方正仿宋_GBK" w:eastAsia="方正仿宋_GBK"/>
          <w:sz w:val="24"/>
        </w:rPr>
        <w:t>计算。</w:t>
      </w:r>
    </w:p>
    <w:p>
      <w:pPr>
        <w:snapToGrid w:val="0"/>
        <w:ind w:firstLine="480" w:firstLineChars="200"/>
        <w:rPr>
          <w:rFonts w:ascii="Times New Roman" w:hAnsi="方正仿宋_GBK" w:eastAsia="方正仿宋_GBK"/>
          <w:sz w:val="24"/>
        </w:rPr>
      </w:pPr>
      <w:r>
        <w:rPr>
          <w:rFonts w:ascii="Times New Roman" w:hAnsi="Times New Roman" w:eastAsia="方正仿宋_GBK"/>
          <w:sz w:val="24"/>
        </w:rPr>
        <w:t>4</w:t>
      </w:r>
      <w:r>
        <w:rPr>
          <w:rFonts w:hint="eastAsia" w:ascii="Times New Roman" w:hAnsi="方正仿宋_GBK" w:eastAsia="方正仿宋_GBK"/>
          <w:sz w:val="24"/>
        </w:rPr>
        <w:t>．房屋面积以外墙尺寸计算。</w:t>
      </w:r>
    </w:p>
    <w:p>
      <w:pPr>
        <w:pStyle w:val="9"/>
        <w:spacing w:line="600" w:lineRule="exact"/>
        <w:rPr>
          <w:rFonts w:ascii="方正黑体_GBK" w:hAnsi="方正仿宋_GBK" w:eastAsia="方正黑体_GBK" w:cs="方正仿宋_GBK"/>
          <w:color w:val="auto"/>
          <w:sz w:val="28"/>
          <w:szCs w:val="28"/>
        </w:rPr>
      </w:pPr>
    </w:p>
    <w:p>
      <w:pPr>
        <w:pStyle w:val="9"/>
        <w:spacing w:line="600" w:lineRule="exact"/>
        <w:rPr>
          <w:rFonts w:ascii="方正黑体_GBK" w:hAnsi="方正仿宋_GBK" w:eastAsia="方正黑体_GBK" w:cs="方正仿宋_GBK"/>
          <w:color w:val="auto"/>
          <w:sz w:val="28"/>
          <w:szCs w:val="28"/>
        </w:rPr>
      </w:pPr>
      <w:r>
        <w:rPr>
          <w:rFonts w:hint="eastAsia" w:ascii="方正黑体_GBK" w:hAnsi="方正仿宋_GBK" w:eastAsia="方正黑体_GBK" w:cs="方正仿宋_GBK"/>
          <w:color w:val="auto"/>
          <w:sz w:val="28"/>
          <w:szCs w:val="28"/>
        </w:rPr>
        <w:t>附件2：</w:t>
      </w:r>
    </w:p>
    <w:p>
      <w:pPr>
        <w:pStyle w:val="9"/>
        <w:spacing w:line="600" w:lineRule="exact"/>
        <w:jc w:val="center"/>
        <w:rPr>
          <w:rFonts w:ascii="方正小标宋_GBK" w:hAnsi="方正仿宋_GBK" w:eastAsia="方正小标宋_GBK" w:cs="方正仿宋_GBK"/>
          <w:color w:val="auto"/>
          <w:sz w:val="32"/>
          <w:szCs w:val="32"/>
        </w:rPr>
      </w:pPr>
      <w:r>
        <w:rPr>
          <w:rFonts w:hint="eastAsia" w:ascii="方正小标宋_GBK" w:hAnsi="Times New Roman" w:eastAsia="方正小标宋_GBK" w:cs="Times New Roman"/>
          <w:color w:val="auto"/>
          <w:sz w:val="32"/>
          <w:szCs w:val="32"/>
        </w:rPr>
        <w:t>九龙坡区征收集体土地构着物补偿标准</w:t>
      </w:r>
    </w:p>
    <w:tbl>
      <w:tblPr>
        <w:tblStyle w:val="4"/>
        <w:tblW w:w="8925"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2154"/>
        <w:gridCol w:w="862"/>
        <w:gridCol w:w="1259"/>
        <w:gridCol w:w="28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841" w:type="dxa"/>
            <w:tcBorders>
              <w:top w:val="single" w:color="auto" w:sz="8" w:space="0"/>
              <w:left w:val="single" w:color="auto" w:sz="8" w:space="0"/>
              <w:bottom w:val="single" w:color="auto" w:sz="4" w:space="0"/>
              <w:right w:val="single" w:color="auto" w:sz="4" w:space="0"/>
            </w:tcBorders>
            <w:vAlign w:val="center"/>
          </w:tcPr>
          <w:p>
            <w:pPr>
              <w:widowControl/>
              <w:spacing w:line="400" w:lineRule="exact"/>
              <w:jc w:val="center"/>
              <w:rPr>
                <w:rFonts w:ascii="方正楷体_GBK" w:hAnsi="Times New Roman" w:eastAsia="方正楷体_GBK"/>
                <w:b/>
                <w:sz w:val="28"/>
                <w:szCs w:val="28"/>
              </w:rPr>
            </w:pPr>
            <w:r>
              <w:rPr>
                <w:rFonts w:hint="eastAsia" w:ascii="方正楷体_GBK" w:hAnsi="Times New Roman" w:eastAsia="方正楷体_GBK"/>
                <w:b/>
                <w:sz w:val="28"/>
                <w:szCs w:val="28"/>
              </w:rPr>
              <w:t>名称</w:t>
            </w:r>
          </w:p>
        </w:tc>
        <w:tc>
          <w:tcPr>
            <w:tcW w:w="2154" w:type="dxa"/>
            <w:tcBorders>
              <w:top w:val="single" w:color="auto" w:sz="8" w:space="0"/>
              <w:left w:val="single" w:color="auto" w:sz="4" w:space="0"/>
              <w:bottom w:val="single" w:color="auto" w:sz="4" w:space="0"/>
              <w:right w:val="single" w:color="auto" w:sz="4" w:space="0"/>
            </w:tcBorders>
            <w:vAlign w:val="center"/>
          </w:tcPr>
          <w:p>
            <w:pPr>
              <w:widowControl/>
              <w:spacing w:line="400" w:lineRule="exact"/>
              <w:jc w:val="center"/>
              <w:rPr>
                <w:rFonts w:ascii="方正楷体_GBK" w:hAnsi="Times New Roman" w:eastAsia="方正楷体_GBK"/>
                <w:b/>
                <w:sz w:val="28"/>
                <w:szCs w:val="28"/>
              </w:rPr>
            </w:pPr>
            <w:r>
              <w:rPr>
                <w:rFonts w:hint="eastAsia" w:ascii="方正楷体_GBK" w:hAnsi="Times New Roman" w:eastAsia="方正楷体_GBK"/>
                <w:b/>
                <w:sz w:val="28"/>
                <w:szCs w:val="28"/>
              </w:rPr>
              <w:t>结构</w:t>
            </w:r>
          </w:p>
        </w:tc>
        <w:tc>
          <w:tcPr>
            <w:tcW w:w="862" w:type="dxa"/>
            <w:tcBorders>
              <w:top w:val="single" w:color="auto" w:sz="8" w:space="0"/>
              <w:left w:val="single" w:color="auto" w:sz="4" w:space="0"/>
              <w:bottom w:val="single" w:color="auto" w:sz="4" w:space="0"/>
              <w:right w:val="single" w:color="auto" w:sz="4" w:space="0"/>
            </w:tcBorders>
            <w:vAlign w:val="center"/>
          </w:tcPr>
          <w:p>
            <w:pPr>
              <w:widowControl/>
              <w:spacing w:line="400" w:lineRule="exact"/>
              <w:jc w:val="center"/>
              <w:rPr>
                <w:rFonts w:ascii="方正楷体_GBK" w:hAnsi="Times New Roman" w:eastAsia="方正楷体_GBK"/>
                <w:b/>
                <w:sz w:val="28"/>
                <w:szCs w:val="28"/>
              </w:rPr>
            </w:pPr>
            <w:r>
              <w:rPr>
                <w:rFonts w:hint="eastAsia" w:ascii="方正楷体_GBK" w:hAnsi="Times New Roman" w:eastAsia="方正楷体_GBK"/>
                <w:b/>
                <w:sz w:val="28"/>
                <w:szCs w:val="28"/>
              </w:rPr>
              <w:t>单位</w:t>
            </w:r>
          </w:p>
        </w:tc>
        <w:tc>
          <w:tcPr>
            <w:tcW w:w="1259" w:type="dxa"/>
            <w:tcBorders>
              <w:top w:val="single" w:color="auto" w:sz="8" w:space="0"/>
              <w:left w:val="single" w:color="auto" w:sz="4" w:space="0"/>
              <w:bottom w:val="single" w:color="auto" w:sz="4" w:space="0"/>
              <w:right w:val="single" w:color="auto" w:sz="4" w:space="0"/>
            </w:tcBorders>
            <w:vAlign w:val="center"/>
          </w:tcPr>
          <w:p>
            <w:pPr>
              <w:widowControl/>
              <w:spacing w:line="400" w:lineRule="exact"/>
              <w:jc w:val="center"/>
              <w:rPr>
                <w:rFonts w:ascii="方正楷体_GBK" w:hAnsi="Times New Roman" w:eastAsia="方正楷体_GBK"/>
                <w:b/>
                <w:sz w:val="28"/>
                <w:szCs w:val="28"/>
              </w:rPr>
            </w:pPr>
            <w:r>
              <w:rPr>
                <w:rFonts w:hint="eastAsia" w:ascii="方正楷体_GBK" w:hAnsi="Times New Roman" w:eastAsia="方正楷体_GBK"/>
                <w:b/>
                <w:sz w:val="28"/>
                <w:szCs w:val="28"/>
              </w:rPr>
              <w:t>单价(元)</w:t>
            </w:r>
          </w:p>
        </w:tc>
        <w:tc>
          <w:tcPr>
            <w:tcW w:w="2809" w:type="dxa"/>
            <w:tcBorders>
              <w:top w:val="single" w:color="auto" w:sz="8" w:space="0"/>
              <w:left w:val="single" w:color="auto" w:sz="4" w:space="0"/>
              <w:bottom w:val="single" w:color="auto" w:sz="4" w:space="0"/>
              <w:right w:val="single" w:color="auto" w:sz="8" w:space="0"/>
            </w:tcBorders>
            <w:vAlign w:val="center"/>
          </w:tcPr>
          <w:p>
            <w:pPr>
              <w:widowControl/>
              <w:spacing w:line="400" w:lineRule="exact"/>
              <w:jc w:val="center"/>
              <w:rPr>
                <w:rFonts w:ascii="方正楷体_GBK" w:hAnsi="Times New Roman" w:eastAsia="方正楷体_GBK"/>
                <w:b/>
                <w:sz w:val="28"/>
                <w:szCs w:val="28"/>
              </w:rPr>
            </w:pPr>
            <w:r>
              <w:rPr>
                <w:rFonts w:hint="eastAsia" w:ascii="方正楷体_GBK" w:hAnsi="Times New Roman" w:eastAsia="方正楷体_GBK"/>
                <w:b/>
                <w:sz w:val="28"/>
                <w:szCs w:val="28"/>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841" w:type="dxa"/>
            <w:tcBorders>
              <w:top w:val="single" w:color="auto" w:sz="4" w:space="0"/>
              <w:left w:val="single" w:color="auto" w:sz="8"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堡坎围墙</w:t>
            </w:r>
            <w:r>
              <w:rPr>
                <w:rFonts w:ascii="Times New Roman" w:hAnsi="Times New Roman" w:eastAsia="方正仿宋_GBK"/>
                <w:sz w:val="24"/>
              </w:rPr>
              <w:t>(</w:t>
            </w:r>
            <w:r>
              <w:rPr>
                <w:rFonts w:hint="eastAsia" w:ascii="Times New Roman" w:hAnsi="Times New Roman" w:eastAsia="方正仿宋_GBK"/>
                <w:sz w:val="24"/>
              </w:rPr>
              <w:t>含鱼塘坎</w:t>
            </w:r>
            <w:r>
              <w:rPr>
                <w:rFonts w:ascii="Times New Roman" w:hAnsi="Times New Roman" w:eastAsia="方正仿宋_GBK"/>
                <w:sz w:val="24"/>
              </w:rPr>
              <w:t>)</w:t>
            </w:r>
          </w:p>
        </w:tc>
        <w:tc>
          <w:tcPr>
            <w:tcW w:w="215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条石</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片石</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砖</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土围墙</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立</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方</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米</w:t>
            </w:r>
          </w:p>
        </w:tc>
        <w:tc>
          <w:tcPr>
            <w:tcW w:w="12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sz w:val="24"/>
              </w:rPr>
            </w:pPr>
            <w:r>
              <w:rPr>
                <w:rFonts w:ascii="Times New Roman" w:hAnsi="Times New Roman" w:eastAsia="方正仿宋_GBK"/>
                <w:sz w:val="24"/>
              </w:rPr>
              <w:t>165</w:t>
            </w:r>
          </w:p>
          <w:p>
            <w:pPr>
              <w:widowControl/>
              <w:spacing w:line="280" w:lineRule="exact"/>
              <w:jc w:val="center"/>
              <w:rPr>
                <w:rFonts w:ascii="Times New Roman" w:hAnsi="Times New Roman" w:eastAsia="方正仿宋_GBK"/>
                <w:sz w:val="24"/>
              </w:rPr>
            </w:pPr>
            <w:r>
              <w:rPr>
                <w:rFonts w:ascii="Times New Roman" w:hAnsi="Times New Roman" w:eastAsia="方正仿宋_GBK"/>
                <w:sz w:val="24"/>
              </w:rPr>
              <w:t>132</w:t>
            </w:r>
          </w:p>
          <w:p>
            <w:pPr>
              <w:widowControl/>
              <w:spacing w:line="280" w:lineRule="exact"/>
              <w:jc w:val="center"/>
              <w:rPr>
                <w:rFonts w:ascii="Times New Roman" w:hAnsi="Times New Roman" w:eastAsia="方正仿宋_GBK"/>
                <w:sz w:val="24"/>
              </w:rPr>
            </w:pPr>
            <w:r>
              <w:rPr>
                <w:rFonts w:ascii="Times New Roman" w:hAnsi="Times New Roman" w:eastAsia="方正仿宋_GBK"/>
                <w:sz w:val="24"/>
              </w:rPr>
              <w:t>150</w:t>
            </w:r>
          </w:p>
          <w:p>
            <w:pPr>
              <w:widowControl/>
              <w:spacing w:line="280" w:lineRule="exact"/>
              <w:jc w:val="center"/>
              <w:rPr>
                <w:rFonts w:ascii="Times New Roman" w:hAnsi="Times New Roman" w:eastAsia="方正仿宋_GBK"/>
                <w:sz w:val="24"/>
              </w:rPr>
            </w:pPr>
            <w:r>
              <w:rPr>
                <w:rFonts w:ascii="Times New Roman" w:hAnsi="Times New Roman" w:eastAsia="方正仿宋_GBK"/>
                <w:sz w:val="24"/>
              </w:rPr>
              <w:t>21</w:t>
            </w:r>
          </w:p>
        </w:tc>
        <w:tc>
          <w:tcPr>
            <w:tcW w:w="2809" w:type="dxa"/>
            <w:tcBorders>
              <w:top w:val="single" w:color="auto" w:sz="4" w:space="0"/>
              <w:left w:val="single" w:color="auto" w:sz="4" w:space="0"/>
              <w:bottom w:val="single" w:color="auto" w:sz="4" w:space="0"/>
              <w:right w:val="single" w:color="auto" w:sz="8" w:space="0"/>
            </w:tcBorders>
            <w:vAlign w:val="center"/>
          </w:tcPr>
          <w:p>
            <w:pPr>
              <w:widowControl/>
              <w:spacing w:line="280" w:lineRule="exact"/>
              <w:jc w:val="left"/>
              <w:rPr>
                <w:rFonts w:ascii="Times New Roman" w:hAnsi="Times New Roman" w:eastAsia="方正仿宋_GBK"/>
                <w:sz w:val="24"/>
              </w:rPr>
            </w:pPr>
            <w:r>
              <w:rPr>
                <w:rFonts w:hint="eastAsia" w:ascii="Times New Roman" w:hAnsi="Times New Roman" w:eastAsia="方正仿宋_GBK"/>
                <w:sz w:val="24"/>
              </w:rPr>
              <w:t>集体改田改土堡坎、房屋基础堡坎不予补偿。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1" w:type="dxa"/>
            <w:tcBorders>
              <w:top w:val="single" w:color="auto" w:sz="4" w:space="0"/>
              <w:left w:val="single" w:color="auto" w:sz="8"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公路</w:t>
            </w:r>
          </w:p>
        </w:tc>
        <w:tc>
          <w:tcPr>
            <w:tcW w:w="215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水泥路面</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碎石、泥结路面</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简易路面</w:t>
            </w:r>
            <w:r>
              <w:rPr>
                <w:rFonts w:ascii="Times New Roman" w:hAnsi="Times New Roman" w:eastAsia="方正仿宋_GBK"/>
                <w:sz w:val="24"/>
              </w:rPr>
              <w:t>(</w:t>
            </w:r>
            <w:r>
              <w:rPr>
                <w:rFonts w:hint="eastAsia" w:ascii="Times New Roman" w:hAnsi="Times New Roman" w:eastAsia="方正仿宋_GBK"/>
                <w:sz w:val="24"/>
              </w:rPr>
              <w:t>机耕道</w:t>
            </w:r>
            <w:r>
              <w:rPr>
                <w:rFonts w:ascii="Times New Roman" w:hAnsi="Times New Roman" w:eastAsia="方正仿宋_GBK"/>
                <w:sz w:val="24"/>
              </w:rPr>
              <w:t>)</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平</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方</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米</w:t>
            </w:r>
          </w:p>
        </w:tc>
        <w:tc>
          <w:tcPr>
            <w:tcW w:w="12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sz w:val="24"/>
              </w:rPr>
            </w:pPr>
            <w:r>
              <w:rPr>
                <w:rFonts w:ascii="Times New Roman" w:hAnsi="Times New Roman" w:eastAsia="方正仿宋_GBK"/>
                <w:sz w:val="24"/>
              </w:rPr>
              <w:t>126</w:t>
            </w:r>
          </w:p>
          <w:p>
            <w:pPr>
              <w:widowControl/>
              <w:spacing w:line="280" w:lineRule="exact"/>
              <w:jc w:val="center"/>
              <w:rPr>
                <w:rFonts w:ascii="Times New Roman" w:hAnsi="Times New Roman" w:eastAsia="方正仿宋_GBK"/>
                <w:sz w:val="24"/>
              </w:rPr>
            </w:pPr>
            <w:r>
              <w:rPr>
                <w:rFonts w:ascii="Times New Roman" w:hAnsi="Times New Roman" w:eastAsia="方正仿宋_GBK"/>
                <w:sz w:val="24"/>
              </w:rPr>
              <w:t>102</w:t>
            </w:r>
          </w:p>
          <w:p>
            <w:pPr>
              <w:widowControl/>
              <w:spacing w:line="280" w:lineRule="exact"/>
              <w:jc w:val="center"/>
              <w:rPr>
                <w:rFonts w:ascii="Times New Roman" w:hAnsi="Times New Roman" w:eastAsia="方正仿宋_GBK"/>
                <w:sz w:val="24"/>
              </w:rPr>
            </w:pPr>
            <w:r>
              <w:rPr>
                <w:rFonts w:ascii="Times New Roman" w:hAnsi="Times New Roman" w:eastAsia="方正仿宋_GBK"/>
                <w:sz w:val="24"/>
              </w:rPr>
              <w:t>28</w:t>
            </w:r>
          </w:p>
        </w:tc>
        <w:tc>
          <w:tcPr>
            <w:tcW w:w="2809" w:type="dxa"/>
            <w:tcBorders>
              <w:top w:val="single" w:color="auto" w:sz="4" w:space="0"/>
              <w:left w:val="single" w:color="auto" w:sz="4" w:space="0"/>
              <w:bottom w:val="single" w:color="auto" w:sz="4" w:space="0"/>
              <w:right w:val="single" w:color="auto" w:sz="8" w:space="0"/>
            </w:tcBorders>
            <w:vAlign w:val="center"/>
          </w:tcPr>
          <w:p>
            <w:pPr>
              <w:widowControl/>
              <w:spacing w:line="280" w:lineRule="exact"/>
              <w:jc w:val="left"/>
              <w:rPr>
                <w:rFonts w:ascii="Times New Roman" w:hAnsi="Times New Roman" w:eastAsia="方正仿宋_GBK"/>
                <w:sz w:val="24"/>
              </w:rPr>
            </w:pPr>
            <w:r>
              <w:rPr>
                <w:rFonts w:hint="eastAsia" w:ascii="Times New Roman" w:hAnsi="Times New Roman" w:eastAsia="方正仿宋_GBK"/>
                <w:sz w:val="24"/>
              </w:rPr>
              <w:t>人行道一律不予补偿。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841" w:type="dxa"/>
            <w:tcBorders>
              <w:top w:val="single" w:color="auto" w:sz="4" w:space="0"/>
              <w:left w:val="single" w:color="auto" w:sz="8"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水井</w:t>
            </w:r>
          </w:p>
        </w:tc>
        <w:tc>
          <w:tcPr>
            <w:tcW w:w="215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条石</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水泥</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简易</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手摇井</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电动机井</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立</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方</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米</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个</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个</w:t>
            </w:r>
          </w:p>
        </w:tc>
        <w:tc>
          <w:tcPr>
            <w:tcW w:w="12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sz w:val="24"/>
              </w:rPr>
            </w:pPr>
            <w:r>
              <w:rPr>
                <w:rFonts w:ascii="Times New Roman" w:hAnsi="Times New Roman" w:eastAsia="方正仿宋_GBK"/>
                <w:sz w:val="24"/>
              </w:rPr>
              <w:t>165</w:t>
            </w:r>
          </w:p>
          <w:p>
            <w:pPr>
              <w:widowControl/>
              <w:spacing w:line="280" w:lineRule="exact"/>
              <w:jc w:val="center"/>
              <w:rPr>
                <w:rFonts w:ascii="Times New Roman" w:hAnsi="Times New Roman" w:eastAsia="方正仿宋_GBK"/>
                <w:sz w:val="24"/>
              </w:rPr>
            </w:pPr>
            <w:r>
              <w:rPr>
                <w:rFonts w:ascii="Times New Roman" w:hAnsi="Times New Roman" w:eastAsia="方正仿宋_GBK"/>
                <w:sz w:val="24"/>
              </w:rPr>
              <w:t>99</w:t>
            </w:r>
          </w:p>
          <w:p>
            <w:pPr>
              <w:widowControl/>
              <w:spacing w:line="280" w:lineRule="exact"/>
              <w:jc w:val="center"/>
              <w:rPr>
                <w:rFonts w:ascii="Times New Roman" w:hAnsi="Times New Roman" w:eastAsia="方正仿宋_GBK"/>
                <w:sz w:val="24"/>
              </w:rPr>
            </w:pPr>
            <w:r>
              <w:rPr>
                <w:rFonts w:ascii="Times New Roman" w:hAnsi="Times New Roman" w:eastAsia="方正仿宋_GBK"/>
                <w:sz w:val="24"/>
              </w:rPr>
              <w:t>33</w:t>
            </w:r>
          </w:p>
          <w:p>
            <w:pPr>
              <w:widowControl/>
              <w:spacing w:line="280" w:lineRule="exact"/>
              <w:jc w:val="center"/>
              <w:rPr>
                <w:rFonts w:ascii="Times New Roman" w:hAnsi="Times New Roman" w:eastAsia="方正仿宋_GBK"/>
                <w:sz w:val="24"/>
              </w:rPr>
            </w:pPr>
            <w:r>
              <w:rPr>
                <w:rFonts w:ascii="Times New Roman" w:hAnsi="Times New Roman" w:eastAsia="方正仿宋_GBK"/>
                <w:sz w:val="24"/>
              </w:rPr>
              <w:t>990</w:t>
            </w:r>
          </w:p>
          <w:p>
            <w:pPr>
              <w:widowControl/>
              <w:spacing w:line="280" w:lineRule="exact"/>
              <w:jc w:val="center"/>
              <w:rPr>
                <w:rFonts w:ascii="Times New Roman" w:hAnsi="Times New Roman" w:eastAsia="方正仿宋_GBK"/>
                <w:sz w:val="24"/>
              </w:rPr>
            </w:pPr>
            <w:r>
              <w:rPr>
                <w:rFonts w:ascii="Times New Roman" w:hAnsi="Times New Roman" w:eastAsia="方正仿宋_GBK"/>
                <w:sz w:val="24"/>
              </w:rPr>
              <w:t>3000</w:t>
            </w:r>
          </w:p>
        </w:tc>
        <w:tc>
          <w:tcPr>
            <w:tcW w:w="2809" w:type="dxa"/>
            <w:tcBorders>
              <w:top w:val="single" w:color="auto" w:sz="4" w:space="0"/>
              <w:left w:val="single" w:color="auto" w:sz="4" w:space="0"/>
              <w:bottom w:val="single" w:color="auto" w:sz="4" w:space="0"/>
              <w:right w:val="single" w:color="auto" w:sz="8" w:space="0"/>
            </w:tcBorders>
            <w:vAlign w:val="center"/>
          </w:tcPr>
          <w:p>
            <w:pPr>
              <w:widowControl/>
              <w:spacing w:line="280" w:lineRule="exact"/>
              <w:jc w:val="left"/>
              <w:rPr>
                <w:rFonts w:ascii="Times New Roman" w:hAnsi="Times New Roman" w:eastAsia="方正仿宋_GBK"/>
                <w:sz w:val="24"/>
              </w:rPr>
            </w:pPr>
            <w:r>
              <w:rPr>
                <w:rFonts w:hint="eastAsia" w:ascii="Times New Roman" w:hAnsi="Times New Roman" w:eastAsia="方正仿宋_GBK"/>
                <w:sz w:val="24"/>
              </w:rPr>
              <w:t>水井：按容积计算补偿后，一律不再计算材料补偿。</w:t>
            </w:r>
          </w:p>
          <w:p>
            <w:pPr>
              <w:widowControl/>
              <w:spacing w:line="280" w:lineRule="exact"/>
              <w:jc w:val="left"/>
              <w:rPr>
                <w:rFonts w:ascii="Times New Roman" w:hAnsi="Times New Roman" w:eastAsia="方正仿宋_GBK"/>
                <w:sz w:val="24"/>
              </w:rPr>
            </w:pPr>
            <w:r>
              <w:rPr>
                <w:rFonts w:hint="eastAsia" w:ascii="Times New Roman" w:hAnsi="Times New Roman" w:eastAsia="方正仿宋_GBK"/>
                <w:sz w:val="24"/>
              </w:rPr>
              <w:t>机井含水泵、水管、电线等。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41" w:type="dxa"/>
            <w:tcBorders>
              <w:top w:val="single" w:color="auto" w:sz="4" w:space="0"/>
              <w:left w:val="single" w:color="auto" w:sz="8"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坟墓</w:t>
            </w:r>
          </w:p>
        </w:tc>
        <w:tc>
          <w:tcPr>
            <w:tcW w:w="2154"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单人</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双人</w:t>
            </w:r>
          </w:p>
        </w:tc>
        <w:tc>
          <w:tcPr>
            <w:tcW w:w="862"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座</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座</w:t>
            </w:r>
          </w:p>
        </w:tc>
        <w:tc>
          <w:tcPr>
            <w:tcW w:w="1259"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ascii="Times New Roman" w:hAnsi="Times New Roman" w:eastAsia="方正仿宋_GBK"/>
                <w:sz w:val="24"/>
              </w:rPr>
              <w:t>1000</w:t>
            </w:r>
          </w:p>
          <w:p>
            <w:pPr>
              <w:widowControl/>
              <w:spacing w:line="280" w:lineRule="exact"/>
              <w:jc w:val="center"/>
              <w:rPr>
                <w:rFonts w:ascii="Times New Roman" w:hAnsi="Times New Roman" w:eastAsia="方正仿宋_GBK"/>
                <w:sz w:val="24"/>
              </w:rPr>
            </w:pPr>
            <w:r>
              <w:rPr>
                <w:rFonts w:ascii="Times New Roman" w:hAnsi="Times New Roman" w:eastAsia="方正仿宋_GBK"/>
                <w:sz w:val="24"/>
              </w:rPr>
              <w:t>1200</w:t>
            </w:r>
          </w:p>
        </w:tc>
        <w:tc>
          <w:tcPr>
            <w:tcW w:w="2809" w:type="dxa"/>
            <w:tcBorders>
              <w:top w:val="single" w:color="auto" w:sz="4" w:space="0"/>
              <w:left w:val="single" w:color="auto" w:sz="4" w:space="0"/>
              <w:bottom w:val="single" w:color="auto" w:sz="8" w:space="0"/>
              <w:right w:val="single" w:color="auto" w:sz="8" w:space="0"/>
            </w:tcBorders>
            <w:vAlign w:val="center"/>
          </w:tcPr>
          <w:p>
            <w:pPr>
              <w:widowControl/>
              <w:spacing w:line="280" w:lineRule="exact"/>
              <w:jc w:val="left"/>
              <w:rPr>
                <w:rFonts w:ascii="Times New Roman" w:hAnsi="Times New Roman" w:eastAsia="方正仿宋_GBK"/>
                <w:sz w:val="24"/>
              </w:rPr>
            </w:pPr>
            <w:r>
              <w:rPr>
                <w:rFonts w:hint="eastAsia" w:ascii="Times New Roman" w:hAnsi="Times New Roman" w:eastAsia="方正仿宋_GBK"/>
                <w:sz w:val="24"/>
              </w:rPr>
              <w:t>由征地单位公告坟主，按期迁葬，逾期不迁葬，按无坟主处理。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41" w:type="dxa"/>
            <w:tcBorders>
              <w:top w:val="single" w:color="auto" w:sz="4" w:space="0"/>
              <w:left w:val="single" w:color="auto" w:sz="8"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地坝</w:t>
            </w:r>
          </w:p>
        </w:tc>
        <w:tc>
          <w:tcPr>
            <w:tcW w:w="2154"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铆杆挡土墙</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石板</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水泥</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三合土</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土</w:t>
            </w:r>
          </w:p>
        </w:tc>
        <w:tc>
          <w:tcPr>
            <w:tcW w:w="862"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平</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方</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米</w:t>
            </w:r>
          </w:p>
        </w:tc>
        <w:tc>
          <w:tcPr>
            <w:tcW w:w="1259"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ascii="Times New Roman" w:hAnsi="Times New Roman" w:eastAsia="方正仿宋_GBK"/>
                <w:sz w:val="24"/>
              </w:rPr>
              <w:t>84</w:t>
            </w:r>
          </w:p>
          <w:p>
            <w:pPr>
              <w:widowControl/>
              <w:spacing w:line="280" w:lineRule="exact"/>
              <w:jc w:val="center"/>
              <w:rPr>
                <w:rFonts w:ascii="Times New Roman" w:hAnsi="Times New Roman" w:eastAsia="方正仿宋_GBK"/>
                <w:sz w:val="24"/>
              </w:rPr>
            </w:pPr>
            <w:r>
              <w:rPr>
                <w:rFonts w:ascii="Times New Roman" w:hAnsi="Times New Roman" w:eastAsia="方正仿宋_GBK"/>
                <w:sz w:val="24"/>
              </w:rPr>
              <w:t>21</w:t>
            </w:r>
          </w:p>
          <w:p>
            <w:pPr>
              <w:widowControl/>
              <w:spacing w:line="280" w:lineRule="exact"/>
              <w:jc w:val="center"/>
              <w:rPr>
                <w:rFonts w:ascii="Times New Roman" w:hAnsi="Times New Roman" w:eastAsia="方正仿宋_GBK"/>
                <w:sz w:val="24"/>
              </w:rPr>
            </w:pPr>
            <w:r>
              <w:rPr>
                <w:rFonts w:ascii="Times New Roman" w:hAnsi="Times New Roman" w:eastAsia="方正仿宋_GBK"/>
                <w:sz w:val="24"/>
              </w:rPr>
              <w:t>33</w:t>
            </w:r>
          </w:p>
          <w:p>
            <w:pPr>
              <w:widowControl/>
              <w:spacing w:line="280" w:lineRule="exact"/>
              <w:jc w:val="center"/>
              <w:rPr>
                <w:rFonts w:ascii="Times New Roman" w:hAnsi="Times New Roman" w:eastAsia="方正仿宋_GBK"/>
                <w:sz w:val="24"/>
              </w:rPr>
            </w:pPr>
            <w:r>
              <w:rPr>
                <w:rFonts w:ascii="Times New Roman" w:hAnsi="Times New Roman" w:eastAsia="方正仿宋_GBK"/>
                <w:sz w:val="24"/>
              </w:rPr>
              <w:t>18</w:t>
            </w:r>
          </w:p>
          <w:p>
            <w:pPr>
              <w:widowControl/>
              <w:spacing w:line="280" w:lineRule="exact"/>
              <w:jc w:val="center"/>
              <w:rPr>
                <w:rFonts w:ascii="Times New Roman" w:hAnsi="Times New Roman" w:eastAsia="方正仿宋_GBK"/>
                <w:sz w:val="24"/>
              </w:rPr>
            </w:pPr>
            <w:r>
              <w:rPr>
                <w:rFonts w:ascii="Times New Roman" w:hAnsi="Times New Roman" w:eastAsia="方正仿宋_GBK"/>
                <w:sz w:val="24"/>
              </w:rPr>
              <w:t>9</w:t>
            </w:r>
          </w:p>
        </w:tc>
        <w:tc>
          <w:tcPr>
            <w:tcW w:w="2809" w:type="dxa"/>
            <w:tcBorders>
              <w:top w:val="single" w:color="auto" w:sz="4" w:space="0"/>
              <w:left w:val="single" w:color="auto" w:sz="4" w:space="0"/>
              <w:bottom w:val="single" w:color="auto" w:sz="8" w:space="0"/>
              <w:right w:val="single" w:color="auto" w:sz="8" w:space="0"/>
            </w:tcBorders>
            <w:vAlign w:val="center"/>
          </w:tcPr>
          <w:p>
            <w:pPr>
              <w:widowControl/>
              <w:spacing w:line="280" w:lineRule="exact"/>
              <w:jc w:val="left"/>
              <w:rPr>
                <w:rFonts w:ascii="Times New Roman" w:hAnsi="Times New Roman" w:eastAsia="方正仿宋_GBK"/>
                <w:sz w:val="24"/>
              </w:rPr>
            </w:pPr>
            <w:r>
              <w:rPr>
                <w:rFonts w:hint="eastAsia" w:ascii="Times New Roman" w:hAnsi="Times New Roman" w:eastAsia="方正仿宋_GBK"/>
                <w:sz w:val="24"/>
              </w:rPr>
              <w:t>地坝：指正规成形的晒坝或院坝，非正规不成形的零星小块弃平地，不论是三合土地面或土质地面等，一律不计算补偿。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41" w:type="dxa"/>
            <w:tcBorders>
              <w:top w:val="single" w:color="auto" w:sz="4" w:space="0"/>
              <w:left w:val="single" w:color="auto" w:sz="8"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粪池贮水池</w:t>
            </w:r>
          </w:p>
        </w:tc>
        <w:tc>
          <w:tcPr>
            <w:tcW w:w="2154"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条石、坚石硬打</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三合土、水泥</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土</w:t>
            </w:r>
          </w:p>
        </w:tc>
        <w:tc>
          <w:tcPr>
            <w:tcW w:w="862"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立</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方</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米</w:t>
            </w:r>
          </w:p>
        </w:tc>
        <w:tc>
          <w:tcPr>
            <w:tcW w:w="1259"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ascii="Times New Roman" w:hAnsi="Times New Roman" w:eastAsia="方正仿宋_GBK"/>
                <w:sz w:val="24"/>
              </w:rPr>
              <w:t>117</w:t>
            </w:r>
          </w:p>
          <w:p>
            <w:pPr>
              <w:widowControl/>
              <w:spacing w:line="280" w:lineRule="exact"/>
              <w:jc w:val="center"/>
              <w:rPr>
                <w:rFonts w:ascii="Times New Roman" w:hAnsi="Times New Roman" w:eastAsia="方正仿宋_GBK"/>
                <w:sz w:val="24"/>
              </w:rPr>
            </w:pPr>
            <w:r>
              <w:rPr>
                <w:rFonts w:ascii="Times New Roman" w:hAnsi="Times New Roman" w:eastAsia="方正仿宋_GBK"/>
                <w:sz w:val="24"/>
              </w:rPr>
              <w:t>33</w:t>
            </w:r>
          </w:p>
          <w:p>
            <w:pPr>
              <w:widowControl/>
              <w:spacing w:line="280" w:lineRule="exact"/>
              <w:jc w:val="center"/>
              <w:rPr>
                <w:rFonts w:ascii="Times New Roman" w:hAnsi="Times New Roman" w:eastAsia="方正仿宋_GBK"/>
                <w:sz w:val="24"/>
              </w:rPr>
            </w:pPr>
            <w:r>
              <w:rPr>
                <w:rFonts w:ascii="Times New Roman" w:hAnsi="Times New Roman" w:eastAsia="方正仿宋_GBK"/>
                <w:sz w:val="24"/>
              </w:rPr>
              <w:t>18</w:t>
            </w:r>
          </w:p>
        </w:tc>
        <w:tc>
          <w:tcPr>
            <w:tcW w:w="2809" w:type="dxa"/>
            <w:tcBorders>
              <w:top w:val="single" w:color="auto" w:sz="4" w:space="0"/>
              <w:left w:val="single" w:color="auto" w:sz="4" w:space="0"/>
              <w:bottom w:val="single" w:color="auto" w:sz="8" w:space="0"/>
              <w:right w:val="single" w:color="auto" w:sz="8" w:space="0"/>
            </w:tcBorders>
            <w:vAlign w:val="center"/>
          </w:tcPr>
          <w:p>
            <w:pPr>
              <w:widowControl/>
              <w:spacing w:line="280" w:lineRule="exact"/>
              <w:jc w:val="left"/>
              <w:rPr>
                <w:rFonts w:ascii="Times New Roman" w:hAnsi="Times New Roman" w:eastAsia="方正仿宋_GBK"/>
                <w:sz w:val="24"/>
              </w:rPr>
            </w:pPr>
            <w:r>
              <w:rPr>
                <w:rFonts w:hint="eastAsia" w:ascii="Times New Roman" w:hAnsi="Times New Roman" w:eastAsia="方正仿宋_GBK"/>
                <w:sz w:val="24"/>
              </w:rPr>
              <w:t>农民自建室内粪坑和燕窝形粪坑，一律不予补偿。已按照标准补偿的粪池、贮水池，其材料费不再补偿。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1841" w:type="dxa"/>
            <w:tcBorders>
              <w:top w:val="single" w:color="auto" w:sz="4" w:space="0"/>
              <w:left w:val="single" w:color="auto" w:sz="8"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水渠</w:t>
            </w:r>
          </w:p>
        </w:tc>
        <w:tc>
          <w:tcPr>
            <w:tcW w:w="2154"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条石、砖砌</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片石</w:t>
            </w:r>
            <w:r>
              <w:rPr>
                <w:rFonts w:ascii="Times New Roman" w:hAnsi="Times New Roman" w:eastAsia="方正仿宋_GBK"/>
                <w:sz w:val="24"/>
              </w:rPr>
              <w:t>(</w:t>
            </w:r>
            <w:r>
              <w:rPr>
                <w:rFonts w:hint="eastAsia" w:ascii="Times New Roman" w:hAnsi="Times New Roman" w:eastAsia="方正仿宋_GBK"/>
                <w:sz w:val="24"/>
              </w:rPr>
              <w:t>砖、三合土</w:t>
            </w:r>
            <w:r>
              <w:rPr>
                <w:rFonts w:ascii="Times New Roman" w:hAnsi="Times New Roman" w:eastAsia="方正仿宋_GBK"/>
                <w:sz w:val="24"/>
              </w:rPr>
              <w:t>)</w:t>
            </w:r>
          </w:p>
        </w:tc>
        <w:tc>
          <w:tcPr>
            <w:tcW w:w="862"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立</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方</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米</w:t>
            </w:r>
          </w:p>
        </w:tc>
        <w:tc>
          <w:tcPr>
            <w:tcW w:w="1259"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ascii="Times New Roman" w:hAnsi="Times New Roman" w:eastAsia="方正仿宋_GBK"/>
                <w:sz w:val="24"/>
              </w:rPr>
              <w:t>165</w:t>
            </w:r>
          </w:p>
          <w:p>
            <w:pPr>
              <w:widowControl/>
              <w:spacing w:line="280" w:lineRule="exact"/>
              <w:jc w:val="center"/>
              <w:rPr>
                <w:rFonts w:ascii="Times New Roman" w:hAnsi="Times New Roman" w:eastAsia="方正仿宋_GBK"/>
                <w:sz w:val="24"/>
              </w:rPr>
            </w:pPr>
            <w:r>
              <w:rPr>
                <w:rFonts w:ascii="Times New Roman" w:hAnsi="Times New Roman" w:eastAsia="方正仿宋_GBK"/>
                <w:sz w:val="24"/>
              </w:rPr>
              <w:t>84</w:t>
            </w:r>
          </w:p>
        </w:tc>
        <w:tc>
          <w:tcPr>
            <w:tcW w:w="2809" w:type="dxa"/>
            <w:tcBorders>
              <w:top w:val="single" w:color="auto" w:sz="4" w:space="0"/>
              <w:left w:val="single" w:color="auto" w:sz="4" w:space="0"/>
              <w:bottom w:val="single" w:color="auto" w:sz="8" w:space="0"/>
              <w:right w:val="single" w:color="auto" w:sz="8" w:space="0"/>
            </w:tcBorders>
            <w:vAlign w:val="center"/>
          </w:tcPr>
          <w:p>
            <w:pPr>
              <w:widowControl/>
              <w:spacing w:line="280" w:lineRule="exact"/>
              <w:jc w:val="left"/>
              <w:rPr>
                <w:rFonts w:ascii="Times New Roman" w:hAnsi="Times New Roman" w:eastAsia="方正仿宋_GBK"/>
                <w:sz w:val="24"/>
              </w:rPr>
            </w:pPr>
            <w:r>
              <w:rPr>
                <w:rFonts w:hint="eastAsia" w:ascii="Times New Roman" w:hAnsi="Times New Roman" w:eastAsia="方正仿宋_GBK"/>
                <w:sz w:val="24"/>
              </w:rPr>
              <w:t>指村社人工砌筑的专用水渠。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841" w:type="dxa"/>
            <w:tcBorders>
              <w:top w:val="single" w:color="auto" w:sz="4" w:space="0"/>
              <w:left w:val="single" w:color="auto" w:sz="8"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电杆</w:t>
            </w:r>
          </w:p>
        </w:tc>
        <w:tc>
          <w:tcPr>
            <w:tcW w:w="2154"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ascii="Times New Roman" w:hAnsi="Times New Roman" w:eastAsia="方正仿宋_GBK"/>
                <w:sz w:val="24"/>
              </w:rPr>
              <w:t>9</w:t>
            </w:r>
            <w:r>
              <w:rPr>
                <w:rFonts w:hint="eastAsia" w:ascii="Times New Roman" w:hAnsi="Times New Roman" w:eastAsia="方正仿宋_GBK"/>
                <w:sz w:val="24"/>
              </w:rPr>
              <w:t>米以上圆电杆</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水泥方电杆（含</w:t>
            </w:r>
            <w:r>
              <w:rPr>
                <w:rFonts w:ascii="Times New Roman" w:hAnsi="Times New Roman" w:eastAsia="方正仿宋_GBK"/>
                <w:sz w:val="24"/>
              </w:rPr>
              <w:t>9</w:t>
            </w:r>
            <w:r>
              <w:rPr>
                <w:rFonts w:hint="eastAsia" w:ascii="Times New Roman" w:hAnsi="Times New Roman" w:eastAsia="方正仿宋_GBK"/>
                <w:sz w:val="24"/>
              </w:rPr>
              <w:t>米以下圆电杆）</w:t>
            </w:r>
          </w:p>
        </w:tc>
        <w:tc>
          <w:tcPr>
            <w:tcW w:w="862"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根</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根</w:t>
            </w:r>
          </w:p>
          <w:p>
            <w:pPr>
              <w:widowControl/>
              <w:spacing w:line="280" w:lineRule="exact"/>
              <w:jc w:val="center"/>
              <w:rPr>
                <w:rFonts w:ascii="Times New Roman" w:hAnsi="Times New Roman" w:eastAsia="方正仿宋_GBK"/>
                <w:sz w:val="24"/>
              </w:rPr>
            </w:pPr>
          </w:p>
        </w:tc>
        <w:tc>
          <w:tcPr>
            <w:tcW w:w="1259"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ascii="Times New Roman" w:hAnsi="Times New Roman" w:eastAsia="方正仿宋_GBK"/>
                <w:sz w:val="24"/>
              </w:rPr>
              <w:t>297</w:t>
            </w:r>
          </w:p>
          <w:p>
            <w:pPr>
              <w:widowControl/>
              <w:spacing w:line="280" w:lineRule="exact"/>
              <w:jc w:val="center"/>
              <w:rPr>
                <w:rFonts w:ascii="Times New Roman" w:hAnsi="Times New Roman" w:eastAsia="方正仿宋_GBK"/>
                <w:sz w:val="24"/>
              </w:rPr>
            </w:pPr>
            <w:r>
              <w:rPr>
                <w:rFonts w:ascii="Times New Roman" w:hAnsi="Times New Roman" w:eastAsia="方正仿宋_GBK"/>
                <w:sz w:val="24"/>
              </w:rPr>
              <w:t>165</w:t>
            </w:r>
          </w:p>
          <w:p>
            <w:pPr>
              <w:widowControl/>
              <w:spacing w:line="280" w:lineRule="exact"/>
              <w:jc w:val="center"/>
              <w:rPr>
                <w:rFonts w:ascii="Times New Roman" w:hAnsi="Times New Roman" w:eastAsia="方正仿宋_GBK"/>
                <w:sz w:val="24"/>
              </w:rPr>
            </w:pPr>
          </w:p>
        </w:tc>
        <w:tc>
          <w:tcPr>
            <w:tcW w:w="2809" w:type="dxa"/>
            <w:tcBorders>
              <w:top w:val="single" w:color="auto" w:sz="4" w:space="0"/>
              <w:left w:val="single" w:color="auto" w:sz="4" w:space="0"/>
              <w:bottom w:val="single" w:color="auto" w:sz="8" w:space="0"/>
              <w:right w:val="single" w:color="auto" w:sz="8" w:space="0"/>
            </w:tcBorders>
            <w:vAlign w:val="center"/>
          </w:tcPr>
          <w:p>
            <w:pPr>
              <w:widowControl/>
              <w:spacing w:line="28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841" w:type="dxa"/>
            <w:tcBorders>
              <w:top w:val="single" w:color="auto" w:sz="4" w:space="0"/>
              <w:left w:val="single" w:color="auto" w:sz="8"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电线</w:t>
            </w:r>
          </w:p>
        </w:tc>
        <w:tc>
          <w:tcPr>
            <w:tcW w:w="2154"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室外照明电线</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动力电线</w:t>
            </w:r>
          </w:p>
        </w:tc>
        <w:tc>
          <w:tcPr>
            <w:tcW w:w="862"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米</w:t>
            </w:r>
          </w:p>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米</w:t>
            </w:r>
          </w:p>
        </w:tc>
        <w:tc>
          <w:tcPr>
            <w:tcW w:w="1259"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ascii="Times New Roman" w:hAnsi="Times New Roman" w:eastAsia="方正仿宋_GBK"/>
                <w:sz w:val="24"/>
              </w:rPr>
              <w:t>6</w:t>
            </w:r>
          </w:p>
          <w:p>
            <w:pPr>
              <w:widowControl/>
              <w:spacing w:line="280" w:lineRule="exact"/>
              <w:jc w:val="center"/>
              <w:rPr>
                <w:rFonts w:ascii="Times New Roman" w:hAnsi="Times New Roman" w:eastAsia="方正仿宋_GBK"/>
                <w:sz w:val="24"/>
              </w:rPr>
            </w:pPr>
            <w:r>
              <w:rPr>
                <w:rFonts w:ascii="Times New Roman" w:hAnsi="Times New Roman" w:eastAsia="方正仿宋_GBK"/>
                <w:sz w:val="24"/>
              </w:rPr>
              <w:t>9</w:t>
            </w:r>
          </w:p>
        </w:tc>
        <w:tc>
          <w:tcPr>
            <w:tcW w:w="2809" w:type="dxa"/>
            <w:tcBorders>
              <w:top w:val="single" w:color="auto" w:sz="4" w:space="0"/>
              <w:left w:val="single" w:color="auto" w:sz="4" w:space="0"/>
              <w:bottom w:val="single" w:color="auto" w:sz="8" w:space="0"/>
              <w:right w:val="single" w:color="auto" w:sz="8" w:space="0"/>
            </w:tcBorders>
            <w:vAlign w:val="center"/>
          </w:tcPr>
          <w:p>
            <w:pPr>
              <w:widowControl/>
              <w:spacing w:line="28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41" w:type="dxa"/>
            <w:tcBorders>
              <w:top w:val="single" w:color="auto" w:sz="4" w:space="0"/>
              <w:left w:val="single" w:color="auto" w:sz="8"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水管</w:t>
            </w:r>
          </w:p>
        </w:tc>
        <w:tc>
          <w:tcPr>
            <w:tcW w:w="2154"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室外饮水管</w:t>
            </w:r>
          </w:p>
        </w:tc>
        <w:tc>
          <w:tcPr>
            <w:tcW w:w="862"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米</w:t>
            </w:r>
          </w:p>
        </w:tc>
        <w:tc>
          <w:tcPr>
            <w:tcW w:w="1259"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ascii="Times New Roman" w:hAnsi="Times New Roman" w:eastAsia="方正仿宋_GBK"/>
                <w:sz w:val="24"/>
              </w:rPr>
              <w:t>7.5</w:t>
            </w:r>
          </w:p>
        </w:tc>
        <w:tc>
          <w:tcPr>
            <w:tcW w:w="2809" w:type="dxa"/>
            <w:tcBorders>
              <w:top w:val="single" w:color="auto" w:sz="4" w:space="0"/>
              <w:left w:val="single" w:color="auto" w:sz="4" w:space="0"/>
              <w:bottom w:val="single" w:color="auto" w:sz="8" w:space="0"/>
              <w:right w:val="single" w:color="auto" w:sz="8"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不含市政管网。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41" w:type="dxa"/>
            <w:tcBorders>
              <w:top w:val="single" w:color="auto" w:sz="4" w:space="0"/>
              <w:left w:val="single" w:color="auto" w:sz="8"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钢架大棚</w:t>
            </w:r>
          </w:p>
        </w:tc>
        <w:tc>
          <w:tcPr>
            <w:tcW w:w="2154"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钢架薄膜</w:t>
            </w:r>
          </w:p>
        </w:tc>
        <w:tc>
          <w:tcPr>
            <w:tcW w:w="862"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hint="eastAsia" w:ascii="Times New Roman" w:hAnsi="Times New Roman" w:eastAsia="方正仿宋_GBK"/>
                <w:sz w:val="24"/>
              </w:rPr>
              <w:t>亩</w:t>
            </w:r>
          </w:p>
        </w:tc>
        <w:tc>
          <w:tcPr>
            <w:tcW w:w="1259" w:type="dxa"/>
            <w:tcBorders>
              <w:top w:val="single" w:color="auto" w:sz="4" w:space="0"/>
              <w:left w:val="single" w:color="auto"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sz w:val="24"/>
              </w:rPr>
            </w:pPr>
            <w:r>
              <w:rPr>
                <w:rFonts w:ascii="Times New Roman" w:hAnsi="Times New Roman" w:eastAsia="方正仿宋_GBK"/>
                <w:sz w:val="24"/>
              </w:rPr>
              <w:t>7500</w:t>
            </w:r>
          </w:p>
        </w:tc>
        <w:tc>
          <w:tcPr>
            <w:tcW w:w="2809" w:type="dxa"/>
            <w:tcBorders>
              <w:top w:val="single" w:color="auto" w:sz="4" w:space="0"/>
              <w:left w:val="single" w:color="auto" w:sz="4" w:space="0"/>
              <w:bottom w:val="single" w:color="auto" w:sz="8" w:space="0"/>
              <w:right w:val="single" w:color="auto" w:sz="8" w:space="0"/>
            </w:tcBorders>
            <w:vAlign w:val="center"/>
          </w:tcPr>
          <w:p>
            <w:pPr>
              <w:widowControl/>
              <w:spacing w:line="280" w:lineRule="exact"/>
              <w:jc w:val="center"/>
              <w:rPr>
                <w:rFonts w:ascii="Times New Roman" w:hAnsi="Times New Roman" w:eastAsia="方正仿宋_GBK"/>
                <w:sz w:val="24"/>
              </w:rPr>
            </w:pPr>
          </w:p>
        </w:tc>
      </w:tr>
    </w:tbl>
    <w:p>
      <w:pPr>
        <w:rPr>
          <w:rFonts w:ascii="Times New Roman" w:hAnsi="Times New Roman" w:eastAsia="方正仿宋_GBK" w:cs="Times New Roman"/>
          <w:sz w:val="11"/>
          <w:szCs w:val="11"/>
        </w:rPr>
      </w:pPr>
    </w:p>
    <w:sectPr>
      <w:pgSz w:w="11906" w:h="16838"/>
      <w:pgMar w:top="2098" w:right="1701" w:bottom="1985"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F01"/>
    <w:rsid w:val="0015370D"/>
    <w:rsid w:val="00194310"/>
    <w:rsid w:val="00212A87"/>
    <w:rsid w:val="0025655E"/>
    <w:rsid w:val="00332425"/>
    <w:rsid w:val="00462882"/>
    <w:rsid w:val="004F4C2A"/>
    <w:rsid w:val="004F7D03"/>
    <w:rsid w:val="00537F8D"/>
    <w:rsid w:val="00564712"/>
    <w:rsid w:val="005F5A4B"/>
    <w:rsid w:val="00821533"/>
    <w:rsid w:val="00845F01"/>
    <w:rsid w:val="008811BB"/>
    <w:rsid w:val="00965AEF"/>
    <w:rsid w:val="00B45A2F"/>
    <w:rsid w:val="00B83716"/>
    <w:rsid w:val="00C6480E"/>
    <w:rsid w:val="00CE7C97"/>
    <w:rsid w:val="00D7061F"/>
    <w:rsid w:val="00E514F6"/>
    <w:rsid w:val="00ED6345"/>
    <w:rsid w:val="00EF324E"/>
    <w:rsid w:val="00F52462"/>
    <w:rsid w:val="00F75E08"/>
    <w:rsid w:val="00FB0F6B"/>
    <w:rsid w:val="05A75DEC"/>
    <w:rsid w:val="0777144D"/>
    <w:rsid w:val="0A684579"/>
    <w:rsid w:val="0BB94F65"/>
    <w:rsid w:val="0DAB7610"/>
    <w:rsid w:val="13306535"/>
    <w:rsid w:val="15181E4E"/>
    <w:rsid w:val="1B835B06"/>
    <w:rsid w:val="1D94396B"/>
    <w:rsid w:val="21CA737F"/>
    <w:rsid w:val="2A2E5E75"/>
    <w:rsid w:val="2F51068F"/>
    <w:rsid w:val="2FC30F6D"/>
    <w:rsid w:val="337323F4"/>
    <w:rsid w:val="3BA9716D"/>
    <w:rsid w:val="3E6C1D3C"/>
    <w:rsid w:val="436F4B20"/>
    <w:rsid w:val="46727E5D"/>
    <w:rsid w:val="471C386A"/>
    <w:rsid w:val="4A9C28FE"/>
    <w:rsid w:val="4BA63004"/>
    <w:rsid w:val="4FD31DEF"/>
    <w:rsid w:val="58C17575"/>
    <w:rsid w:val="5B71087A"/>
    <w:rsid w:val="6208025F"/>
    <w:rsid w:val="622B1470"/>
    <w:rsid w:val="6253551F"/>
    <w:rsid w:val="6F7849CF"/>
    <w:rsid w:val="6F901A89"/>
    <w:rsid w:val="722B48F6"/>
    <w:rsid w:val="77DF05B3"/>
    <w:rsid w:val="78C86F78"/>
    <w:rsid w:val="7C426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563C1" w:themeColor="hyperlink"/>
      <w:u w:val="single"/>
      <w14:textFill>
        <w14:solidFill>
          <w14:schemeClr w14:val="hlink"/>
        </w14:solidFill>
      </w14:textFill>
    </w:rPr>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 w:type="character" w:customStyle="1" w:styleId="8">
    <w:name w:val="页脚 字符"/>
    <w:basedOn w:val="5"/>
    <w:link w:val="2"/>
    <w:qFormat/>
    <w:uiPriority w:val="0"/>
    <w:rPr>
      <w:rFonts w:asciiTheme="minorHAnsi" w:hAnsiTheme="minorHAnsi" w:eastAsiaTheme="minorEastAsia" w:cstheme="minorBidi"/>
      <w:kern w:val="2"/>
      <w:sz w:val="18"/>
      <w:szCs w:val="18"/>
    </w:rPr>
  </w:style>
  <w:style w:type="paragraph" w:customStyle="1" w:styleId="9">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1264</Words>
  <Characters>7209</Characters>
  <Lines>60</Lines>
  <Paragraphs>16</Paragraphs>
  <TotalTime>0</TotalTime>
  <ScaleCrop>false</ScaleCrop>
  <LinksUpToDate>false</LinksUpToDate>
  <CharactersWithSpaces>8457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2021-06-02T02:00:00Z</dcterms:created>
  <dc:creator>admin</dc:creator>
  <cp:lastModifiedBy>胡木</cp:lastModifiedBy>
  <cp:lastPrinted>2021-06-01T01:58:00Z</cp:lastPrinted>
  <dcterms:modified xsi:type="dcterms:W3CDTF">2021-06-02T03:34:43Z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