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064860">
      <w:pPr>
        <w:shd w:val="solid" w:color="FFFFFF" w:fill="auto"/>
        <w:autoSpaceDE w:val="0"/>
        <w:spacing w:beforeAutospacing="1" w:afterAutospacing="1" w:line="500" w:lineRule="exact"/>
        <w:ind w:firstLine="720" w:firstLineChars="200"/>
        <w:jc w:val="center"/>
        <w:rPr>
          <w:rFonts w:ascii="方正小标宋_GBK" w:hAnsi="方正小标宋_GBK" w:eastAsia="方正小标宋_GBK" w:cs="方正小标宋_GBK"/>
          <w:sz w:val="36"/>
          <w:szCs w:val="36"/>
          <w:lang w:val="zh-CN"/>
        </w:rPr>
      </w:pPr>
      <w:bookmarkStart w:id="16" w:name="_GoBack"/>
      <w:bookmarkEnd w:id="16"/>
      <w:r>
        <w:rPr>
          <w:rFonts w:hint="eastAsia" w:ascii="方正小标宋_GBK" w:hAnsi="方正小标宋_GBK" w:eastAsia="方正小标宋_GBK" w:cs="方正小标宋_GBK"/>
          <w:sz w:val="36"/>
          <w:szCs w:val="36"/>
          <w:lang w:val="zh-CN"/>
        </w:rPr>
        <w:t>重庆市九龙坡区教育系统2021年集中实施的部分基建维修工程的监理（限下项目，二十六所学校）</w:t>
      </w:r>
    </w:p>
    <w:p w14:paraId="4133A8A7">
      <w:pPr>
        <w:shd w:val="solid" w:color="FFFFFF" w:fill="auto"/>
        <w:autoSpaceDE w:val="0"/>
        <w:spacing w:beforeAutospacing="1" w:afterAutospacing="1" w:line="500" w:lineRule="exact"/>
        <w:ind w:firstLine="3240" w:firstLineChars="900"/>
      </w:pPr>
      <w:r>
        <w:rPr>
          <w:rFonts w:hint="eastAsia" w:ascii="方正小标宋_GBK" w:hAnsi="方正小标宋_GBK" w:eastAsia="方正小标宋_GBK" w:cs="方正小标宋_GBK"/>
          <w:sz w:val="36"/>
          <w:szCs w:val="36"/>
        </w:rPr>
        <w:t>竞争性比选公告</w:t>
      </w:r>
    </w:p>
    <w:p w14:paraId="5269898A">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项目名称：重庆市九龙坡区教育系统2021年集中实施的部分基建维修工程的监理（限下项目，二十六所学校）。</w:t>
      </w:r>
    </w:p>
    <w:p w14:paraId="1AEE47A2">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本竞争性比选项目已由重庆市九龙坡区发展和改革委员会批准建设，项目资金由区财政筹措解决。</w:t>
      </w:r>
    </w:p>
    <w:p w14:paraId="33B1BB04">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三、发包方式：竞争性比选。</w:t>
      </w:r>
    </w:p>
    <w:p w14:paraId="0F6AFDD2">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四、实施项目内容分包情况、承包范围、最高限价、工期要求    </w:t>
      </w:r>
    </w:p>
    <w:tbl>
      <w:tblPr>
        <w:tblStyle w:val="13"/>
        <w:tblpPr w:leftFromText="180" w:rightFromText="180" w:vertAnchor="text" w:horzAnchor="margin" w:tblpXSpec="center" w:tblpY="448"/>
        <w:tblOverlap w:val="never"/>
        <w:tblW w:w="109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1559"/>
        <w:gridCol w:w="1418"/>
        <w:gridCol w:w="2126"/>
        <w:gridCol w:w="1134"/>
        <w:gridCol w:w="992"/>
        <w:gridCol w:w="1276"/>
        <w:gridCol w:w="1276"/>
      </w:tblGrid>
      <w:tr w14:paraId="3A103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68" w:type="dxa"/>
            <w:tcBorders>
              <w:top w:val="single" w:color="auto" w:sz="4" w:space="0"/>
              <w:left w:val="single" w:color="auto" w:sz="4" w:space="0"/>
              <w:bottom w:val="single" w:color="auto" w:sz="4" w:space="0"/>
              <w:right w:val="single" w:color="auto" w:sz="4" w:space="0"/>
            </w:tcBorders>
            <w:vAlign w:val="center"/>
          </w:tcPr>
          <w:p w14:paraId="7B6C3EAC">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序号</w:t>
            </w:r>
          </w:p>
        </w:tc>
        <w:tc>
          <w:tcPr>
            <w:tcW w:w="567" w:type="dxa"/>
            <w:tcBorders>
              <w:top w:val="single" w:color="auto" w:sz="4" w:space="0"/>
              <w:left w:val="nil"/>
              <w:bottom w:val="single" w:color="auto" w:sz="4" w:space="0"/>
              <w:right w:val="single" w:color="auto" w:sz="4" w:space="0"/>
            </w:tcBorders>
            <w:vAlign w:val="center"/>
          </w:tcPr>
          <w:p w14:paraId="2FBE17D5">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包号</w:t>
            </w:r>
          </w:p>
        </w:tc>
        <w:tc>
          <w:tcPr>
            <w:tcW w:w="1559" w:type="dxa"/>
            <w:tcBorders>
              <w:top w:val="single" w:color="auto" w:sz="4" w:space="0"/>
              <w:left w:val="nil"/>
              <w:bottom w:val="single" w:color="auto" w:sz="4" w:space="0"/>
              <w:right w:val="single" w:color="auto" w:sz="4" w:space="0"/>
            </w:tcBorders>
            <w:vAlign w:val="center"/>
          </w:tcPr>
          <w:p w14:paraId="191072BC">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项目业主</w:t>
            </w:r>
          </w:p>
        </w:tc>
        <w:tc>
          <w:tcPr>
            <w:tcW w:w="1418" w:type="dxa"/>
            <w:tcBorders>
              <w:top w:val="single" w:color="auto" w:sz="4" w:space="0"/>
              <w:left w:val="nil"/>
              <w:bottom w:val="single" w:color="auto" w:sz="4" w:space="0"/>
              <w:right w:val="single" w:color="auto" w:sz="4" w:space="0"/>
            </w:tcBorders>
            <w:vAlign w:val="center"/>
          </w:tcPr>
          <w:p w14:paraId="0A51364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项目概况及建设规模</w:t>
            </w:r>
          </w:p>
        </w:tc>
        <w:tc>
          <w:tcPr>
            <w:tcW w:w="2126" w:type="dxa"/>
            <w:tcBorders>
              <w:top w:val="single" w:color="auto" w:sz="4" w:space="0"/>
              <w:left w:val="single" w:color="auto" w:sz="4" w:space="0"/>
              <w:bottom w:val="single" w:color="auto" w:sz="4" w:space="0"/>
              <w:right w:val="single" w:color="auto" w:sz="4" w:space="0"/>
            </w:tcBorders>
            <w:vAlign w:val="center"/>
          </w:tcPr>
          <w:p w14:paraId="33B59038">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监理范围</w:t>
            </w:r>
          </w:p>
        </w:tc>
        <w:tc>
          <w:tcPr>
            <w:tcW w:w="1134" w:type="dxa"/>
            <w:tcBorders>
              <w:top w:val="single" w:color="auto" w:sz="4" w:space="0"/>
              <w:left w:val="nil"/>
              <w:bottom w:val="single" w:color="auto" w:sz="4" w:space="0"/>
              <w:right w:val="single" w:color="auto" w:sz="4" w:space="0"/>
            </w:tcBorders>
            <w:vAlign w:val="center"/>
          </w:tcPr>
          <w:p w14:paraId="2B219DD4">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最高限价（元）</w:t>
            </w:r>
          </w:p>
        </w:tc>
        <w:tc>
          <w:tcPr>
            <w:tcW w:w="992" w:type="dxa"/>
            <w:tcBorders>
              <w:top w:val="single" w:color="auto" w:sz="4" w:space="0"/>
              <w:left w:val="nil"/>
              <w:bottom w:val="single" w:color="auto" w:sz="4" w:space="0"/>
              <w:right w:val="single" w:color="auto" w:sz="4" w:space="0"/>
            </w:tcBorders>
          </w:tcPr>
          <w:p w14:paraId="7E108BD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最高限价合计（元）</w:t>
            </w:r>
          </w:p>
        </w:tc>
        <w:tc>
          <w:tcPr>
            <w:tcW w:w="1276" w:type="dxa"/>
            <w:tcBorders>
              <w:top w:val="single" w:color="auto" w:sz="4" w:space="0"/>
              <w:left w:val="single" w:color="auto" w:sz="4" w:space="0"/>
              <w:bottom w:val="single" w:color="auto" w:sz="4" w:space="0"/>
              <w:right w:val="single" w:color="auto" w:sz="4" w:space="0"/>
            </w:tcBorders>
            <w:vAlign w:val="center"/>
          </w:tcPr>
          <w:p w14:paraId="11CE0354">
            <w:pPr>
              <w:adjustRightInd w:val="0"/>
              <w:snapToGrid w:val="0"/>
              <w:ind w:left="105" w:hanging="105" w:hangingChars="5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暂定工期（天）</w:t>
            </w:r>
          </w:p>
        </w:tc>
        <w:tc>
          <w:tcPr>
            <w:tcW w:w="1276" w:type="dxa"/>
            <w:tcBorders>
              <w:top w:val="single" w:color="auto" w:sz="4" w:space="0"/>
              <w:left w:val="single" w:color="auto" w:sz="4" w:space="0"/>
              <w:bottom w:val="single" w:color="auto" w:sz="4" w:space="0"/>
              <w:right w:val="single" w:color="auto" w:sz="4" w:space="0"/>
            </w:tcBorders>
          </w:tcPr>
          <w:p w14:paraId="0F59643F">
            <w:pPr>
              <w:adjustRightInd w:val="0"/>
              <w:snapToGrid w:val="0"/>
              <w:jc w:val="left"/>
              <w:rPr>
                <w:rFonts w:ascii="方正楷体_GBK" w:hAnsi="方正楷体_GBK" w:eastAsia="方正楷体_GBK" w:cs="方正楷体_GBK"/>
                <w:szCs w:val="21"/>
                <w:shd w:val="clear" w:color="auto" w:fill="FFFFFF"/>
              </w:rPr>
            </w:pPr>
          </w:p>
          <w:p w14:paraId="2ABF450D">
            <w:pPr>
              <w:adjustRightInd w:val="0"/>
              <w:snapToGrid w:val="0"/>
              <w:ind w:firstLine="105" w:firstLineChars="5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备注</w:t>
            </w:r>
          </w:p>
        </w:tc>
      </w:tr>
      <w:tr w14:paraId="7BE13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568" w:type="dxa"/>
            <w:tcBorders>
              <w:top w:val="single" w:color="auto" w:sz="4" w:space="0"/>
              <w:left w:val="single" w:color="auto" w:sz="4" w:space="0"/>
              <w:bottom w:val="single" w:color="auto" w:sz="4" w:space="0"/>
              <w:right w:val="single" w:color="auto" w:sz="4" w:space="0"/>
            </w:tcBorders>
            <w:vAlign w:val="center"/>
          </w:tcPr>
          <w:p w14:paraId="3B46FEA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w:t>
            </w:r>
          </w:p>
        </w:tc>
        <w:tc>
          <w:tcPr>
            <w:tcW w:w="567" w:type="dxa"/>
            <w:vMerge w:val="restart"/>
            <w:tcBorders>
              <w:left w:val="nil"/>
              <w:right w:val="single" w:color="auto" w:sz="4" w:space="0"/>
            </w:tcBorders>
          </w:tcPr>
          <w:p w14:paraId="247E1EDD">
            <w:pPr>
              <w:pStyle w:val="2"/>
              <w:rPr>
                <w:rFonts w:ascii="方正楷体_GBK" w:hAnsi="方正楷体_GBK" w:eastAsia="方正楷体_GBK" w:cs="方正楷体_GBK"/>
                <w:b w:val="0"/>
                <w:bCs w:val="0"/>
                <w:sz w:val="21"/>
                <w:szCs w:val="21"/>
                <w:shd w:val="clear" w:color="auto" w:fill="FFFFFF"/>
              </w:rPr>
            </w:pPr>
          </w:p>
          <w:p w14:paraId="735B28E0">
            <w:pPr>
              <w:pStyle w:val="2"/>
              <w:rPr>
                <w:rFonts w:ascii="方正楷体_GBK" w:hAnsi="方正楷体_GBK" w:eastAsia="方正楷体_GBK" w:cs="方正楷体_GBK"/>
                <w:b w:val="0"/>
                <w:bCs w:val="0"/>
                <w:sz w:val="21"/>
                <w:szCs w:val="21"/>
                <w:shd w:val="clear" w:color="auto" w:fill="FFFFFF"/>
              </w:rPr>
            </w:pPr>
          </w:p>
          <w:p w14:paraId="431BABC7">
            <w:pPr>
              <w:pStyle w:val="2"/>
              <w:rPr>
                <w:rFonts w:ascii="方正楷体_GBK" w:hAnsi="方正楷体_GBK" w:eastAsia="方正楷体_GBK" w:cs="方正楷体_GBK"/>
                <w:b w:val="0"/>
                <w:bCs w:val="0"/>
                <w:sz w:val="21"/>
                <w:szCs w:val="21"/>
                <w:shd w:val="clear" w:color="auto" w:fill="FFFFFF"/>
              </w:rPr>
            </w:pPr>
          </w:p>
          <w:p w14:paraId="4894B204">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包一</w:t>
            </w:r>
          </w:p>
        </w:tc>
        <w:tc>
          <w:tcPr>
            <w:tcW w:w="1559" w:type="dxa"/>
            <w:tcBorders>
              <w:top w:val="single" w:color="auto" w:sz="4" w:space="0"/>
              <w:left w:val="nil"/>
              <w:bottom w:val="single" w:color="auto" w:sz="4" w:space="0"/>
              <w:right w:val="single" w:color="auto" w:sz="4" w:space="0"/>
            </w:tcBorders>
            <w:vAlign w:val="center"/>
          </w:tcPr>
          <w:p w14:paraId="1505F2F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西彭二小</w:t>
            </w:r>
          </w:p>
        </w:tc>
        <w:tc>
          <w:tcPr>
            <w:tcW w:w="1418" w:type="dxa"/>
            <w:tcBorders>
              <w:top w:val="single" w:color="auto" w:sz="4" w:space="0"/>
              <w:left w:val="nil"/>
              <w:bottom w:val="single" w:color="auto" w:sz="4" w:space="0"/>
              <w:right w:val="single" w:color="auto" w:sz="4" w:space="0"/>
            </w:tcBorders>
            <w:vAlign w:val="center"/>
          </w:tcPr>
          <w:p w14:paraId="3125C1E2">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维修改造教学楼、厨房及幼儿园；环境改造</w:t>
            </w:r>
          </w:p>
        </w:tc>
        <w:tc>
          <w:tcPr>
            <w:tcW w:w="2126" w:type="dxa"/>
            <w:vMerge w:val="restart"/>
            <w:tcBorders>
              <w:top w:val="single" w:color="auto" w:sz="4" w:space="0"/>
              <w:left w:val="single" w:color="auto" w:sz="4" w:space="0"/>
              <w:right w:val="single" w:color="auto" w:sz="4" w:space="0"/>
            </w:tcBorders>
            <w:vAlign w:val="center"/>
          </w:tcPr>
          <w:p w14:paraId="6E55855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14:paraId="17837497">
            <w:pPr>
              <w:jc w:val="center"/>
              <w:rPr>
                <w:rFonts w:ascii="方正仿宋_GBK" w:hAnsi="宋体" w:eastAsia="方正仿宋_GBK" w:cs="宋体"/>
                <w:sz w:val="24"/>
                <w:szCs w:val="24"/>
              </w:rPr>
            </w:pPr>
            <w:r>
              <w:rPr>
                <w:rFonts w:hint="eastAsia" w:ascii="方正仿宋_GBK" w:eastAsia="方正仿宋_GBK"/>
              </w:rPr>
              <w:t xml:space="preserve">28000 </w:t>
            </w:r>
          </w:p>
        </w:tc>
        <w:tc>
          <w:tcPr>
            <w:tcW w:w="992" w:type="dxa"/>
            <w:vMerge w:val="restart"/>
            <w:tcBorders>
              <w:top w:val="single" w:color="auto" w:sz="4" w:space="0"/>
              <w:left w:val="nil"/>
              <w:right w:val="single" w:color="auto" w:sz="4" w:space="0"/>
            </w:tcBorders>
          </w:tcPr>
          <w:p w14:paraId="61E33451">
            <w:pPr>
              <w:adjustRightInd w:val="0"/>
              <w:snapToGrid w:val="0"/>
              <w:ind w:firstLine="210" w:firstLineChars="100"/>
              <w:jc w:val="left"/>
              <w:rPr>
                <w:rFonts w:ascii="方正楷体_GBK" w:hAnsi="方正楷体_GBK" w:eastAsia="方正楷体_GBK" w:cs="方正楷体_GBK"/>
                <w:szCs w:val="21"/>
                <w:shd w:val="clear" w:color="auto" w:fill="FFFFFF"/>
              </w:rPr>
            </w:pPr>
          </w:p>
          <w:p w14:paraId="142B5C73">
            <w:pPr>
              <w:rPr>
                <w:rFonts w:ascii="方正楷体_GBK" w:hAnsi="方正楷体_GBK" w:eastAsia="方正楷体_GBK" w:cs="方正楷体_GBK"/>
                <w:szCs w:val="21"/>
                <w:shd w:val="clear" w:color="auto" w:fill="FFFFFF"/>
              </w:rPr>
            </w:pPr>
          </w:p>
          <w:p w14:paraId="09E05EF6">
            <w:pPr>
              <w:ind w:firstLine="105" w:firstLineChars="50"/>
              <w:rPr>
                <w:rFonts w:ascii="方正楷体_GBK" w:hAnsi="方正楷体_GBK" w:eastAsia="方正楷体_GBK" w:cs="方正楷体_GBK"/>
                <w:szCs w:val="21"/>
                <w:shd w:val="clear" w:color="auto" w:fill="FFFFFF"/>
              </w:rPr>
            </w:pPr>
          </w:p>
          <w:p w14:paraId="331F6D9D">
            <w:pPr>
              <w:ind w:firstLine="105" w:firstLineChars="50"/>
              <w:rPr>
                <w:rFonts w:ascii="方正楷体_GBK" w:hAnsi="方正楷体_GBK" w:eastAsia="方正楷体_GBK" w:cs="方正楷体_GBK"/>
                <w:szCs w:val="21"/>
                <w:shd w:val="clear" w:color="auto" w:fill="FFFFFF"/>
              </w:rPr>
            </w:pPr>
          </w:p>
          <w:p w14:paraId="28DEA1D0">
            <w:pPr>
              <w:ind w:firstLine="105" w:firstLineChars="50"/>
              <w:rPr>
                <w:rFonts w:ascii="方正楷体_GBK" w:hAnsi="方正楷体_GBK" w:eastAsia="方正楷体_GBK" w:cs="方正楷体_GBK"/>
                <w:szCs w:val="21"/>
                <w:shd w:val="clear" w:color="auto" w:fill="FFFFFF"/>
              </w:rPr>
            </w:pPr>
          </w:p>
          <w:p w14:paraId="7E96D5CC">
            <w:pPr>
              <w:ind w:firstLine="105" w:firstLineChars="50"/>
            </w:pPr>
            <w:r>
              <w:rPr>
                <w:rFonts w:hint="eastAsia" w:ascii="方正楷体_GBK" w:hAnsi="方正楷体_GBK" w:eastAsia="方正楷体_GBK" w:cs="方正楷体_GBK"/>
                <w:szCs w:val="21"/>
                <w:shd w:val="clear" w:color="auto" w:fill="FFFFFF"/>
              </w:rPr>
              <w:t>95590</w:t>
            </w:r>
          </w:p>
        </w:tc>
        <w:tc>
          <w:tcPr>
            <w:tcW w:w="1276" w:type="dxa"/>
            <w:tcBorders>
              <w:top w:val="single" w:color="auto" w:sz="4" w:space="0"/>
              <w:left w:val="single" w:color="auto" w:sz="4" w:space="0"/>
              <w:bottom w:val="single" w:color="auto" w:sz="4" w:space="0"/>
              <w:right w:val="single" w:color="auto" w:sz="4" w:space="0"/>
            </w:tcBorders>
            <w:vAlign w:val="center"/>
          </w:tcPr>
          <w:p w14:paraId="529A1495">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1276" w:type="dxa"/>
            <w:tcBorders>
              <w:top w:val="single" w:color="auto" w:sz="4" w:space="0"/>
              <w:left w:val="single" w:color="auto" w:sz="4" w:space="0"/>
              <w:bottom w:val="single" w:color="auto" w:sz="4" w:space="0"/>
              <w:right w:val="single" w:color="auto" w:sz="4" w:space="0"/>
            </w:tcBorders>
          </w:tcPr>
          <w:p w14:paraId="39974087">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6BF0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68" w:type="dxa"/>
            <w:tcBorders>
              <w:top w:val="single" w:color="auto" w:sz="4" w:space="0"/>
              <w:left w:val="single" w:color="auto" w:sz="4" w:space="0"/>
              <w:bottom w:val="single" w:color="auto" w:sz="4" w:space="0"/>
              <w:right w:val="single" w:color="auto" w:sz="4" w:space="0"/>
            </w:tcBorders>
            <w:vAlign w:val="center"/>
          </w:tcPr>
          <w:p w14:paraId="21075B4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w:t>
            </w:r>
          </w:p>
        </w:tc>
        <w:tc>
          <w:tcPr>
            <w:tcW w:w="567" w:type="dxa"/>
            <w:vMerge w:val="continue"/>
            <w:tcBorders>
              <w:left w:val="nil"/>
              <w:right w:val="single" w:color="auto" w:sz="4" w:space="0"/>
            </w:tcBorders>
          </w:tcPr>
          <w:p w14:paraId="08E56CC3">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31852EF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田坝中学</w:t>
            </w:r>
          </w:p>
        </w:tc>
        <w:tc>
          <w:tcPr>
            <w:tcW w:w="1418" w:type="dxa"/>
            <w:tcBorders>
              <w:top w:val="single" w:color="auto" w:sz="4" w:space="0"/>
              <w:left w:val="nil"/>
              <w:bottom w:val="single" w:color="auto" w:sz="4" w:space="0"/>
              <w:right w:val="single" w:color="auto" w:sz="4" w:space="0"/>
            </w:tcBorders>
            <w:vAlign w:val="center"/>
          </w:tcPr>
          <w:p w14:paraId="2E5AA19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楼梯改造；外墙整体改造</w:t>
            </w:r>
          </w:p>
        </w:tc>
        <w:tc>
          <w:tcPr>
            <w:tcW w:w="2126" w:type="dxa"/>
            <w:vMerge w:val="continue"/>
            <w:tcBorders>
              <w:left w:val="single" w:color="auto" w:sz="4" w:space="0"/>
              <w:right w:val="single" w:color="auto" w:sz="4" w:space="0"/>
            </w:tcBorders>
            <w:vAlign w:val="center"/>
          </w:tcPr>
          <w:p w14:paraId="3E01D4D6">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0D586304">
            <w:pPr>
              <w:jc w:val="center"/>
              <w:rPr>
                <w:rFonts w:ascii="方正仿宋_GBK" w:hAnsi="宋体" w:eastAsia="方正仿宋_GBK" w:cs="宋体"/>
                <w:sz w:val="24"/>
                <w:szCs w:val="24"/>
              </w:rPr>
            </w:pPr>
            <w:r>
              <w:rPr>
                <w:rFonts w:hint="eastAsia" w:ascii="方正仿宋_GBK" w:eastAsia="方正仿宋_GBK"/>
              </w:rPr>
              <w:t xml:space="preserve">42263 </w:t>
            </w:r>
          </w:p>
        </w:tc>
        <w:tc>
          <w:tcPr>
            <w:tcW w:w="992" w:type="dxa"/>
            <w:vMerge w:val="continue"/>
            <w:tcBorders>
              <w:left w:val="nil"/>
              <w:right w:val="single" w:color="auto" w:sz="4" w:space="0"/>
            </w:tcBorders>
          </w:tcPr>
          <w:p w14:paraId="3617DA23">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32AF0189">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056917CA">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3FAEE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4" w:hRule="atLeast"/>
        </w:trPr>
        <w:tc>
          <w:tcPr>
            <w:tcW w:w="568" w:type="dxa"/>
            <w:tcBorders>
              <w:top w:val="single" w:color="auto" w:sz="4" w:space="0"/>
              <w:left w:val="single" w:color="auto" w:sz="4" w:space="0"/>
              <w:bottom w:val="single" w:color="auto" w:sz="4" w:space="0"/>
              <w:right w:val="single" w:color="auto" w:sz="4" w:space="0"/>
            </w:tcBorders>
            <w:vAlign w:val="center"/>
          </w:tcPr>
          <w:p w14:paraId="680CFD2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w:t>
            </w:r>
          </w:p>
        </w:tc>
        <w:tc>
          <w:tcPr>
            <w:tcW w:w="567" w:type="dxa"/>
            <w:vMerge w:val="continue"/>
            <w:tcBorders>
              <w:left w:val="nil"/>
              <w:right w:val="single" w:color="auto" w:sz="4" w:space="0"/>
            </w:tcBorders>
          </w:tcPr>
          <w:p w14:paraId="21C8A869">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3208689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辰光学校</w:t>
            </w:r>
          </w:p>
        </w:tc>
        <w:tc>
          <w:tcPr>
            <w:tcW w:w="1418" w:type="dxa"/>
            <w:tcBorders>
              <w:top w:val="single" w:color="auto" w:sz="4" w:space="0"/>
              <w:left w:val="nil"/>
              <w:bottom w:val="single" w:color="auto" w:sz="4" w:space="0"/>
              <w:right w:val="single" w:color="auto" w:sz="4" w:space="0"/>
            </w:tcBorders>
            <w:vAlign w:val="center"/>
          </w:tcPr>
          <w:p w14:paraId="74EEA7D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实施学校大门及相关建设，综合楼行政楼负一层空间改造，运动场改造</w:t>
            </w:r>
          </w:p>
        </w:tc>
        <w:tc>
          <w:tcPr>
            <w:tcW w:w="2126" w:type="dxa"/>
            <w:vMerge w:val="continue"/>
            <w:tcBorders>
              <w:left w:val="single" w:color="auto" w:sz="4" w:space="0"/>
              <w:right w:val="single" w:color="auto" w:sz="4" w:space="0"/>
            </w:tcBorders>
            <w:vAlign w:val="center"/>
          </w:tcPr>
          <w:p w14:paraId="1FF45F00">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60623891">
            <w:pPr>
              <w:jc w:val="center"/>
              <w:rPr>
                <w:rFonts w:ascii="方正仿宋_GBK" w:hAnsi="宋体" w:eastAsia="方正仿宋_GBK" w:cs="宋体"/>
                <w:sz w:val="24"/>
                <w:szCs w:val="24"/>
              </w:rPr>
            </w:pPr>
            <w:r>
              <w:rPr>
                <w:rFonts w:hint="eastAsia" w:ascii="方正仿宋_GBK" w:eastAsia="方正仿宋_GBK"/>
              </w:rPr>
              <w:t xml:space="preserve">10344 </w:t>
            </w:r>
          </w:p>
        </w:tc>
        <w:tc>
          <w:tcPr>
            <w:tcW w:w="992" w:type="dxa"/>
            <w:vMerge w:val="continue"/>
            <w:tcBorders>
              <w:left w:val="nil"/>
              <w:right w:val="single" w:color="auto" w:sz="4" w:space="0"/>
            </w:tcBorders>
          </w:tcPr>
          <w:p w14:paraId="32BAD5DC">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6BBF780F">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48B5586A">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6B01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568" w:type="dxa"/>
            <w:tcBorders>
              <w:top w:val="single" w:color="auto" w:sz="4" w:space="0"/>
              <w:left w:val="single" w:color="auto" w:sz="4" w:space="0"/>
              <w:bottom w:val="single" w:color="auto" w:sz="4" w:space="0"/>
              <w:right w:val="single" w:color="auto" w:sz="4" w:space="0"/>
            </w:tcBorders>
            <w:vAlign w:val="center"/>
          </w:tcPr>
          <w:p w14:paraId="261F7DE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w:t>
            </w:r>
          </w:p>
        </w:tc>
        <w:tc>
          <w:tcPr>
            <w:tcW w:w="567" w:type="dxa"/>
            <w:vMerge w:val="continue"/>
            <w:tcBorders>
              <w:left w:val="nil"/>
              <w:right w:val="single" w:color="auto" w:sz="4" w:space="0"/>
            </w:tcBorders>
          </w:tcPr>
          <w:p w14:paraId="03C30B82">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37A1DC0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高新实验一小</w:t>
            </w:r>
          </w:p>
        </w:tc>
        <w:tc>
          <w:tcPr>
            <w:tcW w:w="1418" w:type="dxa"/>
            <w:tcBorders>
              <w:top w:val="single" w:color="auto" w:sz="4" w:space="0"/>
              <w:left w:val="nil"/>
              <w:bottom w:val="single" w:color="auto" w:sz="4" w:space="0"/>
              <w:right w:val="single" w:color="auto" w:sz="4" w:space="0"/>
            </w:tcBorders>
            <w:vAlign w:val="center"/>
          </w:tcPr>
          <w:p w14:paraId="51A9A18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成美楼卫生间改造</w:t>
            </w:r>
          </w:p>
        </w:tc>
        <w:tc>
          <w:tcPr>
            <w:tcW w:w="2126" w:type="dxa"/>
            <w:vMerge w:val="continue"/>
            <w:tcBorders>
              <w:left w:val="single" w:color="auto" w:sz="4" w:space="0"/>
              <w:bottom w:val="single" w:color="auto" w:sz="4" w:space="0"/>
              <w:right w:val="single" w:color="auto" w:sz="4" w:space="0"/>
            </w:tcBorders>
            <w:vAlign w:val="center"/>
          </w:tcPr>
          <w:p w14:paraId="099BFF3D">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1237730D">
            <w:pPr>
              <w:jc w:val="center"/>
              <w:rPr>
                <w:rFonts w:ascii="方正仿宋_GBK" w:hAnsi="宋体" w:eastAsia="方正仿宋_GBK" w:cs="宋体"/>
                <w:sz w:val="24"/>
                <w:szCs w:val="24"/>
              </w:rPr>
            </w:pPr>
            <w:r>
              <w:rPr>
                <w:rFonts w:hint="eastAsia" w:ascii="方正仿宋_GBK" w:eastAsia="方正仿宋_GBK"/>
              </w:rPr>
              <w:t xml:space="preserve">14983 </w:t>
            </w:r>
          </w:p>
        </w:tc>
        <w:tc>
          <w:tcPr>
            <w:tcW w:w="992" w:type="dxa"/>
            <w:vMerge w:val="continue"/>
            <w:tcBorders>
              <w:left w:val="nil"/>
              <w:bottom w:val="single" w:color="auto" w:sz="4" w:space="0"/>
              <w:right w:val="single" w:color="auto" w:sz="4" w:space="0"/>
            </w:tcBorders>
          </w:tcPr>
          <w:p w14:paraId="58EAEA6D">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121E5B43">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43A4AEC5">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0D46E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35A046B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5</w:t>
            </w:r>
          </w:p>
        </w:tc>
        <w:tc>
          <w:tcPr>
            <w:tcW w:w="567" w:type="dxa"/>
            <w:vMerge w:val="restart"/>
            <w:tcBorders>
              <w:left w:val="nil"/>
              <w:right w:val="single" w:color="auto" w:sz="4" w:space="0"/>
            </w:tcBorders>
          </w:tcPr>
          <w:p w14:paraId="3D90CE99">
            <w:pPr>
              <w:pStyle w:val="2"/>
              <w:rPr>
                <w:rFonts w:ascii="方正楷体_GBK" w:hAnsi="方正楷体_GBK" w:eastAsia="方正楷体_GBK" w:cs="方正楷体_GBK"/>
                <w:b w:val="0"/>
                <w:bCs w:val="0"/>
                <w:sz w:val="21"/>
                <w:szCs w:val="21"/>
                <w:shd w:val="clear" w:color="auto" w:fill="FFFFFF"/>
              </w:rPr>
            </w:pPr>
          </w:p>
          <w:p w14:paraId="2E6280BC">
            <w:pPr>
              <w:pStyle w:val="2"/>
              <w:rPr>
                <w:rFonts w:ascii="方正楷体_GBK" w:hAnsi="方正楷体_GBK" w:eastAsia="方正楷体_GBK" w:cs="方正楷体_GBK"/>
                <w:b w:val="0"/>
                <w:bCs w:val="0"/>
                <w:sz w:val="21"/>
                <w:szCs w:val="21"/>
                <w:shd w:val="clear" w:color="auto" w:fill="FFFFFF"/>
              </w:rPr>
            </w:pPr>
          </w:p>
          <w:p w14:paraId="276CFF95">
            <w:pPr>
              <w:pStyle w:val="2"/>
              <w:rPr>
                <w:rFonts w:ascii="方正楷体_GBK" w:hAnsi="方正楷体_GBK" w:eastAsia="方正楷体_GBK" w:cs="方正楷体_GBK"/>
                <w:b w:val="0"/>
                <w:bCs w:val="0"/>
                <w:sz w:val="21"/>
                <w:szCs w:val="21"/>
                <w:shd w:val="clear" w:color="auto" w:fill="FFFFFF"/>
              </w:rPr>
            </w:pPr>
          </w:p>
          <w:p w14:paraId="16C18D9B">
            <w:pPr>
              <w:pStyle w:val="2"/>
              <w:rPr>
                <w:rFonts w:ascii="方正楷体_GBK" w:hAnsi="方正楷体_GBK" w:eastAsia="方正楷体_GBK" w:cs="方正楷体_GBK"/>
                <w:b w:val="0"/>
                <w:bCs w:val="0"/>
                <w:sz w:val="21"/>
                <w:szCs w:val="21"/>
                <w:shd w:val="clear" w:color="auto" w:fill="FFFFFF"/>
              </w:rPr>
            </w:pPr>
          </w:p>
          <w:p w14:paraId="5140E7F8">
            <w:pPr>
              <w:pStyle w:val="2"/>
              <w:rPr>
                <w:rFonts w:ascii="方正楷体_GBK" w:hAnsi="方正楷体_GBK" w:eastAsia="方正楷体_GBK" w:cs="方正楷体_GBK"/>
                <w:b w:val="0"/>
                <w:bCs w:val="0"/>
                <w:sz w:val="21"/>
                <w:szCs w:val="21"/>
                <w:shd w:val="clear" w:color="auto" w:fill="FFFFFF"/>
              </w:rPr>
            </w:pPr>
          </w:p>
          <w:p w14:paraId="65668540">
            <w:pPr>
              <w:pStyle w:val="2"/>
              <w:rPr>
                <w:rFonts w:ascii="方正楷体_GBK" w:hAnsi="方正楷体_GBK" w:eastAsia="方正楷体_GBK" w:cs="方正楷体_GBK"/>
                <w:b w:val="0"/>
                <w:bCs w:val="0"/>
                <w:sz w:val="21"/>
                <w:szCs w:val="21"/>
                <w:shd w:val="clear" w:color="auto" w:fill="FFFFFF"/>
              </w:rPr>
            </w:pPr>
          </w:p>
          <w:p w14:paraId="1DB3108F">
            <w:pPr>
              <w:pStyle w:val="2"/>
              <w:rPr>
                <w:rFonts w:ascii="方正楷体_GBK" w:hAnsi="方正楷体_GBK" w:eastAsia="方正楷体_GBK" w:cs="方正楷体_GBK"/>
                <w:b w:val="0"/>
                <w:bCs w:val="0"/>
                <w:sz w:val="21"/>
                <w:szCs w:val="21"/>
                <w:shd w:val="clear" w:color="auto" w:fill="FFFFFF"/>
              </w:rPr>
            </w:pPr>
          </w:p>
          <w:p w14:paraId="50E6FDC2">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包二</w:t>
            </w:r>
          </w:p>
        </w:tc>
        <w:tc>
          <w:tcPr>
            <w:tcW w:w="1559" w:type="dxa"/>
            <w:tcBorders>
              <w:top w:val="single" w:color="auto" w:sz="4" w:space="0"/>
              <w:left w:val="nil"/>
              <w:bottom w:val="single" w:color="auto" w:sz="4" w:space="0"/>
              <w:right w:val="single" w:color="auto" w:sz="4" w:space="0"/>
            </w:tcBorders>
            <w:vAlign w:val="center"/>
          </w:tcPr>
          <w:p w14:paraId="2992CFD0">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和平小学</w:t>
            </w:r>
          </w:p>
        </w:tc>
        <w:tc>
          <w:tcPr>
            <w:tcW w:w="1418" w:type="dxa"/>
            <w:tcBorders>
              <w:top w:val="single" w:color="auto" w:sz="4" w:space="0"/>
              <w:left w:val="nil"/>
              <w:bottom w:val="single" w:color="auto" w:sz="4" w:space="0"/>
              <w:right w:val="single" w:color="auto" w:sz="4" w:space="0"/>
            </w:tcBorders>
            <w:vAlign w:val="center"/>
          </w:tcPr>
          <w:p w14:paraId="37473CA0">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厨房操作间及食堂屋面及女儿墙重做防水</w:t>
            </w:r>
          </w:p>
        </w:tc>
        <w:tc>
          <w:tcPr>
            <w:tcW w:w="2126" w:type="dxa"/>
            <w:vMerge w:val="restart"/>
            <w:tcBorders>
              <w:top w:val="single" w:color="auto" w:sz="4" w:space="0"/>
              <w:left w:val="single" w:color="auto" w:sz="4" w:space="0"/>
              <w:right w:val="single" w:color="auto" w:sz="4" w:space="0"/>
            </w:tcBorders>
            <w:vAlign w:val="center"/>
          </w:tcPr>
          <w:p w14:paraId="0606810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14:paraId="6C3F83D9">
            <w:pPr>
              <w:jc w:val="center"/>
              <w:rPr>
                <w:rFonts w:ascii="方正仿宋_GBK" w:hAnsi="宋体" w:eastAsia="方正仿宋_GBK" w:cs="宋体"/>
                <w:sz w:val="24"/>
                <w:szCs w:val="24"/>
              </w:rPr>
            </w:pPr>
            <w:r>
              <w:rPr>
                <w:rFonts w:hint="eastAsia" w:ascii="方正仿宋_GBK" w:eastAsia="方正仿宋_GBK"/>
              </w:rPr>
              <w:t xml:space="preserve">1300 </w:t>
            </w:r>
          </w:p>
        </w:tc>
        <w:tc>
          <w:tcPr>
            <w:tcW w:w="992" w:type="dxa"/>
            <w:vMerge w:val="restart"/>
            <w:tcBorders>
              <w:top w:val="single" w:color="auto" w:sz="4" w:space="0"/>
              <w:left w:val="nil"/>
              <w:right w:val="single" w:color="auto" w:sz="4" w:space="0"/>
            </w:tcBorders>
          </w:tcPr>
          <w:p w14:paraId="4095B89F">
            <w:pPr>
              <w:adjustRightInd w:val="0"/>
              <w:snapToGrid w:val="0"/>
              <w:ind w:firstLine="210" w:firstLineChars="100"/>
              <w:jc w:val="left"/>
              <w:rPr>
                <w:rFonts w:ascii="方正楷体_GBK" w:hAnsi="方正楷体_GBK" w:eastAsia="方正楷体_GBK" w:cs="方正楷体_GBK"/>
                <w:szCs w:val="21"/>
                <w:shd w:val="clear" w:color="auto" w:fill="FFFFFF"/>
              </w:rPr>
            </w:pPr>
          </w:p>
          <w:p w14:paraId="3A1AE60A">
            <w:pPr>
              <w:adjustRightInd w:val="0"/>
              <w:snapToGrid w:val="0"/>
              <w:ind w:firstLine="210" w:firstLineChars="100"/>
              <w:jc w:val="left"/>
              <w:rPr>
                <w:rFonts w:ascii="方正楷体_GBK" w:hAnsi="方正楷体_GBK" w:eastAsia="方正楷体_GBK" w:cs="方正楷体_GBK"/>
                <w:szCs w:val="21"/>
                <w:shd w:val="clear" w:color="auto" w:fill="FFFFFF"/>
              </w:rPr>
            </w:pPr>
          </w:p>
          <w:p w14:paraId="458DAF17">
            <w:pPr>
              <w:adjustRightInd w:val="0"/>
              <w:snapToGrid w:val="0"/>
              <w:ind w:firstLine="210" w:firstLineChars="100"/>
              <w:jc w:val="left"/>
              <w:rPr>
                <w:rFonts w:ascii="方正楷体_GBK" w:hAnsi="方正楷体_GBK" w:eastAsia="方正楷体_GBK" w:cs="方正楷体_GBK"/>
                <w:szCs w:val="21"/>
                <w:shd w:val="clear" w:color="auto" w:fill="FFFFFF"/>
              </w:rPr>
            </w:pPr>
          </w:p>
          <w:p w14:paraId="720D443D">
            <w:pPr>
              <w:adjustRightInd w:val="0"/>
              <w:snapToGrid w:val="0"/>
              <w:ind w:firstLine="210" w:firstLineChars="100"/>
              <w:jc w:val="left"/>
              <w:rPr>
                <w:rFonts w:ascii="方正楷体_GBK" w:hAnsi="方正楷体_GBK" w:eastAsia="方正楷体_GBK" w:cs="方正楷体_GBK"/>
                <w:szCs w:val="21"/>
                <w:shd w:val="clear" w:color="auto" w:fill="FFFFFF"/>
              </w:rPr>
            </w:pPr>
          </w:p>
          <w:p w14:paraId="46ABDD05">
            <w:pPr>
              <w:adjustRightInd w:val="0"/>
              <w:snapToGrid w:val="0"/>
              <w:ind w:firstLine="210" w:firstLineChars="100"/>
              <w:jc w:val="left"/>
              <w:rPr>
                <w:rFonts w:ascii="方正楷体_GBK" w:hAnsi="方正楷体_GBK" w:eastAsia="方正楷体_GBK" w:cs="方正楷体_GBK"/>
                <w:szCs w:val="21"/>
                <w:shd w:val="clear" w:color="auto" w:fill="FFFFFF"/>
              </w:rPr>
            </w:pPr>
          </w:p>
          <w:p w14:paraId="480D5866">
            <w:pPr>
              <w:adjustRightInd w:val="0"/>
              <w:snapToGrid w:val="0"/>
              <w:ind w:firstLine="210" w:firstLineChars="100"/>
              <w:jc w:val="left"/>
              <w:rPr>
                <w:rFonts w:ascii="方正楷体_GBK" w:hAnsi="方正楷体_GBK" w:eastAsia="方正楷体_GBK" w:cs="方正楷体_GBK"/>
                <w:szCs w:val="21"/>
                <w:shd w:val="clear" w:color="auto" w:fill="FFFFFF"/>
              </w:rPr>
            </w:pPr>
          </w:p>
          <w:p w14:paraId="1F3C5282">
            <w:pPr>
              <w:adjustRightInd w:val="0"/>
              <w:snapToGrid w:val="0"/>
              <w:ind w:firstLine="210" w:firstLineChars="100"/>
              <w:jc w:val="left"/>
              <w:rPr>
                <w:rFonts w:ascii="方正楷体_GBK" w:hAnsi="方正楷体_GBK" w:eastAsia="方正楷体_GBK" w:cs="方正楷体_GBK"/>
                <w:szCs w:val="21"/>
                <w:shd w:val="clear" w:color="auto" w:fill="FFFFFF"/>
              </w:rPr>
            </w:pPr>
          </w:p>
          <w:p w14:paraId="7F265AB3">
            <w:pPr>
              <w:pStyle w:val="2"/>
            </w:pPr>
          </w:p>
          <w:p w14:paraId="6E6EA18B"/>
          <w:p w14:paraId="1F45A6B9">
            <w:pPr>
              <w:pStyle w:val="2"/>
            </w:pPr>
          </w:p>
          <w:p w14:paraId="52F150DB"/>
          <w:p w14:paraId="3D677DA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103223</w:t>
            </w:r>
          </w:p>
          <w:p w14:paraId="3A8F1144"/>
        </w:tc>
        <w:tc>
          <w:tcPr>
            <w:tcW w:w="1276" w:type="dxa"/>
            <w:tcBorders>
              <w:top w:val="single" w:color="auto" w:sz="4" w:space="0"/>
              <w:left w:val="single" w:color="auto" w:sz="4" w:space="0"/>
              <w:bottom w:val="single" w:color="auto" w:sz="4" w:space="0"/>
              <w:right w:val="single" w:color="auto" w:sz="4" w:space="0"/>
            </w:tcBorders>
            <w:vAlign w:val="center"/>
          </w:tcPr>
          <w:p w14:paraId="528B4741">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1FD93A23">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08E87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568" w:type="dxa"/>
            <w:tcBorders>
              <w:top w:val="single" w:color="auto" w:sz="4" w:space="0"/>
              <w:left w:val="single" w:color="auto" w:sz="4" w:space="0"/>
              <w:bottom w:val="single" w:color="auto" w:sz="4" w:space="0"/>
              <w:right w:val="single" w:color="auto" w:sz="4" w:space="0"/>
            </w:tcBorders>
            <w:vAlign w:val="center"/>
          </w:tcPr>
          <w:p w14:paraId="4208626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6</w:t>
            </w:r>
          </w:p>
        </w:tc>
        <w:tc>
          <w:tcPr>
            <w:tcW w:w="567" w:type="dxa"/>
            <w:vMerge w:val="continue"/>
            <w:tcBorders>
              <w:left w:val="nil"/>
              <w:right w:val="single" w:color="auto" w:sz="4" w:space="0"/>
            </w:tcBorders>
          </w:tcPr>
          <w:p w14:paraId="5C1823CE">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2F202A7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四十七中学</w:t>
            </w:r>
          </w:p>
        </w:tc>
        <w:tc>
          <w:tcPr>
            <w:tcW w:w="1418" w:type="dxa"/>
            <w:tcBorders>
              <w:top w:val="single" w:color="auto" w:sz="4" w:space="0"/>
              <w:left w:val="nil"/>
              <w:bottom w:val="single" w:color="auto" w:sz="4" w:space="0"/>
              <w:right w:val="single" w:color="auto" w:sz="4" w:space="0"/>
            </w:tcBorders>
            <w:vAlign w:val="center"/>
          </w:tcPr>
          <w:p w14:paraId="7664F9BE">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学校配电柜排危改造</w:t>
            </w:r>
          </w:p>
        </w:tc>
        <w:tc>
          <w:tcPr>
            <w:tcW w:w="2126" w:type="dxa"/>
            <w:vMerge w:val="continue"/>
            <w:tcBorders>
              <w:left w:val="single" w:color="auto" w:sz="4" w:space="0"/>
              <w:right w:val="single" w:color="auto" w:sz="4" w:space="0"/>
            </w:tcBorders>
            <w:vAlign w:val="center"/>
          </w:tcPr>
          <w:p w14:paraId="2E19CFE4">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57715AB0">
            <w:pPr>
              <w:jc w:val="center"/>
              <w:rPr>
                <w:rFonts w:ascii="方正仿宋_GBK" w:hAnsi="宋体" w:eastAsia="方正仿宋_GBK" w:cs="宋体"/>
                <w:sz w:val="24"/>
                <w:szCs w:val="24"/>
              </w:rPr>
            </w:pPr>
            <w:r>
              <w:rPr>
                <w:rFonts w:hint="eastAsia" w:ascii="方正仿宋_GBK" w:eastAsia="方正仿宋_GBK"/>
              </w:rPr>
              <w:t xml:space="preserve">1900 </w:t>
            </w:r>
          </w:p>
        </w:tc>
        <w:tc>
          <w:tcPr>
            <w:tcW w:w="992" w:type="dxa"/>
            <w:vMerge w:val="continue"/>
            <w:tcBorders>
              <w:left w:val="nil"/>
              <w:right w:val="single" w:color="auto" w:sz="4" w:space="0"/>
            </w:tcBorders>
          </w:tcPr>
          <w:p w14:paraId="3CD8BA2E">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5C032017">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7706F2AA">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2A2A5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493F173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7</w:t>
            </w:r>
          </w:p>
        </w:tc>
        <w:tc>
          <w:tcPr>
            <w:tcW w:w="567" w:type="dxa"/>
            <w:vMerge w:val="continue"/>
            <w:tcBorders>
              <w:left w:val="nil"/>
              <w:right w:val="single" w:color="auto" w:sz="4" w:space="0"/>
            </w:tcBorders>
          </w:tcPr>
          <w:p w14:paraId="6C19B1B0">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63C12AC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铜罐驿实验学校</w:t>
            </w:r>
          </w:p>
        </w:tc>
        <w:tc>
          <w:tcPr>
            <w:tcW w:w="1418" w:type="dxa"/>
            <w:tcBorders>
              <w:top w:val="single" w:color="auto" w:sz="4" w:space="0"/>
              <w:left w:val="nil"/>
              <w:bottom w:val="single" w:color="auto" w:sz="4" w:space="0"/>
              <w:right w:val="single" w:color="auto" w:sz="4" w:space="0"/>
            </w:tcBorders>
            <w:vAlign w:val="center"/>
          </w:tcPr>
          <w:p w14:paraId="5E6D822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小学部运动场跑道整改</w:t>
            </w:r>
          </w:p>
        </w:tc>
        <w:tc>
          <w:tcPr>
            <w:tcW w:w="2126" w:type="dxa"/>
            <w:vMerge w:val="continue"/>
            <w:tcBorders>
              <w:left w:val="single" w:color="auto" w:sz="4" w:space="0"/>
              <w:right w:val="single" w:color="auto" w:sz="4" w:space="0"/>
            </w:tcBorders>
            <w:vAlign w:val="center"/>
          </w:tcPr>
          <w:p w14:paraId="228477E8">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061EBBA1">
            <w:pPr>
              <w:jc w:val="center"/>
              <w:rPr>
                <w:rFonts w:ascii="方正仿宋_GBK" w:hAnsi="宋体" w:eastAsia="方正仿宋_GBK" w:cs="宋体"/>
                <w:sz w:val="24"/>
                <w:szCs w:val="24"/>
              </w:rPr>
            </w:pPr>
            <w:r>
              <w:rPr>
                <w:rFonts w:hint="eastAsia" w:ascii="方正仿宋_GBK" w:eastAsia="方正仿宋_GBK"/>
              </w:rPr>
              <w:t xml:space="preserve">2060 </w:t>
            </w:r>
          </w:p>
        </w:tc>
        <w:tc>
          <w:tcPr>
            <w:tcW w:w="992" w:type="dxa"/>
            <w:vMerge w:val="continue"/>
            <w:tcBorders>
              <w:left w:val="nil"/>
              <w:right w:val="single" w:color="auto" w:sz="4" w:space="0"/>
            </w:tcBorders>
          </w:tcPr>
          <w:p w14:paraId="2783359A">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691F244C">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7A386562">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73D5A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trPr>
        <w:tc>
          <w:tcPr>
            <w:tcW w:w="568" w:type="dxa"/>
            <w:tcBorders>
              <w:top w:val="single" w:color="auto" w:sz="4" w:space="0"/>
              <w:left w:val="single" w:color="auto" w:sz="4" w:space="0"/>
              <w:bottom w:val="single" w:color="auto" w:sz="4" w:space="0"/>
              <w:right w:val="single" w:color="auto" w:sz="4" w:space="0"/>
            </w:tcBorders>
            <w:vAlign w:val="center"/>
          </w:tcPr>
          <w:p w14:paraId="416DEF0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8</w:t>
            </w:r>
          </w:p>
        </w:tc>
        <w:tc>
          <w:tcPr>
            <w:tcW w:w="567" w:type="dxa"/>
            <w:vMerge w:val="continue"/>
            <w:tcBorders>
              <w:left w:val="nil"/>
              <w:right w:val="single" w:color="auto" w:sz="4" w:space="0"/>
            </w:tcBorders>
          </w:tcPr>
          <w:p w14:paraId="2DAEFB00">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7789FAE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田坝小学</w:t>
            </w:r>
          </w:p>
        </w:tc>
        <w:tc>
          <w:tcPr>
            <w:tcW w:w="1418" w:type="dxa"/>
            <w:tcBorders>
              <w:top w:val="single" w:color="auto" w:sz="4" w:space="0"/>
              <w:left w:val="nil"/>
              <w:bottom w:val="single" w:color="auto" w:sz="4" w:space="0"/>
              <w:right w:val="single" w:color="auto" w:sz="4" w:space="0"/>
            </w:tcBorders>
            <w:vAlign w:val="center"/>
          </w:tcPr>
          <w:p w14:paraId="0B0C464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对学校塑胶操场跑道、篮球场、小操场草皮等区域进行整体改造重建</w:t>
            </w:r>
          </w:p>
        </w:tc>
        <w:tc>
          <w:tcPr>
            <w:tcW w:w="2126" w:type="dxa"/>
            <w:vMerge w:val="continue"/>
            <w:tcBorders>
              <w:left w:val="single" w:color="auto" w:sz="4" w:space="0"/>
              <w:right w:val="single" w:color="auto" w:sz="4" w:space="0"/>
            </w:tcBorders>
            <w:vAlign w:val="center"/>
          </w:tcPr>
          <w:p w14:paraId="3171BBA4">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08AFF412">
            <w:pPr>
              <w:jc w:val="center"/>
              <w:rPr>
                <w:rFonts w:ascii="方正仿宋_GBK" w:hAnsi="宋体" w:eastAsia="方正仿宋_GBK" w:cs="宋体"/>
                <w:sz w:val="24"/>
                <w:szCs w:val="24"/>
              </w:rPr>
            </w:pPr>
            <w:r>
              <w:rPr>
                <w:rFonts w:hint="eastAsia" w:ascii="方正仿宋_GBK" w:eastAsia="方正仿宋_GBK"/>
              </w:rPr>
              <w:t xml:space="preserve">12312 </w:t>
            </w:r>
          </w:p>
        </w:tc>
        <w:tc>
          <w:tcPr>
            <w:tcW w:w="992" w:type="dxa"/>
            <w:vMerge w:val="continue"/>
            <w:tcBorders>
              <w:left w:val="nil"/>
              <w:right w:val="single" w:color="auto" w:sz="4" w:space="0"/>
            </w:tcBorders>
          </w:tcPr>
          <w:p w14:paraId="46027432">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1371F0D9">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45</w:t>
            </w:r>
          </w:p>
        </w:tc>
        <w:tc>
          <w:tcPr>
            <w:tcW w:w="1276" w:type="dxa"/>
            <w:tcBorders>
              <w:top w:val="single" w:color="auto" w:sz="4" w:space="0"/>
              <w:left w:val="single" w:color="auto" w:sz="4" w:space="0"/>
              <w:bottom w:val="single" w:color="auto" w:sz="4" w:space="0"/>
              <w:right w:val="single" w:color="auto" w:sz="4" w:space="0"/>
            </w:tcBorders>
          </w:tcPr>
          <w:p w14:paraId="3A6E6E90">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4F61C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2EE2C790">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9</w:t>
            </w:r>
          </w:p>
        </w:tc>
        <w:tc>
          <w:tcPr>
            <w:tcW w:w="567" w:type="dxa"/>
            <w:vMerge w:val="continue"/>
            <w:tcBorders>
              <w:left w:val="nil"/>
              <w:right w:val="single" w:color="auto" w:sz="4" w:space="0"/>
            </w:tcBorders>
          </w:tcPr>
          <w:p w14:paraId="2B01E582">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4C60C1D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西彭一中</w:t>
            </w:r>
          </w:p>
        </w:tc>
        <w:tc>
          <w:tcPr>
            <w:tcW w:w="1418" w:type="dxa"/>
            <w:tcBorders>
              <w:top w:val="single" w:color="auto" w:sz="4" w:space="0"/>
              <w:left w:val="nil"/>
              <w:bottom w:val="single" w:color="auto" w:sz="4" w:space="0"/>
              <w:right w:val="single" w:color="auto" w:sz="4" w:space="0"/>
            </w:tcBorders>
            <w:vAlign w:val="center"/>
          </w:tcPr>
          <w:p w14:paraId="35E9637C">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1、2号教学楼屋顶防水处理</w:t>
            </w:r>
          </w:p>
        </w:tc>
        <w:tc>
          <w:tcPr>
            <w:tcW w:w="2126" w:type="dxa"/>
            <w:vMerge w:val="continue"/>
            <w:tcBorders>
              <w:left w:val="single" w:color="auto" w:sz="4" w:space="0"/>
              <w:right w:val="single" w:color="auto" w:sz="4" w:space="0"/>
            </w:tcBorders>
            <w:vAlign w:val="center"/>
          </w:tcPr>
          <w:p w14:paraId="030148D2">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4098E7A2">
            <w:pPr>
              <w:jc w:val="center"/>
              <w:rPr>
                <w:rFonts w:ascii="方正仿宋_GBK" w:hAnsi="宋体" w:eastAsia="方正仿宋_GBK" w:cs="宋体"/>
                <w:sz w:val="24"/>
                <w:szCs w:val="24"/>
              </w:rPr>
            </w:pPr>
            <w:r>
              <w:rPr>
                <w:rFonts w:hint="eastAsia" w:ascii="方正仿宋_GBK" w:eastAsia="方正仿宋_GBK"/>
              </w:rPr>
              <w:t xml:space="preserve">3380 </w:t>
            </w:r>
          </w:p>
        </w:tc>
        <w:tc>
          <w:tcPr>
            <w:tcW w:w="992" w:type="dxa"/>
            <w:vMerge w:val="continue"/>
            <w:tcBorders>
              <w:left w:val="nil"/>
              <w:right w:val="single" w:color="auto" w:sz="4" w:space="0"/>
            </w:tcBorders>
          </w:tcPr>
          <w:p w14:paraId="4F1D5278">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35C02922">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1730E2DD">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4C36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trPr>
        <w:tc>
          <w:tcPr>
            <w:tcW w:w="568" w:type="dxa"/>
            <w:tcBorders>
              <w:top w:val="single" w:color="auto" w:sz="4" w:space="0"/>
              <w:left w:val="single" w:color="auto" w:sz="4" w:space="0"/>
              <w:bottom w:val="single" w:color="auto" w:sz="4" w:space="0"/>
              <w:right w:val="single" w:color="auto" w:sz="4" w:space="0"/>
            </w:tcBorders>
            <w:vAlign w:val="center"/>
          </w:tcPr>
          <w:p w14:paraId="16C59C94">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10</w:t>
            </w:r>
          </w:p>
        </w:tc>
        <w:tc>
          <w:tcPr>
            <w:tcW w:w="567" w:type="dxa"/>
            <w:vMerge w:val="continue"/>
            <w:tcBorders>
              <w:left w:val="nil"/>
              <w:right w:val="single" w:color="auto" w:sz="4" w:space="0"/>
            </w:tcBorders>
          </w:tcPr>
          <w:p w14:paraId="05E26B72">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6B2B21C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谢家湾小学</w:t>
            </w:r>
          </w:p>
        </w:tc>
        <w:tc>
          <w:tcPr>
            <w:tcW w:w="1418" w:type="dxa"/>
            <w:tcBorders>
              <w:top w:val="single" w:color="auto" w:sz="4" w:space="0"/>
              <w:left w:val="nil"/>
              <w:bottom w:val="single" w:color="auto" w:sz="4" w:space="0"/>
              <w:right w:val="single" w:color="auto" w:sz="4" w:space="0"/>
            </w:tcBorders>
            <w:vAlign w:val="center"/>
          </w:tcPr>
          <w:p w14:paraId="72BBB33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综艺楼改造、行政楼改造</w:t>
            </w:r>
          </w:p>
        </w:tc>
        <w:tc>
          <w:tcPr>
            <w:tcW w:w="2126" w:type="dxa"/>
            <w:vMerge w:val="continue"/>
            <w:tcBorders>
              <w:left w:val="single" w:color="auto" w:sz="4" w:space="0"/>
              <w:right w:val="single" w:color="auto" w:sz="4" w:space="0"/>
            </w:tcBorders>
            <w:vAlign w:val="center"/>
          </w:tcPr>
          <w:p w14:paraId="7F5ED8A6">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755244F0">
            <w:pPr>
              <w:jc w:val="center"/>
              <w:rPr>
                <w:rFonts w:ascii="方正仿宋_GBK" w:hAnsi="宋体" w:eastAsia="方正仿宋_GBK" w:cs="宋体"/>
                <w:sz w:val="24"/>
                <w:szCs w:val="24"/>
              </w:rPr>
            </w:pPr>
            <w:r>
              <w:rPr>
                <w:rFonts w:hint="eastAsia" w:ascii="方正仿宋_GBK" w:eastAsia="方正仿宋_GBK"/>
              </w:rPr>
              <w:t xml:space="preserve">17996 </w:t>
            </w:r>
          </w:p>
        </w:tc>
        <w:tc>
          <w:tcPr>
            <w:tcW w:w="992" w:type="dxa"/>
            <w:vMerge w:val="continue"/>
            <w:tcBorders>
              <w:left w:val="nil"/>
              <w:right w:val="single" w:color="auto" w:sz="4" w:space="0"/>
            </w:tcBorders>
          </w:tcPr>
          <w:p w14:paraId="73F3BEF5">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1D3DA955">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738791FA">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30FC0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624E38B4">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11</w:t>
            </w:r>
          </w:p>
        </w:tc>
        <w:tc>
          <w:tcPr>
            <w:tcW w:w="567" w:type="dxa"/>
            <w:vMerge w:val="continue"/>
            <w:tcBorders>
              <w:left w:val="nil"/>
              <w:right w:val="single" w:color="auto" w:sz="4" w:space="0"/>
            </w:tcBorders>
          </w:tcPr>
          <w:p w14:paraId="083AA05D">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4644A4B8">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九龙小学</w:t>
            </w:r>
          </w:p>
        </w:tc>
        <w:tc>
          <w:tcPr>
            <w:tcW w:w="1418" w:type="dxa"/>
            <w:tcBorders>
              <w:top w:val="single" w:color="auto" w:sz="4" w:space="0"/>
              <w:left w:val="nil"/>
              <w:bottom w:val="single" w:color="auto" w:sz="4" w:space="0"/>
              <w:right w:val="single" w:color="auto" w:sz="4" w:space="0"/>
            </w:tcBorders>
            <w:vAlign w:val="center"/>
          </w:tcPr>
          <w:p w14:paraId="4C006D5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综合楼玻璃幕墙改造；线路改造；校门改造</w:t>
            </w:r>
          </w:p>
        </w:tc>
        <w:tc>
          <w:tcPr>
            <w:tcW w:w="2126" w:type="dxa"/>
            <w:vMerge w:val="continue"/>
            <w:tcBorders>
              <w:left w:val="single" w:color="auto" w:sz="4" w:space="0"/>
              <w:right w:val="single" w:color="auto" w:sz="4" w:space="0"/>
            </w:tcBorders>
            <w:vAlign w:val="center"/>
          </w:tcPr>
          <w:p w14:paraId="229D1F07">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4BBD29D3">
            <w:pPr>
              <w:jc w:val="center"/>
              <w:rPr>
                <w:rFonts w:ascii="方正仿宋_GBK" w:hAnsi="宋体" w:eastAsia="方正仿宋_GBK" w:cs="宋体"/>
                <w:sz w:val="24"/>
                <w:szCs w:val="24"/>
              </w:rPr>
            </w:pPr>
            <w:r>
              <w:rPr>
                <w:rFonts w:hint="eastAsia" w:ascii="方正仿宋_GBK" w:eastAsia="方正仿宋_GBK"/>
              </w:rPr>
              <w:t xml:space="preserve">25598 </w:t>
            </w:r>
          </w:p>
        </w:tc>
        <w:tc>
          <w:tcPr>
            <w:tcW w:w="992" w:type="dxa"/>
            <w:vMerge w:val="continue"/>
            <w:tcBorders>
              <w:left w:val="nil"/>
              <w:right w:val="single" w:color="auto" w:sz="4" w:space="0"/>
            </w:tcBorders>
          </w:tcPr>
          <w:p w14:paraId="33E6272C">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393A691B">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5591C227">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11990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9" w:hRule="atLeast"/>
        </w:trPr>
        <w:tc>
          <w:tcPr>
            <w:tcW w:w="568" w:type="dxa"/>
            <w:tcBorders>
              <w:top w:val="single" w:color="auto" w:sz="4" w:space="0"/>
              <w:left w:val="single" w:color="auto" w:sz="4" w:space="0"/>
              <w:bottom w:val="single" w:color="auto" w:sz="4" w:space="0"/>
              <w:right w:val="single" w:color="auto" w:sz="4" w:space="0"/>
            </w:tcBorders>
            <w:vAlign w:val="center"/>
          </w:tcPr>
          <w:p w14:paraId="29F0F8A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12</w:t>
            </w:r>
          </w:p>
        </w:tc>
        <w:tc>
          <w:tcPr>
            <w:tcW w:w="567" w:type="dxa"/>
            <w:vMerge w:val="continue"/>
            <w:tcBorders>
              <w:left w:val="nil"/>
              <w:right w:val="single" w:color="auto" w:sz="4" w:space="0"/>
            </w:tcBorders>
          </w:tcPr>
          <w:p w14:paraId="6AA7A898">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4483998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谢家湾金茂小学</w:t>
            </w:r>
          </w:p>
        </w:tc>
        <w:tc>
          <w:tcPr>
            <w:tcW w:w="1418" w:type="dxa"/>
            <w:tcBorders>
              <w:top w:val="single" w:color="auto" w:sz="4" w:space="0"/>
              <w:left w:val="nil"/>
              <w:bottom w:val="single" w:color="auto" w:sz="4" w:space="0"/>
              <w:right w:val="single" w:color="auto" w:sz="4" w:space="0"/>
            </w:tcBorders>
            <w:vAlign w:val="center"/>
          </w:tcPr>
          <w:p w14:paraId="4EFCA96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将教学楼5楼功能室改造为普通教室和办公室</w:t>
            </w:r>
          </w:p>
        </w:tc>
        <w:tc>
          <w:tcPr>
            <w:tcW w:w="2126" w:type="dxa"/>
            <w:vMerge w:val="continue"/>
            <w:tcBorders>
              <w:left w:val="single" w:color="auto" w:sz="4" w:space="0"/>
              <w:right w:val="single" w:color="auto" w:sz="4" w:space="0"/>
            </w:tcBorders>
            <w:vAlign w:val="center"/>
          </w:tcPr>
          <w:p w14:paraId="0445202C">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29AA14D8">
            <w:pPr>
              <w:jc w:val="center"/>
              <w:rPr>
                <w:rFonts w:ascii="方正仿宋_GBK" w:hAnsi="宋体" w:eastAsia="方正仿宋_GBK" w:cs="宋体"/>
                <w:sz w:val="24"/>
                <w:szCs w:val="24"/>
              </w:rPr>
            </w:pPr>
            <w:r>
              <w:rPr>
                <w:rFonts w:hint="eastAsia" w:ascii="方正仿宋_GBK" w:eastAsia="方正仿宋_GBK"/>
              </w:rPr>
              <w:t xml:space="preserve">15911 </w:t>
            </w:r>
          </w:p>
        </w:tc>
        <w:tc>
          <w:tcPr>
            <w:tcW w:w="992" w:type="dxa"/>
            <w:vMerge w:val="continue"/>
            <w:tcBorders>
              <w:left w:val="nil"/>
              <w:right w:val="single" w:color="auto" w:sz="4" w:space="0"/>
            </w:tcBorders>
          </w:tcPr>
          <w:p w14:paraId="3CDA4E81">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3B5E894F">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1276" w:type="dxa"/>
            <w:tcBorders>
              <w:top w:val="single" w:color="auto" w:sz="4" w:space="0"/>
              <w:left w:val="single" w:color="auto" w:sz="4" w:space="0"/>
              <w:bottom w:val="single" w:color="auto" w:sz="4" w:space="0"/>
              <w:right w:val="single" w:color="auto" w:sz="4" w:space="0"/>
            </w:tcBorders>
          </w:tcPr>
          <w:p w14:paraId="4BA11060">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24647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1B953D7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13</w:t>
            </w:r>
          </w:p>
        </w:tc>
        <w:tc>
          <w:tcPr>
            <w:tcW w:w="567" w:type="dxa"/>
            <w:vMerge w:val="continue"/>
            <w:tcBorders>
              <w:left w:val="nil"/>
              <w:right w:val="single" w:color="auto" w:sz="4" w:space="0"/>
            </w:tcBorders>
          </w:tcPr>
          <w:p w14:paraId="3F592E37">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4D5853FF">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巴山小学</w:t>
            </w:r>
          </w:p>
        </w:tc>
        <w:tc>
          <w:tcPr>
            <w:tcW w:w="1418" w:type="dxa"/>
            <w:tcBorders>
              <w:top w:val="single" w:color="auto" w:sz="4" w:space="0"/>
              <w:left w:val="nil"/>
              <w:bottom w:val="single" w:color="auto" w:sz="4" w:space="0"/>
              <w:right w:val="single" w:color="auto" w:sz="4" w:space="0"/>
            </w:tcBorders>
            <w:vAlign w:val="center"/>
          </w:tcPr>
          <w:p w14:paraId="52131B8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闲置房间改造劳技室、科技室</w:t>
            </w:r>
          </w:p>
        </w:tc>
        <w:tc>
          <w:tcPr>
            <w:tcW w:w="2126" w:type="dxa"/>
            <w:vMerge w:val="continue"/>
            <w:tcBorders>
              <w:left w:val="single" w:color="auto" w:sz="4" w:space="0"/>
              <w:right w:val="single" w:color="auto" w:sz="4" w:space="0"/>
            </w:tcBorders>
            <w:vAlign w:val="center"/>
          </w:tcPr>
          <w:p w14:paraId="5F4102D9">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3A0CF54B">
            <w:pPr>
              <w:jc w:val="center"/>
              <w:rPr>
                <w:rFonts w:ascii="方正仿宋_GBK" w:hAnsi="宋体" w:eastAsia="方正仿宋_GBK" w:cs="宋体"/>
                <w:sz w:val="24"/>
                <w:szCs w:val="24"/>
              </w:rPr>
            </w:pPr>
            <w:r>
              <w:rPr>
                <w:rFonts w:hint="eastAsia" w:ascii="方正仿宋_GBK" w:eastAsia="方正仿宋_GBK"/>
              </w:rPr>
              <w:t xml:space="preserve">6300 </w:t>
            </w:r>
          </w:p>
        </w:tc>
        <w:tc>
          <w:tcPr>
            <w:tcW w:w="992" w:type="dxa"/>
            <w:vMerge w:val="continue"/>
            <w:tcBorders>
              <w:left w:val="nil"/>
              <w:right w:val="single" w:color="auto" w:sz="4" w:space="0"/>
            </w:tcBorders>
          </w:tcPr>
          <w:p w14:paraId="3F0FD9BD">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13B855AB">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434DCDBF">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3997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05897D7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14</w:t>
            </w:r>
          </w:p>
        </w:tc>
        <w:tc>
          <w:tcPr>
            <w:tcW w:w="567" w:type="dxa"/>
            <w:vMerge w:val="continue"/>
            <w:tcBorders>
              <w:left w:val="nil"/>
              <w:right w:val="single" w:color="auto" w:sz="4" w:space="0"/>
            </w:tcBorders>
          </w:tcPr>
          <w:p w14:paraId="4F0042B0">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65CE7B6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高新育才</w:t>
            </w:r>
          </w:p>
        </w:tc>
        <w:tc>
          <w:tcPr>
            <w:tcW w:w="1418" w:type="dxa"/>
            <w:tcBorders>
              <w:top w:val="single" w:color="auto" w:sz="4" w:space="0"/>
              <w:left w:val="nil"/>
              <w:bottom w:val="single" w:color="auto" w:sz="4" w:space="0"/>
              <w:right w:val="single" w:color="auto" w:sz="4" w:space="0"/>
            </w:tcBorders>
            <w:vAlign w:val="center"/>
          </w:tcPr>
          <w:p w14:paraId="1B753D6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一是改造食堂，二是实施全校防雷工程整体维护</w:t>
            </w:r>
          </w:p>
        </w:tc>
        <w:tc>
          <w:tcPr>
            <w:tcW w:w="2126" w:type="dxa"/>
            <w:vMerge w:val="continue"/>
            <w:tcBorders>
              <w:left w:val="single" w:color="auto" w:sz="4" w:space="0"/>
              <w:bottom w:val="single" w:color="auto" w:sz="4" w:space="0"/>
              <w:right w:val="single" w:color="auto" w:sz="4" w:space="0"/>
            </w:tcBorders>
            <w:vAlign w:val="center"/>
          </w:tcPr>
          <w:p w14:paraId="2F222418">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5FF52B61">
            <w:pPr>
              <w:jc w:val="center"/>
              <w:rPr>
                <w:rFonts w:ascii="方正仿宋_GBK" w:hAnsi="宋体" w:eastAsia="方正仿宋_GBK" w:cs="宋体"/>
                <w:sz w:val="24"/>
                <w:szCs w:val="24"/>
              </w:rPr>
            </w:pPr>
            <w:r>
              <w:rPr>
                <w:rFonts w:hint="eastAsia" w:ascii="方正仿宋_GBK" w:eastAsia="方正仿宋_GBK"/>
              </w:rPr>
              <w:t xml:space="preserve">16466 </w:t>
            </w:r>
          </w:p>
        </w:tc>
        <w:tc>
          <w:tcPr>
            <w:tcW w:w="992" w:type="dxa"/>
            <w:vMerge w:val="continue"/>
            <w:tcBorders>
              <w:left w:val="nil"/>
              <w:bottom w:val="single" w:color="auto" w:sz="4" w:space="0"/>
              <w:right w:val="single" w:color="auto" w:sz="4" w:space="0"/>
            </w:tcBorders>
          </w:tcPr>
          <w:p w14:paraId="715CD424">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69FC80E2">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50</w:t>
            </w:r>
          </w:p>
        </w:tc>
        <w:tc>
          <w:tcPr>
            <w:tcW w:w="1276" w:type="dxa"/>
            <w:tcBorders>
              <w:top w:val="single" w:color="auto" w:sz="4" w:space="0"/>
              <w:left w:val="single" w:color="auto" w:sz="4" w:space="0"/>
              <w:bottom w:val="single" w:color="auto" w:sz="4" w:space="0"/>
              <w:right w:val="single" w:color="auto" w:sz="4" w:space="0"/>
            </w:tcBorders>
          </w:tcPr>
          <w:p w14:paraId="5A4D6EAE">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38E0D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70B6C96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15</w:t>
            </w:r>
          </w:p>
        </w:tc>
        <w:tc>
          <w:tcPr>
            <w:tcW w:w="567" w:type="dxa"/>
            <w:vMerge w:val="restart"/>
            <w:tcBorders>
              <w:left w:val="nil"/>
              <w:right w:val="single" w:color="auto" w:sz="4" w:space="0"/>
            </w:tcBorders>
          </w:tcPr>
          <w:p w14:paraId="7C457F27">
            <w:pPr>
              <w:pStyle w:val="2"/>
              <w:rPr>
                <w:rFonts w:ascii="方正楷体_GBK" w:hAnsi="方正楷体_GBK" w:eastAsia="方正楷体_GBK" w:cs="方正楷体_GBK"/>
                <w:b w:val="0"/>
                <w:bCs w:val="0"/>
                <w:sz w:val="21"/>
                <w:szCs w:val="21"/>
                <w:shd w:val="clear" w:color="auto" w:fill="FFFFFF"/>
              </w:rPr>
            </w:pPr>
          </w:p>
          <w:p w14:paraId="0E24A860">
            <w:pPr>
              <w:rPr>
                <w:rFonts w:ascii="方正楷体_GBK" w:hAnsi="方正楷体_GBK" w:eastAsia="方正楷体_GBK" w:cs="方正楷体_GBK"/>
                <w:szCs w:val="21"/>
                <w:shd w:val="clear" w:color="auto" w:fill="FFFFFF"/>
              </w:rPr>
            </w:pPr>
          </w:p>
          <w:p w14:paraId="27B5D0C6">
            <w:pPr>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包三</w:t>
            </w:r>
          </w:p>
        </w:tc>
        <w:tc>
          <w:tcPr>
            <w:tcW w:w="1559" w:type="dxa"/>
            <w:tcBorders>
              <w:top w:val="single" w:color="auto" w:sz="4" w:space="0"/>
              <w:left w:val="nil"/>
              <w:bottom w:val="single" w:color="auto" w:sz="4" w:space="0"/>
              <w:right w:val="single" w:color="auto" w:sz="4" w:space="0"/>
            </w:tcBorders>
            <w:vAlign w:val="center"/>
          </w:tcPr>
          <w:p w14:paraId="246CF74C">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工美</w:t>
            </w:r>
          </w:p>
        </w:tc>
        <w:tc>
          <w:tcPr>
            <w:tcW w:w="1418" w:type="dxa"/>
            <w:tcBorders>
              <w:top w:val="single" w:color="auto" w:sz="4" w:space="0"/>
              <w:left w:val="nil"/>
              <w:bottom w:val="single" w:color="auto" w:sz="4" w:space="0"/>
              <w:right w:val="single" w:color="auto" w:sz="4" w:space="0"/>
            </w:tcBorders>
            <w:vAlign w:val="center"/>
          </w:tcPr>
          <w:p w14:paraId="0E51ED7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校舍维修，围墙边坡防护</w:t>
            </w:r>
          </w:p>
        </w:tc>
        <w:tc>
          <w:tcPr>
            <w:tcW w:w="2126" w:type="dxa"/>
            <w:vMerge w:val="restart"/>
            <w:tcBorders>
              <w:top w:val="single" w:color="auto" w:sz="4" w:space="0"/>
              <w:left w:val="single" w:color="auto" w:sz="4" w:space="0"/>
              <w:right w:val="single" w:color="auto" w:sz="4" w:space="0"/>
            </w:tcBorders>
            <w:vAlign w:val="center"/>
          </w:tcPr>
          <w:p w14:paraId="1C317B0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14:paraId="51F927D2">
            <w:pPr>
              <w:jc w:val="center"/>
              <w:rPr>
                <w:rFonts w:ascii="方正仿宋_GBK" w:eastAsia="方正仿宋_GBK"/>
              </w:rPr>
            </w:pPr>
            <w:r>
              <w:rPr>
                <w:rFonts w:hint="eastAsia" w:ascii="方正仿宋_GBK" w:eastAsia="方正仿宋_GBK"/>
              </w:rPr>
              <w:t xml:space="preserve">4400 </w:t>
            </w:r>
          </w:p>
        </w:tc>
        <w:tc>
          <w:tcPr>
            <w:tcW w:w="992" w:type="dxa"/>
            <w:vMerge w:val="restart"/>
            <w:tcBorders>
              <w:top w:val="single" w:color="auto" w:sz="4" w:space="0"/>
              <w:left w:val="nil"/>
              <w:right w:val="single" w:color="auto" w:sz="4" w:space="0"/>
            </w:tcBorders>
          </w:tcPr>
          <w:p w14:paraId="29DB1414">
            <w:pPr>
              <w:adjustRightInd w:val="0"/>
              <w:snapToGrid w:val="0"/>
              <w:ind w:firstLine="210" w:firstLineChars="100"/>
              <w:jc w:val="left"/>
              <w:rPr>
                <w:rFonts w:ascii="方正仿宋_GBK" w:eastAsia="方正仿宋_GBK"/>
              </w:rPr>
            </w:pPr>
          </w:p>
          <w:p w14:paraId="454E9EBF">
            <w:pPr>
              <w:pStyle w:val="2"/>
              <w:rPr>
                <w:rFonts w:ascii="方正仿宋_GBK" w:eastAsia="方正仿宋_GBK"/>
                <w:b w:val="0"/>
                <w:bCs w:val="0"/>
                <w:sz w:val="21"/>
                <w:szCs w:val="22"/>
              </w:rPr>
            </w:pPr>
          </w:p>
          <w:p w14:paraId="7EC2FD67">
            <w:pPr>
              <w:rPr>
                <w:rFonts w:ascii="方正仿宋_GBK" w:eastAsia="方正仿宋_GBK"/>
              </w:rPr>
            </w:pPr>
          </w:p>
          <w:p w14:paraId="715A846C">
            <w:pPr>
              <w:pStyle w:val="2"/>
              <w:rPr>
                <w:rFonts w:ascii="方正仿宋_GBK" w:eastAsia="方正仿宋_GBK"/>
                <w:b w:val="0"/>
                <w:bCs w:val="0"/>
                <w:sz w:val="21"/>
                <w:szCs w:val="22"/>
              </w:rPr>
            </w:pPr>
            <w:r>
              <w:rPr>
                <w:rFonts w:hint="eastAsia" w:ascii="方正仿宋_GBK" w:eastAsia="方正仿宋_GBK"/>
                <w:b w:val="0"/>
                <w:bCs w:val="0"/>
                <w:sz w:val="21"/>
                <w:szCs w:val="22"/>
              </w:rPr>
              <w:t>109457</w:t>
            </w:r>
          </w:p>
        </w:tc>
        <w:tc>
          <w:tcPr>
            <w:tcW w:w="1276" w:type="dxa"/>
            <w:tcBorders>
              <w:top w:val="single" w:color="auto" w:sz="4" w:space="0"/>
              <w:left w:val="single" w:color="auto" w:sz="4" w:space="0"/>
              <w:bottom w:val="single" w:color="auto" w:sz="4" w:space="0"/>
              <w:right w:val="single" w:color="auto" w:sz="4" w:space="0"/>
            </w:tcBorders>
            <w:vAlign w:val="center"/>
          </w:tcPr>
          <w:p w14:paraId="2B67FB55">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2F8EAECD">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42958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429AA290">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16</w:t>
            </w:r>
          </w:p>
        </w:tc>
        <w:tc>
          <w:tcPr>
            <w:tcW w:w="567" w:type="dxa"/>
            <w:vMerge w:val="continue"/>
            <w:tcBorders>
              <w:left w:val="nil"/>
              <w:right w:val="single" w:color="auto" w:sz="4" w:space="0"/>
            </w:tcBorders>
          </w:tcPr>
          <w:p w14:paraId="1416A248">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369FFBC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重庆铁路小学</w:t>
            </w:r>
          </w:p>
        </w:tc>
        <w:tc>
          <w:tcPr>
            <w:tcW w:w="1418" w:type="dxa"/>
            <w:tcBorders>
              <w:top w:val="single" w:color="auto" w:sz="4" w:space="0"/>
              <w:left w:val="nil"/>
              <w:bottom w:val="single" w:color="auto" w:sz="4" w:space="0"/>
              <w:right w:val="single" w:color="auto" w:sz="4" w:space="0"/>
            </w:tcBorders>
            <w:vAlign w:val="center"/>
          </w:tcPr>
          <w:p w14:paraId="2CEC986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二号楼中间的小型运动场改造</w:t>
            </w:r>
          </w:p>
        </w:tc>
        <w:tc>
          <w:tcPr>
            <w:tcW w:w="2126" w:type="dxa"/>
            <w:vMerge w:val="continue"/>
            <w:tcBorders>
              <w:left w:val="single" w:color="auto" w:sz="4" w:space="0"/>
              <w:right w:val="single" w:color="auto" w:sz="4" w:space="0"/>
            </w:tcBorders>
            <w:vAlign w:val="center"/>
          </w:tcPr>
          <w:p w14:paraId="342E1711">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644F4898">
            <w:pPr>
              <w:jc w:val="center"/>
              <w:rPr>
                <w:rFonts w:ascii="方正仿宋_GBK" w:eastAsia="方正仿宋_GBK"/>
              </w:rPr>
            </w:pPr>
            <w:r>
              <w:rPr>
                <w:rFonts w:hint="eastAsia" w:ascii="方正仿宋_GBK" w:eastAsia="方正仿宋_GBK"/>
              </w:rPr>
              <w:t xml:space="preserve">2500 </w:t>
            </w:r>
          </w:p>
        </w:tc>
        <w:tc>
          <w:tcPr>
            <w:tcW w:w="992" w:type="dxa"/>
            <w:vMerge w:val="continue"/>
            <w:tcBorders>
              <w:left w:val="nil"/>
              <w:right w:val="single" w:color="auto" w:sz="4" w:space="0"/>
            </w:tcBorders>
          </w:tcPr>
          <w:p w14:paraId="18140351">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14:paraId="7649D559">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35211FE3">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23E7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05DB2429">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17</w:t>
            </w:r>
          </w:p>
        </w:tc>
        <w:tc>
          <w:tcPr>
            <w:tcW w:w="567" w:type="dxa"/>
            <w:vMerge w:val="continue"/>
            <w:tcBorders>
              <w:left w:val="nil"/>
              <w:right w:val="single" w:color="auto" w:sz="4" w:space="0"/>
            </w:tcBorders>
          </w:tcPr>
          <w:p w14:paraId="4CA9F63F">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5179ED18">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朵力小学</w:t>
            </w:r>
          </w:p>
        </w:tc>
        <w:tc>
          <w:tcPr>
            <w:tcW w:w="1418" w:type="dxa"/>
            <w:tcBorders>
              <w:top w:val="single" w:color="auto" w:sz="4" w:space="0"/>
              <w:left w:val="nil"/>
              <w:bottom w:val="single" w:color="auto" w:sz="4" w:space="0"/>
              <w:right w:val="single" w:color="auto" w:sz="4" w:space="0"/>
            </w:tcBorders>
            <w:vAlign w:val="center"/>
          </w:tcPr>
          <w:p w14:paraId="3C1B699A">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教室改造、墙面粉刷</w:t>
            </w:r>
          </w:p>
        </w:tc>
        <w:tc>
          <w:tcPr>
            <w:tcW w:w="2126" w:type="dxa"/>
            <w:vMerge w:val="continue"/>
            <w:tcBorders>
              <w:left w:val="single" w:color="auto" w:sz="4" w:space="0"/>
              <w:right w:val="single" w:color="auto" w:sz="4" w:space="0"/>
            </w:tcBorders>
            <w:vAlign w:val="center"/>
          </w:tcPr>
          <w:p w14:paraId="50838FE1">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6284A4A5">
            <w:pPr>
              <w:jc w:val="center"/>
              <w:rPr>
                <w:rFonts w:ascii="方正仿宋_GBK" w:eastAsia="方正仿宋_GBK"/>
              </w:rPr>
            </w:pPr>
            <w:r>
              <w:rPr>
                <w:rFonts w:hint="eastAsia" w:ascii="方正仿宋_GBK" w:eastAsia="方正仿宋_GBK"/>
              </w:rPr>
              <w:t xml:space="preserve">7800 </w:t>
            </w:r>
          </w:p>
        </w:tc>
        <w:tc>
          <w:tcPr>
            <w:tcW w:w="992" w:type="dxa"/>
            <w:vMerge w:val="continue"/>
            <w:tcBorders>
              <w:left w:val="nil"/>
              <w:right w:val="single" w:color="auto" w:sz="4" w:space="0"/>
            </w:tcBorders>
          </w:tcPr>
          <w:p w14:paraId="692FBCD5">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14:paraId="4189D508">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0F13B213">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515B4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3D1508E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18</w:t>
            </w:r>
          </w:p>
        </w:tc>
        <w:tc>
          <w:tcPr>
            <w:tcW w:w="567" w:type="dxa"/>
            <w:vMerge w:val="continue"/>
            <w:tcBorders>
              <w:left w:val="nil"/>
              <w:right w:val="single" w:color="auto" w:sz="4" w:space="0"/>
            </w:tcBorders>
          </w:tcPr>
          <w:p w14:paraId="3C24B562">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013073D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渝高中学</w:t>
            </w:r>
          </w:p>
        </w:tc>
        <w:tc>
          <w:tcPr>
            <w:tcW w:w="1418" w:type="dxa"/>
            <w:tcBorders>
              <w:top w:val="single" w:color="auto" w:sz="4" w:space="0"/>
              <w:left w:val="nil"/>
              <w:bottom w:val="single" w:color="auto" w:sz="4" w:space="0"/>
              <w:right w:val="single" w:color="auto" w:sz="4" w:space="0"/>
            </w:tcBorders>
            <w:vAlign w:val="center"/>
          </w:tcPr>
          <w:p w14:paraId="53FDA48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维修改造1号学生公寓</w:t>
            </w:r>
          </w:p>
        </w:tc>
        <w:tc>
          <w:tcPr>
            <w:tcW w:w="2126" w:type="dxa"/>
            <w:vMerge w:val="continue"/>
            <w:tcBorders>
              <w:left w:val="single" w:color="auto" w:sz="4" w:space="0"/>
              <w:right w:val="single" w:color="auto" w:sz="4" w:space="0"/>
            </w:tcBorders>
            <w:vAlign w:val="center"/>
          </w:tcPr>
          <w:p w14:paraId="78244265">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4B8275C6">
            <w:pPr>
              <w:jc w:val="center"/>
              <w:rPr>
                <w:rFonts w:ascii="方正仿宋_GBK" w:eastAsia="方正仿宋_GBK"/>
              </w:rPr>
            </w:pPr>
            <w:r>
              <w:rPr>
                <w:rFonts w:hint="eastAsia" w:ascii="方正仿宋_GBK" w:eastAsia="方正仿宋_GBK"/>
              </w:rPr>
              <w:t xml:space="preserve">44945 </w:t>
            </w:r>
          </w:p>
        </w:tc>
        <w:tc>
          <w:tcPr>
            <w:tcW w:w="992" w:type="dxa"/>
            <w:vMerge w:val="continue"/>
            <w:tcBorders>
              <w:left w:val="nil"/>
              <w:right w:val="single" w:color="auto" w:sz="4" w:space="0"/>
            </w:tcBorders>
          </w:tcPr>
          <w:p w14:paraId="29B949E3">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14:paraId="77769035">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171C1177">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04201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101B5BF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19</w:t>
            </w:r>
          </w:p>
        </w:tc>
        <w:tc>
          <w:tcPr>
            <w:tcW w:w="567" w:type="dxa"/>
            <w:vMerge w:val="continue"/>
            <w:tcBorders>
              <w:left w:val="nil"/>
              <w:right w:val="single" w:color="auto" w:sz="4" w:space="0"/>
            </w:tcBorders>
          </w:tcPr>
          <w:p w14:paraId="7FE53973">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376298E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森林小学（含幼儿园）</w:t>
            </w:r>
          </w:p>
        </w:tc>
        <w:tc>
          <w:tcPr>
            <w:tcW w:w="1418" w:type="dxa"/>
            <w:tcBorders>
              <w:top w:val="single" w:color="auto" w:sz="4" w:space="0"/>
              <w:left w:val="nil"/>
              <w:bottom w:val="single" w:color="auto" w:sz="4" w:space="0"/>
              <w:right w:val="single" w:color="auto" w:sz="4" w:space="0"/>
            </w:tcBorders>
            <w:vAlign w:val="center"/>
          </w:tcPr>
          <w:p w14:paraId="5D3A2D6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森林小学校舍维修；同心森林幼儿园改造</w:t>
            </w:r>
          </w:p>
        </w:tc>
        <w:tc>
          <w:tcPr>
            <w:tcW w:w="2126" w:type="dxa"/>
            <w:vMerge w:val="continue"/>
            <w:tcBorders>
              <w:left w:val="single" w:color="auto" w:sz="4" w:space="0"/>
              <w:right w:val="single" w:color="auto" w:sz="4" w:space="0"/>
            </w:tcBorders>
            <w:vAlign w:val="center"/>
          </w:tcPr>
          <w:p w14:paraId="5E61FEA1">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7A51D888">
            <w:pPr>
              <w:jc w:val="center"/>
              <w:rPr>
                <w:rFonts w:ascii="方正仿宋_GBK" w:hAnsi="宋体" w:eastAsia="方正仿宋_GBK" w:cs="宋体"/>
                <w:sz w:val="24"/>
                <w:szCs w:val="24"/>
              </w:rPr>
            </w:pPr>
            <w:r>
              <w:rPr>
                <w:rFonts w:hint="eastAsia" w:ascii="方正仿宋_GBK" w:eastAsia="方正仿宋_GBK"/>
              </w:rPr>
              <w:t xml:space="preserve">36716 </w:t>
            </w:r>
          </w:p>
        </w:tc>
        <w:tc>
          <w:tcPr>
            <w:tcW w:w="992" w:type="dxa"/>
            <w:vMerge w:val="continue"/>
            <w:tcBorders>
              <w:left w:val="nil"/>
              <w:right w:val="single" w:color="auto" w:sz="4" w:space="0"/>
            </w:tcBorders>
          </w:tcPr>
          <w:p w14:paraId="00B1FB7A">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2F43300A">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4D956AC2">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56EC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0FD09AA0">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20</w:t>
            </w:r>
          </w:p>
        </w:tc>
        <w:tc>
          <w:tcPr>
            <w:tcW w:w="567" w:type="dxa"/>
            <w:vMerge w:val="continue"/>
            <w:tcBorders>
              <w:left w:val="nil"/>
              <w:right w:val="single" w:color="auto" w:sz="4" w:space="0"/>
            </w:tcBorders>
          </w:tcPr>
          <w:p w14:paraId="7DB5763A">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03BB81DE">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彩云湖小学</w:t>
            </w:r>
          </w:p>
        </w:tc>
        <w:tc>
          <w:tcPr>
            <w:tcW w:w="1418" w:type="dxa"/>
            <w:tcBorders>
              <w:top w:val="single" w:color="auto" w:sz="4" w:space="0"/>
              <w:left w:val="nil"/>
              <w:bottom w:val="single" w:color="auto" w:sz="4" w:space="0"/>
              <w:right w:val="single" w:color="auto" w:sz="4" w:space="0"/>
            </w:tcBorders>
            <w:vAlign w:val="center"/>
          </w:tcPr>
          <w:p w14:paraId="7D9CB918">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实施校舍改造</w:t>
            </w:r>
          </w:p>
        </w:tc>
        <w:tc>
          <w:tcPr>
            <w:tcW w:w="2126" w:type="dxa"/>
            <w:vMerge w:val="continue"/>
            <w:tcBorders>
              <w:left w:val="single" w:color="auto" w:sz="4" w:space="0"/>
              <w:bottom w:val="single" w:color="auto" w:sz="4" w:space="0"/>
              <w:right w:val="single" w:color="auto" w:sz="4" w:space="0"/>
            </w:tcBorders>
            <w:vAlign w:val="center"/>
          </w:tcPr>
          <w:p w14:paraId="02D1D877">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2EFAF4FD">
            <w:pPr>
              <w:jc w:val="center"/>
              <w:rPr>
                <w:rFonts w:ascii="方正仿宋_GBK" w:hAnsi="宋体" w:eastAsia="方正仿宋_GBK" w:cs="宋体"/>
                <w:sz w:val="24"/>
                <w:szCs w:val="24"/>
              </w:rPr>
            </w:pPr>
            <w:r>
              <w:rPr>
                <w:rFonts w:hint="eastAsia" w:ascii="方正仿宋_GBK" w:eastAsia="方正仿宋_GBK"/>
              </w:rPr>
              <w:t xml:space="preserve">13096 </w:t>
            </w:r>
          </w:p>
        </w:tc>
        <w:tc>
          <w:tcPr>
            <w:tcW w:w="992" w:type="dxa"/>
            <w:vMerge w:val="continue"/>
            <w:tcBorders>
              <w:left w:val="nil"/>
              <w:bottom w:val="single" w:color="auto" w:sz="4" w:space="0"/>
              <w:right w:val="single" w:color="auto" w:sz="4" w:space="0"/>
            </w:tcBorders>
          </w:tcPr>
          <w:p w14:paraId="75F0334E">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6C5C472C">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50</w:t>
            </w:r>
          </w:p>
        </w:tc>
        <w:tc>
          <w:tcPr>
            <w:tcW w:w="1276" w:type="dxa"/>
            <w:tcBorders>
              <w:top w:val="single" w:color="auto" w:sz="4" w:space="0"/>
              <w:left w:val="single" w:color="auto" w:sz="4" w:space="0"/>
              <w:bottom w:val="single" w:color="auto" w:sz="4" w:space="0"/>
              <w:right w:val="single" w:color="auto" w:sz="4" w:space="0"/>
            </w:tcBorders>
          </w:tcPr>
          <w:p w14:paraId="2538073C">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5DF1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68" w:type="dxa"/>
            <w:tcBorders>
              <w:top w:val="single" w:color="auto" w:sz="4" w:space="0"/>
              <w:left w:val="single" w:color="auto" w:sz="4" w:space="0"/>
              <w:bottom w:val="single" w:color="auto" w:sz="4" w:space="0"/>
              <w:right w:val="single" w:color="auto" w:sz="4" w:space="0"/>
            </w:tcBorders>
            <w:vAlign w:val="center"/>
          </w:tcPr>
          <w:p w14:paraId="49EC1850">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21</w:t>
            </w:r>
          </w:p>
        </w:tc>
        <w:tc>
          <w:tcPr>
            <w:tcW w:w="567" w:type="dxa"/>
            <w:vMerge w:val="restart"/>
            <w:tcBorders>
              <w:left w:val="nil"/>
              <w:right w:val="single" w:color="auto" w:sz="4" w:space="0"/>
            </w:tcBorders>
          </w:tcPr>
          <w:p w14:paraId="59AD776D">
            <w:pPr>
              <w:pStyle w:val="2"/>
              <w:rPr>
                <w:rFonts w:ascii="方正楷体_GBK" w:hAnsi="方正楷体_GBK" w:eastAsia="方正楷体_GBK" w:cs="方正楷体_GBK"/>
                <w:b w:val="0"/>
                <w:bCs w:val="0"/>
                <w:sz w:val="21"/>
                <w:szCs w:val="21"/>
                <w:shd w:val="clear" w:color="auto" w:fill="FFFFFF"/>
              </w:rPr>
            </w:pPr>
          </w:p>
          <w:p w14:paraId="65DA6C43"/>
          <w:p w14:paraId="463BF24A">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包四</w:t>
            </w:r>
          </w:p>
        </w:tc>
        <w:tc>
          <w:tcPr>
            <w:tcW w:w="1559" w:type="dxa"/>
            <w:tcBorders>
              <w:top w:val="single" w:color="auto" w:sz="4" w:space="0"/>
              <w:left w:val="nil"/>
              <w:bottom w:val="single" w:color="auto" w:sz="4" w:space="0"/>
              <w:right w:val="single" w:color="auto" w:sz="4" w:space="0"/>
            </w:tcBorders>
            <w:vAlign w:val="center"/>
          </w:tcPr>
          <w:p w14:paraId="09F092CC">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歇台子小学</w:t>
            </w:r>
          </w:p>
        </w:tc>
        <w:tc>
          <w:tcPr>
            <w:tcW w:w="1418" w:type="dxa"/>
            <w:tcBorders>
              <w:top w:val="single" w:color="auto" w:sz="4" w:space="0"/>
              <w:left w:val="nil"/>
              <w:bottom w:val="single" w:color="auto" w:sz="4" w:space="0"/>
              <w:right w:val="single" w:color="auto" w:sz="4" w:space="0"/>
            </w:tcBorders>
            <w:vAlign w:val="center"/>
          </w:tcPr>
          <w:p w14:paraId="7346FED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外墙改造；内墙及天棚乳胶漆粉刷</w:t>
            </w:r>
          </w:p>
        </w:tc>
        <w:tc>
          <w:tcPr>
            <w:tcW w:w="2126" w:type="dxa"/>
            <w:vMerge w:val="restart"/>
            <w:tcBorders>
              <w:top w:val="single" w:color="auto" w:sz="4" w:space="0"/>
              <w:left w:val="single" w:color="auto" w:sz="4" w:space="0"/>
              <w:right w:val="single" w:color="auto" w:sz="4" w:space="0"/>
            </w:tcBorders>
            <w:vAlign w:val="center"/>
          </w:tcPr>
          <w:p w14:paraId="66F74A46">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14:paraId="434F9408">
            <w:pPr>
              <w:jc w:val="center"/>
              <w:rPr>
                <w:rFonts w:ascii="方正仿宋_GBK" w:eastAsia="方正仿宋_GBK"/>
              </w:rPr>
            </w:pPr>
            <w:r>
              <w:rPr>
                <w:rFonts w:hint="eastAsia" w:ascii="方正仿宋_GBK" w:eastAsia="方正仿宋_GBK"/>
              </w:rPr>
              <w:t xml:space="preserve">28142 </w:t>
            </w:r>
          </w:p>
        </w:tc>
        <w:tc>
          <w:tcPr>
            <w:tcW w:w="992" w:type="dxa"/>
            <w:vMerge w:val="restart"/>
            <w:tcBorders>
              <w:top w:val="single" w:color="auto" w:sz="4" w:space="0"/>
              <w:left w:val="nil"/>
              <w:right w:val="single" w:color="auto" w:sz="4" w:space="0"/>
            </w:tcBorders>
          </w:tcPr>
          <w:p w14:paraId="1BB0BA35">
            <w:pPr>
              <w:adjustRightInd w:val="0"/>
              <w:snapToGrid w:val="0"/>
              <w:ind w:firstLine="210" w:firstLineChars="100"/>
              <w:jc w:val="left"/>
              <w:rPr>
                <w:rFonts w:ascii="方正仿宋_GBK" w:eastAsia="方正仿宋_GBK"/>
              </w:rPr>
            </w:pPr>
          </w:p>
          <w:p w14:paraId="395CA129">
            <w:pPr>
              <w:rPr>
                <w:rFonts w:ascii="方正仿宋_GBK" w:eastAsia="方正仿宋_GBK"/>
              </w:rPr>
            </w:pPr>
          </w:p>
          <w:p w14:paraId="73F7121C">
            <w:pPr>
              <w:pStyle w:val="2"/>
            </w:pPr>
          </w:p>
          <w:p w14:paraId="78AFD55F">
            <w:pPr>
              <w:pStyle w:val="2"/>
              <w:rPr>
                <w:rFonts w:ascii="方正仿宋_GBK" w:eastAsia="方正仿宋_GBK"/>
                <w:b w:val="0"/>
                <w:bCs w:val="0"/>
                <w:sz w:val="21"/>
                <w:szCs w:val="22"/>
              </w:rPr>
            </w:pPr>
            <w:r>
              <w:rPr>
                <w:rFonts w:hint="eastAsia" w:ascii="方正仿宋_GBK" w:eastAsia="方正仿宋_GBK"/>
                <w:b w:val="0"/>
                <w:bCs w:val="0"/>
                <w:sz w:val="21"/>
                <w:szCs w:val="22"/>
              </w:rPr>
              <w:t>111165</w:t>
            </w:r>
          </w:p>
        </w:tc>
        <w:tc>
          <w:tcPr>
            <w:tcW w:w="1276" w:type="dxa"/>
            <w:tcBorders>
              <w:top w:val="single" w:color="auto" w:sz="4" w:space="0"/>
              <w:left w:val="single" w:color="auto" w:sz="4" w:space="0"/>
              <w:bottom w:val="single" w:color="auto" w:sz="4" w:space="0"/>
              <w:right w:val="single" w:color="auto" w:sz="4" w:space="0"/>
            </w:tcBorders>
            <w:vAlign w:val="center"/>
          </w:tcPr>
          <w:p w14:paraId="2FAEEAB9">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7D007EE1">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6560C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028BCBF1">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22</w:t>
            </w:r>
          </w:p>
        </w:tc>
        <w:tc>
          <w:tcPr>
            <w:tcW w:w="567" w:type="dxa"/>
            <w:vMerge w:val="continue"/>
            <w:tcBorders>
              <w:left w:val="nil"/>
              <w:right w:val="single" w:color="auto" w:sz="4" w:space="0"/>
            </w:tcBorders>
          </w:tcPr>
          <w:p w14:paraId="0F385EEA">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11DF2B9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玉清寺小学</w:t>
            </w:r>
          </w:p>
        </w:tc>
        <w:tc>
          <w:tcPr>
            <w:tcW w:w="1418" w:type="dxa"/>
            <w:tcBorders>
              <w:top w:val="single" w:color="auto" w:sz="4" w:space="0"/>
              <w:left w:val="nil"/>
              <w:bottom w:val="single" w:color="auto" w:sz="4" w:space="0"/>
              <w:right w:val="single" w:color="auto" w:sz="4" w:space="0"/>
            </w:tcBorders>
            <w:vAlign w:val="center"/>
          </w:tcPr>
          <w:p w14:paraId="7CC8E9FD">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运动场改造</w:t>
            </w:r>
          </w:p>
        </w:tc>
        <w:tc>
          <w:tcPr>
            <w:tcW w:w="2126" w:type="dxa"/>
            <w:vMerge w:val="continue"/>
            <w:tcBorders>
              <w:left w:val="single" w:color="auto" w:sz="4" w:space="0"/>
              <w:right w:val="single" w:color="auto" w:sz="4" w:space="0"/>
            </w:tcBorders>
            <w:vAlign w:val="center"/>
          </w:tcPr>
          <w:p w14:paraId="6E6E56F3">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52675F66">
            <w:pPr>
              <w:jc w:val="center"/>
              <w:rPr>
                <w:rFonts w:ascii="方正仿宋_GBK" w:eastAsia="方正仿宋_GBK"/>
              </w:rPr>
            </w:pPr>
            <w:r>
              <w:rPr>
                <w:rFonts w:hint="eastAsia" w:ascii="方正仿宋_GBK" w:eastAsia="方正仿宋_GBK"/>
              </w:rPr>
              <w:t xml:space="preserve">13890 </w:t>
            </w:r>
          </w:p>
        </w:tc>
        <w:tc>
          <w:tcPr>
            <w:tcW w:w="992" w:type="dxa"/>
            <w:vMerge w:val="continue"/>
            <w:tcBorders>
              <w:left w:val="nil"/>
              <w:right w:val="single" w:color="auto" w:sz="4" w:space="0"/>
            </w:tcBorders>
          </w:tcPr>
          <w:p w14:paraId="5885D80E">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14:paraId="6C05DF50">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1276" w:type="dxa"/>
            <w:tcBorders>
              <w:top w:val="single" w:color="auto" w:sz="4" w:space="0"/>
              <w:left w:val="single" w:color="auto" w:sz="4" w:space="0"/>
              <w:bottom w:val="single" w:color="auto" w:sz="4" w:space="0"/>
              <w:right w:val="single" w:color="auto" w:sz="4" w:space="0"/>
            </w:tcBorders>
          </w:tcPr>
          <w:p w14:paraId="3B3B23C4">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336E7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713CFA8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23</w:t>
            </w:r>
          </w:p>
        </w:tc>
        <w:tc>
          <w:tcPr>
            <w:tcW w:w="567" w:type="dxa"/>
            <w:vMerge w:val="continue"/>
            <w:tcBorders>
              <w:left w:val="nil"/>
              <w:right w:val="single" w:color="auto" w:sz="4" w:space="0"/>
            </w:tcBorders>
          </w:tcPr>
          <w:p w14:paraId="53C18C11">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40CD74C7">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渝西中学</w:t>
            </w:r>
          </w:p>
        </w:tc>
        <w:tc>
          <w:tcPr>
            <w:tcW w:w="1418" w:type="dxa"/>
            <w:tcBorders>
              <w:top w:val="single" w:color="auto" w:sz="4" w:space="0"/>
              <w:left w:val="nil"/>
              <w:bottom w:val="single" w:color="auto" w:sz="4" w:space="0"/>
              <w:right w:val="single" w:color="auto" w:sz="4" w:space="0"/>
            </w:tcBorders>
            <w:vAlign w:val="center"/>
          </w:tcPr>
          <w:p w14:paraId="5021AC95">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运动场改造</w:t>
            </w:r>
          </w:p>
        </w:tc>
        <w:tc>
          <w:tcPr>
            <w:tcW w:w="2126" w:type="dxa"/>
            <w:vMerge w:val="continue"/>
            <w:tcBorders>
              <w:left w:val="single" w:color="auto" w:sz="4" w:space="0"/>
              <w:right w:val="single" w:color="auto" w:sz="4" w:space="0"/>
            </w:tcBorders>
            <w:vAlign w:val="center"/>
          </w:tcPr>
          <w:p w14:paraId="6F8C8BD3">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758232E1">
            <w:pPr>
              <w:jc w:val="center"/>
              <w:rPr>
                <w:rFonts w:ascii="方正仿宋_GBK" w:eastAsia="方正仿宋_GBK"/>
              </w:rPr>
            </w:pPr>
            <w:r>
              <w:rPr>
                <w:rFonts w:hint="eastAsia" w:ascii="方正仿宋_GBK" w:eastAsia="方正仿宋_GBK"/>
              </w:rPr>
              <w:t xml:space="preserve">34045 </w:t>
            </w:r>
          </w:p>
        </w:tc>
        <w:tc>
          <w:tcPr>
            <w:tcW w:w="992" w:type="dxa"/>
            <w:vMerge w:val="continue"/>
            <w:tcBorders>
              <w:left w:val="nil"/>
              <w:right w:val="single" w:color="auto" w:sz="4" w:space="0"/>
            </w:tcBorders>
          </w:tcPr>
          <w:p w14:paraId="37B5FE43">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14:paraId="5170DFB6">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45</w:t>
            </w:r>
          </w:p>
        </w:tc>
        <w:tc>
          <w:tcPr>
            <w:tcW w:w="1276" w:type="dxa"/>
            <w:tcBorders>
              <w:top w:val="single" w:color="auto" w:sz="4" w:space="0"/>
              <w:left w:val="single" w:color="auto" w:sz="4" w:space="0"/>
              <w:bottom w:val="single" w:color="auto" w:sz="4" w:space="0"/>
              <w:right w:val="single" w:color="auto" w:sz="4" w:space="0"/>
            </w:tcBorders>
          </w:tcPr>
          <w:p w14:paraId="2EFE9D42">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14:paraId="3FC04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0F8E9F28">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24</w:t>
            </w:r>
          </w:p>
        </w:tc>
        <w:tc>
          <w:tcPr>
            <w:tcW w:w="567" w:type="dxa"/>
            <w:vMerge w:val="continue"/>
            <w:tcBorders>
              <w:left w:val="nil"/>
              <w:right w:val="single" w:color="auto" w:sz="4" w:space="0"/>
            </w:tcBorders>
          </w:tcPr>
          <w:p w14:paraId="5C336D00">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6C4A495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西彭一小</w:t>
            </w:r>
          </w:p>
        </w:tc>
        <w:tc>
          <w:tcPr>
            <w:tcW w:w="1418" w:type="dxa"/>
            <w:tcBorders>
              <w:top w:val="single" w:color="auto" w:sz="4" w:space="0"/>
              <w:left w:val="nil"/>
              <w:bottom w:val="single" w:color="auto" w:sz="4" w:space="0"/>
              <w:right w:val="single" w:color="auto" w:sz="4" w:space="0"/>
            </w:tcBorders>
            <w:vAlign w:val="center"/>
          </w:tcPr>
          <w:p w14:paraId="3BCA4552">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校园透水砖地面实施大理石铺装、篮球场地面整体改造</w:t>
            </w:r>
          </w:p>
        </w:tc>
        <w:tc>
          <w:tcPr>
            <w:tcW w:w="2126" w:type="dxa"/>
            <w:vMerge w:val="continue"/>
            <w:tcBorders>
              <w:left w:val="single" w:color="auto" w:sz="4" w:space="0"/>
              <w:right w:val="single" w:color="auto" w:sz="4" w:space="0"/>
            </w:tcBorders>
            <w:vAlign w:val="center"/>
          </w:tcPr>
          <w:p w14:paraId="57797CA5">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739CFF06">
            <w:pPr>
              <w:jc w:val="center"/>
              <w:rPr>
                <w:rFonts w:ascii="方正仿宋_GBK" w:eastAsia="方正仿宋_GBK"/>
              </w:rPr>
            </w:pPr>
            <w:r>
              <w:rPr>
                <w:rFonts w:hint="eastAsia" w:ascii="方正仿宋_GBK" w:eastAsia="方正仿宋_GBK"/>
              </w:rPr>
              <w:t xml:space="preserve">17948 </w:t>
            </w:r>
          </w:p>
        </w:tc>
        <w:tc>
          <w:tcPr>
            <w:tcW w:w="992" w:type="dxa"/>
            <w:vMerge w:val="continue"/>
            <w:tcBorders>
              <w:left w:val="nil"/>
              <w:right w:val="single" w:color="auto" w:sz="4" w:space="0"/>
            </w:tcBorders>
          </w:tcPr>
          <w:p w14:paraId="3F2EC29A">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14:paraId="43DA07B7">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30</w:t>
            </w:r>
          </w:p>
        </w:tc>
        <w:tc>
          <w:tcPr>
            <w:tcW w:w="1276" w:type="dxa"/>
            <w:tcBorders>
              <w:top w:val="single" w:color="auto" w:sz="4" w:space="0"/>
              <w:left w:val="single" w:color="auto" w:sz="4" w:space="0"/>
              <w:bottom w:val="single" w:color="auto" w:sz="4" w:space="0"/>
              <w:right w:val="single" w:color="auto" w:sz="4" w:space="0"/>
            </w:tcBorders>
          </w:tcPr>
          <w:p w14:paraId="08CA4F77">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1CFDD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568" w:type="dxa"/>
            <w:tcBorders>
              <w:top w:val="single" w:color="auto" w:sz="4" w:space="0"/>
              <w:left w:val="single" w:color="auto" w:sz="4" w:space="0"/>
              <w:bottom w:val="single" w:color="auto" w:sz="4" w:space="0"/>
              <w:right w:val="single" w:color="auto" w:sz="4" w:space="0"/>
            </w:tcBorders>
            <w:vAlign w:val="center"/>
          </w:tcPr>
          <w:p w14:paraId="0D7678D2">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25</w:t>
            </w:r>
          </w:p>
        </w:tc>
        <w:tc>
          <w:tcPr>
            <w:tcW w:w="567" w:type="dxa"/>
            <w:vMerge w:val="continue"/>
            <w:tcBorders>
              <w:left w:val="nil"/>
              <w:right w:val="single" w:color="auto" w:sz="4" w:space="0"/>
            </w:tcBorders>
          </w:tcPr>
          <w:p w14:paraId="66140149">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4509AC0C">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陈家坪小学</w:t>
            </w:r>
          </w:p>
        </w:tc>
        <w:tc>
          <w:tcPr>
            <w:tcW w:w="1418" w:type="dxa"/>
            <w:tcBorders>
              <w:top w:val="single" w:color="auto" w:sz="4" w:space="0"/>
              <w:left w:val="nil"/>
              <w:bottom w:val="single" w:color="auto" w:sz="4" w:space="0"/>
              <w:right w:val="single" w:color="auto" w:sz="4" w:space="0"/>
            </w:tcBorders>
            <w:vAlign w:val="center"/>
          </w:tcPr>
          <w:p w14:paraId="3CB2CEAC">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厕所改造、幼儿园改造</w:t>
            </w:r>
          </w:p>
        </w:tc>
        <w:tc>
          <w:tcPr>
            <w:tcW w:w="2126" w:type="dxa"/>
            <w:vMerge w:val="continue"/>
            <w:tcBorders>
              <w:left w:val="single" w:color="auto" w:sz="4" w:space="0"/>
              <w:right w:val="single" w:color="auto" w:sz="4" w:space="0"/>
            </w:tcBorders>
            <w:vAlign w:val="center"/>
          </w:tcPr>
          <w:p w14:paraId="5F421786">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6446CF26">
            <w:pPr>
              <w:jc w:val="center"/>
              <w:rPr>
                <w:rFonts w:ascii="方正仿宋_GBK" w:hAnsi="宋体" w:eastAsia="方正仿宋_GBK" w:cs="宋体"/>
                <w:sz w:val="24"/>
                <w:szCs w:val="24"/>
              </w:rPr>
            </w:pPr>
            <w:r>
              <w:rPr>
                <w:rFonts w:hint="eastAsia" w:ascii="方正仿宋_GBK" w:eastAsia="方正仿宋_GBK"/>
              </w:rPr>
              <w:t xml:space="preserve">8400 </w:t>
            </w:r>
          </w:p>
        </w:tc>
        <w:tc>
          <w:tcPr>
            <w:tcW w:w="992" w:type="dxa"/>
            <w:vMerge w:val="continue"/>
            <w:tcBorders>
              <w:left w:val="nil"/>
              <w:right w:val="single" w:color="auto" w:sz="4" w:space="0"/>
            </w:tcBorders>
          </w:tcPr>
          <w:p w14:paraId="661EB407">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524AED1E">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33AB9F36">
            <w:pPr>
              <w:adjustRightInd w:val="0"/>
              <w:snapToGrid w:val="0"/>
              <w:ind w:firstLine="210" w:firstLineChars="100"/>
              <w:jc w:val="left"/>
              <w:rPr>
                <w:rFonts w:ascii="方正楷体_GBK" w:hAnsi="方正楷体_GBK" w:eastAsia="方正楷体_GBK" w:cs="方正楷体_GBK"/>
                <w:szCs w:val="21"/>
                <w:shd w:val="clear" w:color="auto" w:fill="FFFFFF"/>
              </w:rPr>
            </w:pPr>
          </w:p>
        </w:tc>
      </w:tr>
      <w:tr w14:paraId="52430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14:paraId="3512FF43">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26</w:t>
            </w:r>
          </w:p>
        </w:tc>
        <w:tc>
          <w:tcPr>
            <w:tcW w:w="567" w:type="dxa"/>
            <w:vMerge w:val="continue"/>
            <w:tcBorders>
              <w:left w:val="nil"/>
              <w:right w:val="single" w:color="auto" w:sz="4" w:space="0"/>
            </w:tcBorders>
          </w:tcPr>
          <w:p w14:paraId="092A5B15">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14:paraId="64D54814">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华美小学</w:t>
            </w:r>
          </w:p>
        </w:tc>
        <w:tc>
          <w:tcPr>
            <w:tcW w:w="1418" w:type="dxa"/>
            <w:tcBorders>
              <w:top w:val="single" w:color="auto" w:sz="4" w:space="0"/>
              <w:left w:val="nil"/>
              <w:bottom w:val="single" w:color="auto" w:sz="4" w:space="0"/>
              <w:right w:val="single" w:color="auto" w:sz="4" w:space="0"/>
            </w:tcBorders>
            <w:vAlign w:val="center"/>
          </w:tcPr>
          <w:p w14:paraId="0841625B">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教学楼内6间厕所整体改造</w:t>
            </w:r>
          </w:p>
        </w:tc>
        <w:tc>
          <w:tcPr>
            <w:tcW w:w="2126" w:type="dxa"/>
            <w:vMerge w:val="continue"/>
            <w:tcBorders>
              <w:left w:val="single" w:color="auto" w:sz="4" w:space="0"/>
              <w:right w:val="single" w:color="auto" w:sz="4" w:space="0"/>
            </w:tcBorders>
            <w:vAlign w:val="center"/>
          </w:tcPr>
          <w:p w14:paraId="2494944A">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14:paraId="3B3BD02D">
            <w:pPr>
              <w:jc w:val="center"/>
              <w:rPr>
                <w:rFonts w:ascii="方正仿宋_GBK" w:hAnsi="宋体" w:eastAsia="方正仿宋_GBK" w:cs="宋体"/>
                <w:sz w:val="24"/>
                <w:szCs w:val="24"/>
              </w:rPr>
            </w:pPr>
            <w:r>
              <w:rPr>
                <w:rFonts w:hint="eastAsia" w:ascii="方正仿宋_GBK" w:eastAsia="方正仿宋_GBK"/>
              </w:rPr>
              <w:t xml:space="preserve">8740 </w:t>
            </w:r>
          </w:p>
        </w:tc>
        <w:tc>
          <w:tcPr>
            <w:tcW w:w="992" w:type="dxa"/>
            <w:vMerge w:val="continue"/>
            <w:tcBorders>
              <w:left w:val="nil"/>
              <w:right w:val="single" w:color="auto" w:sz="4" w:space="0"/>
            </w:tcBorders>
          </w:tcPr>
          <w:p w14:paraId="30D6CEBE">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14:paraId="36E96873">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14:paraId="6BAFC57F">
            <w:pPr>
              <w:adjustRightInd w:val="0"/>
              <w:snapToGrid w:val="0"/>
              <w:ind w:firstLine="210" w:firstLineChars="100"/>
              <w:jc w:val="left"/>
              <w:rPr>
                <w:rFonts w:ascii="方正楷体_GBK" w:hAnsi="方正楷体_GBK" w:eastAsia="方正楷体_GBK" w:cs="方正楷体_GBK"/>
                <w:szCs w:val="21"/>
                <w:shd w:val="clear" w:color="auto" w:fill="FFFFFF"/>
              </w:rPr>
            </w:pPr>
          </w:p>
        </w:tc>
      </w:tr>
    </w:tbl>
    <w:p w14:paraId="224C98CC">
      <w:pPr>
        <w:pStyle w:val="2"/>
        <w:adjustRightInd w:val="0"/>
        <w:snapToGrid w:val="0"/>
        <w:spacing w:before="0" w:after="0" w:line="600" w:lineRule="exact"/>
        <w:ind w:firstLine="562" w:firstLineChars="200"/>
        <w:rPr>
          <w:rFonts w:ascii="方正仿宋_GBK" w:hAnsi="宋体" w:eastAsia="方正仿宋_GBK"/>
          <w:b w:val="0"/>
          <w:bCs w:val="0"/>
          <w:szCs w:val="24"/>
        </w:rPr>
      </w:pPr>
      <w:r>
        <w:rPr>
          <w:rFonts w:ascii="方正楷体_GBK" w:hAnsi="方正楷体_GBK" w:eastAsia="方正楷体_GBK" w:cs="方正楷体_GBK"/>
          <w:sz w:val="28"/>
          <w:szCs w:val="28"/>
          <w:shd w:val="clear" w:color="auto" w:fill="FFFFFF"/>
        </w:rPr>
        <w:t>承包范围：详见施工图图纸图说资料和工程量清单。</w:t>
      </w:r>
    </w:p>
    <w:p w14:paraId="5418AE79">
      <w:pPr>
        <w:pStyle w:val="20"/>
        <w:adjustRightInd w:val="0"/>
        <w:snapToGrid w:val="0"/>
        <w:spacing w:line="600" w:lineRule="exact"/>
        <w:ind w:firstLine="640"/>
        <w:jc w:val="left"/>
        <w:rPr>
          <w:rFonts w:ascii="方正黑体_GBK" w:hAnsi="方正仿宋_GBK" w:eastAsia="方正黑体_GBK" w:cs="方正仿宋_GBK"/>
          <w:bCs/>
          <w:sz w:val="32"/>
          <w:szCs w:val="24"/>
        </w:rPr>
      </w:pPr>
    </w:p>
    <w:p w14:paraId="7676A1CB">
      <w:pPr>
        <w:pStyle w:val="20"/>
        <w:adjustRightInd w:val="0"/>
        <w:snapToGrid w:val="0"/>
        <w:spacing w:line="600" w:lineRule="exact"/>
        <w:ind w:firstLine="640"/>
        <w:jc w:val="left"/>
        <w:rPr>
          <w:rFonts w:ascii="方正黑体_GBK" w:hAnsi="方正仿宋_GBK" w:eastAsia="方正黑体_GBK" w:cs="方正仿宋_GBK"/>
          <w:bCs/>
          <w:sz w:val="32"/>
          <w:szCs w:val="24"/>
        </w:rPr>
      </w:pPr>
    </w:p>
    <w:p w14:paraId="2ED3D8CC">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hint="eastAsia" w:ascii="方正黑体_GBK" w:hAnsi="方正仿宋_GBK" w:eastAsia="方正黑体_GBK" w:cs="方正仿宋_GBK"/>
          <w:bCs/>
          <w:sz w:val="32"/>
          <w:szCs w:val="24"/>
        </w:rPr>
        <w:t>二、资格要求</w:t>
      </w:r>
    </w:p>
    <w:p w14:paraId="546EB12E">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（一）比选申请人应具备的资质条件</w:t>
      </w:r>
      <w:r>
        <w:rPr>
          <w:rFonts w:ascii="方正楷体_GBK" w:hAnsi="方正楷体_GBK" w:eastAsia="方正楷体_GBK" w:cs="方正楷体_GBK"/>
          <w:sz w:val="28"/>
          <w:szCs w:val="28"/>
          <w:shd w:val="clear" w:color="auto" w:fill="FFFFFF"/>
        </w:rPr>
        <w:t>。</w:t>
      </w:r>
    </w:p>
    <w:p w14:paraId="5E105B9B">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1.监理单位资质：具备建设行政主管部门颁发的房屋建筑工程乙级及以上监理资质或工程监理综合资质。</w:t>
      </w:r>
    </w:p>
    <w:p w14:paraId="413CC1CE">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2.人员要求：</w:t>
      </w:r>
    </w:p>
    <w:p w14:paraId="60A9D294">
      <w:pPr>
        <w:adjustRightInd w:val="0"/>
        <w:snapToGrid w:val="0"/>
        <w:spacing w:line="600" w:lineRule="exact"/>
        <w:ind w:firstLine="700" w:firstLineChars="2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总监理工程师2名：具备建设部颁发的全国注册监理工程师证书且注册专业为房屋建筑工程；</w:t>
      </w:r>
    </w:p>
    <w:p w14:paraId="73EFC410">
      <w:pPr>
        <w:adjustRightInd w:val="0"/>
        <w:snapToGrid w:val="0"/>
        <w:spacing w:line="600" w:lineRule="exact"/>
        <w:ind w:firstLine="700" w:firstLineChars="2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专业监理工程师不少于4名：应具备建设部颁发的全国注册监理工程师（注册专业为房屋建筑工程）或行政主管部门颁发的《监理工程师岗位证书》。</w:t>
      </w:r>
    </w:p>
    <w:p w14:paraId="44AFA88D">
      <w:pPr>
        <w:pStyle w:val="11"/>
        <w:autoSpaceDE w:val="0"/>
        <w:adjustRightInd w:val="0"/>
        <w:snapToGrid w:val="0"/>
        <w:spacing w:line="600" w:lineRule="exact"/>
        <w:ind w:firstLine="640" w:firstLineChars="200"/>
        <w:rPr>
          <w:rFonts w:ascii="方正黑体_GBK" w:hAnsi="方正仿宋_GBK" w:eastAsia="方正黑体_GBK" w:cs="方正仿宋_GBK"/>
          <w:sz w:val="32"/>
          <w:szCs w:val="32"/>
        </w:rPr>
      </w:pPr>
      <w:r>
        <w:rPr>
          <w:rFonts w:ascii="方正黑体_GBK" w:hAnsi="方正黑体_GBK" w:eastAsia="方正黑体_GBK" w:cs="方正黑体_GBK"/>
          <w:sz w:val="32"/>
          <w:szCs w:val="32"/>
        </w:rPr>
        <w:t>三、比选保证金</w:t>
      </w:r>
    </w:p>
    <w:p w14:paraId="626A8323">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1、保证金为</w:t>
      </w:r>
      <w:r>
        <w:rPr>
          <w:rFonts w:hint="eastAsia" w:ascii="方正楷体_GBK" w:hAnsi="方正楷体_GBK" w:eastAsia="方正楷体_GBK" w:cs="方正楷体_GBK"/>
          <w:sz w:val="28"/>
          <w:szCs w:val="28"/>
          <w:shd w:val="clear" w:color="auto" w:fill="FFFFFF"/>
        </w:rPr>
        <w:t>：2500元人民币。</w:t>
      </w:r>
    </w:p>
    <w:p w14:paraId="59B21F7B">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2、提交时间：报名时现场刷POSS机提交（法人或法人授权代表刷卡）。</w:t>
      </w:r>
    </w:p>
    <w:p w14:paraId="1512D64B">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3、提交方式：现金或者银行保函。现金方式须现场</w:t>
      </w:r>
      <w:r>
        <w:rPr>
          <w:rFonts w:ascii="方正楷体_GBK" w:hAnsi="方正楷体_GBK" w:eastAsia="方正楷体_GBK" w:cs="方正楷体_GBK"/>
          <w:sz w:val="28"/>
          <w:szCs w:val="28"/>
          <w:shd w:val="clear" w:color="auto" w:fill="FFFFFF"/>
        </w:rPr>
        <w:t>刷POSS机提交（法人或法人授权代表刷卡）</w:t>
      </w:r>
      <w:r>
        <w:rPr>
          <w:rFonts w:hint="eastAsia" w:ascii="方正楷体_GBK" w:hAnsi="方正楷体_GBK" w:eastAsia="方正楷体_GBK" w:cs="方正楷体_GBK"/>
          <w:sz w:val="28"/>
          <w:szCs w:val="28"/>
          <w:shd w:val="clear" w:color="auto" w:fill="FFFFFF"/>
        </w:rPr>
        <w:t>；银行保函方式须报名现场提交银行保函原件，保函必须不可撤销且见索即付。</w:t>
      </w:r>
    </w:p>
    <w:p w14:paraId="4FEE2FAE">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w:t>
      </w:r>
      <w:r>
        <w:rPr>
          <w:rFonts w:ascii="方正楷体_GBK" w:hAnsi="方正楷体_GBK" w:eastAsia="方正楷体_GBK" w:cs="方正楷体_GBK"/>
          <w:sz w:val="28"/>
          <w:szCs w:val="28"/>
          <w:shd w:val="clear" w:color="auto" w:fill="FFFFFF"/>
        </w:rPr>
        <w:t>、退还时间：在开标公布中选人后未中选人当天退还。中选人的比选保证金转为履约保证金</w:t>
      </w:r>
      <w:r>
        <w:rPr>
          <w:rFonts w:hint="eastAsia" w:ascii="方正楷体_GBK" w:hAnsi="方正楷体_GBK" w:eastAsia="方正楷体_GBK" w:cs="方正楷体_GBK"/>
          <w:sz w:val="28"/>
          <w:szCs w:val="28"/>
          <w:shd w:val="clear" w:color="auto" w:fill="FFFFFF"/>
        </w:rPr>
        <w:t>，</w:t>
      </w:r>
      <w:r>
        <w:rPr>
          <w:rFonts w:ascii="方正楷体_GBK" w:hAnsi="方正楷体_GBK" w:eastAsia="方正楷体_GBK" w:cs="方正楷体_GBK"/>
          <w:sz w:val="28"/>
          <w:szCs w:val="28"/>
          <w:shd w:val="clear" w:color="auto" w:fill="FFFFFF"/>
        </w:rPr>
        <w:t>履约保证金</w:t>
      </w:r>
      <w:r>
        <w:rPr>
          <w:rFonts w:hint="eastAsia" w:ascii="方正楷体_GBK" w:hAnsi="方正楷体_GBK" w:eastAsia="方正楷体_GBK" w:cs="方正楷体_GBK"/>
          <w:sz w:val="28"/>
          <w:szCs w:val="28"/>
          <w:shd w:val="clear" w:color="auto" w:fill="FFFFFF"/>
        </w:rPr>
        <w:t>在工程竣工验收合格后退还</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若中选人报名时提供的比选保证金为银行保函，中选人必须现场</w:t>
      </w:r>
      <w:r>
        <w:rPr>
          <w:rFonts w:ascii="方正楷体_GBK" w:hAnsi="方正楷体_GBK" w:eastAsia="方正楷体_GBK" w:cs="方正楷体_GBK"/>
          <w:sz w:val="28"/>
          <w:szCs w:val="28"/>
          <w:shd w:val="clear" w:color="auto" w:fill="FFFFFF"/>
        </w:rPr>
        <w:t>刷POSS机提交</w:t>
      </w:r>
      <w:r>
        <w:rPr>
          <w:rFonts w:hint="eastAsia" w:ascii="方正楷体_GBK" w:hAnsi="方正楷体_GBK" w:eastAsia="方正楷体_GBK" w:cs="方正楷体_GBK"/>
          <w:sz w:val="28"/>
          <w:szCs w:val="28"/>
          <w:shd w:val="clear" w:color="auto" w:fill="FFFFFF"/>
        </w:rPr>
        <w:t>履约保证金</w:t>
      </w:r>
      <w:r>
        <w:rPr>
          <w:rFonts w:ascii="方正楷体_GBK" w:hAnsi="方正楷体_GBK" w:eastAsia="方正楷体_GBK" w:cs="方正楷体_GBK"/>
          <w:sz w:val="28"/>
          <w:szCs w:val="28"/>
          <w:shd w:val="clear" w:color="auto" w:fill="FFFFFF"/>
        </w:rPr>
        <w:t>（法人或法人授权代表刷卡）。</w:t>
      </w:r>
    </w:p>
    <w:p w14:paraId="26F9E1FA">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w:t>
      </w:r>
      <w:r>
        <w:rPr>
          <w:rFonts w:ascii="方正楷体_GBK" w:hAnsi="方正楷体_GBK" w:eastAsia="方正楷体_GBK" w:cs="方正楷体_GBK"/>
          <w:sz w:val="28"/>
          <w:szCs w:val="28"/>
          <w:shd w:val="clear" w:color="auto" w:fill="FFFFFF"/>
        </w:rPr>
        <w:t>、下列任何情况发生时，竞选保证金不予退还：</w:t>
      </w:r>
    </w:p>
    <w:p w14:paraId="65814D1E">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（1）中选通知书发出后</w:t>
      </w:r>
      <w:r>
        <w:rPr>
          <w:rFonts w:hint="eastAsia" w:ascii="方正楷体_GBK" w:hAnsi="方正楷体_GBK" w:eastAsia="方正楷体_GBK" w:cs="方正楷体_GBK"/>
          <w:sz w:val="28"/>
          <w:szCs w:val="28"/>
          <w:shd w:val="clear" w:color="auto" w:fill="FFFFFF"/>
        </w:rPr>
        <w:t>5</w:t>
      </w:r>
      <w:r>
        <w:rPr>
          <w:rFonts w:ascii="方正楷体_GBK" w:hAnsi="方正楷体_GBK" w:eastAsia="方正楷体_GBK" w:cs="方正楷体_GBK"/>
          <w:sz w:val="28"/>
          <w:szCs w:val="28"/>
          <w:shd w:val="clear" w:color="auto" w:fill="FFFFFF"/>
        </w:rPr>
        <w:t>日内，中选人未与中选的项目学校签订合同的；</w:t>
      </w:r>
    </w:p>
    <w:p w14:paraId="7CC2E84F">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（2）若中选人放弃中选的；</w:t>
      </w:r>
    </w:p>
    <w:p w14:paraId="08F12C04">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3</w:t>
      </w:r>
      <w:r>
        <w:rPr>
          <w:rFonts w:ascii="方正楷体_GBK" w:hAnsi="方正楷体_GBK" w:eastAsia="方正楷体_GBK" w:cs="方正楷体_GBK"/>
          <w:sz w:val="28"/>
          <w:szCs w:val="28"/>
          <w:shd w:val="clear" w:color="auto" w:fill="FFFFFF"/>
        </w:rPr>
        <w:t>）经查实与</w:t>
      </w:r>
      <w:r>
        <w:rPr>
          <w:rFonts w:hint="eastAsia" w:ascii="方正楷体_GBK" w:hAnsi="方正楷体_GBK" w:eastAsia="方正楷体_GBK" w:cs="方正楷体_GBK"/>
          <w:sz w:val="28"/>
          <w:szCs w:val="28"/>
          <w:shd w:val="clear" w:color="auto" w:fill="FFFFFF"/>
        </w:rPr>
        <w:t>竞选</w:t>
      </w:r>
      <w:r>
        <w:rPr>
          <w:rFonts w:ascii="方正楷体_GBK" w:hAnsi="方正楷体_GBK" w:eastAsia="方正楷体_GBK" w:cs="方正楷体_GBK"/>
          <w:sz w:val="28"/>
          <w:szCs w:val="28"/>
          <w:shd w:val="clear" w:color="auto" w:fill="FFFFFF"/>
        </w:rPr>
        <w:t>人或与其他被</w:t>
      </w:r>
      <w:r>
        <w:rPr>
          <w:rFonts w:hint="eastAsia" w:ascii="方正楷体_GBK" w:hAnsi="方正楷体_GBK" w:eastAsia="方正楷体_GBK" w:cs="方正楷体_GBK"/>
          <w:sz w:val="28"/>
          <w:szCs w:val="28"/>
          <w:shd w:val="clear" w:color="auto" w:fill="FFFFFF"/>
        </w:rPr>
        <w:t>竞选</w:t>
      </w:r>
      <w:r>
        <w:rPr>
          <w:rFonts w:ascii="方正楷体_GBK" w:hAnsi="方正楷体_GBK" w:eastAsia="方正楷体_GBK" w:cs="方正楷体_GBK"/>
          <w:sz w:val="28"/>
          <w:szCs w:val="28"/>
          <w:shd w:val="clear" w:color="auto" w:fill="FFFFFF"/>
        </w:rPr>
        <w:t>人恶意串通参与投标等。</w:t>
      </w:r>
    </w:p>
    <w:p w14:paraId="3330851C">
      <w:pPr>
        <w:pStyle w:val="11"/>
        <w:autoSpaceDE w:val="0"/>
        <w:adjustRightInd w:val="0"/>
        <w:snapToGrid w:val="0"/>
        <w:spacing w:line="600" w:lineRule="exact"/>
        <w:ind w:firstLine="640" w:firstLineChars="200"/>
        <w:rPr>
          <w:rFonts w:ascii="方正黑体_GBK" w:hAnsi="方正仿宋_GBK" w:eastAsia="方正黑体_GBK" w:cs="方正仿宋_GBK"/>
          <w:bCs/>
          <w:sz w:val="32"/>
          <w:szCs w:val="24"/>
        </w:rPr>
      </w:pPr>
      <w:r>
        <w:rPr>
          <w:rFonts w:ascii="方正黑体_GBK" w:hAnsi="方正黑体_GBK" w:eastAsia="方正黑体_GBK" w:cs="方正黑体_GBK"/>
          <w:sz w:val="32"/>
          <w:szCs w:val="32"/>
        </w:rPr>
        <w:t>四、报价要求</w:t>
      </w:r>
    </w:p>
    <w:p w14:paraId="64643C35">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比选申请人在报名时，将报价用信封单独密封盖章后装入资料审查文件包一并提交。竞争性比选现场启封后，以下浮比例最高的确定为拟中选承包商的中选下浮比例。具体为：本次招标分为4个包，比选申请人分别对4个包单独填报下浮比例（每个包的报价单独封装），在开标现场，经资格审查合格的所有比选申请人首先进入第1个包竞争，以本包报价下浮比例最高的竞选人中选（已中选的单位不再进入后续包竞争），然后剩下的比选申请人进入第2个包竞争，本包报价下浮比例最高的竞选人中选（已中选的单位不再进入后续包竞争），以此类推，直到第4个包按上述方式确定中选人。比选申请人必须分别对4个包进行报价（即参与4个包的竞选），若未对4个包进行报价，则视为无效投标。如果比选申请人的报价中，最高下浮比例出现相同的，则当众抽签确定拟中选承包商。本次4个包，包一、包三和包四中各有两个项目需要办理施工许可证，包二有一个项目需要办理施工许可证，因此比选申请人均需要提供两套人员，即总监理工程师2名、专业监理工程师不少于4名。</w:t>
      </w:r>
    </w:p>
    <w:p w14:paraId="02B99EA7">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2.低价风险担保</w:t>
      </w:r>
    </w:p>
    <w:p w14:paraId="670DCAB5">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（1）低价风险担保：若中选价低于最高限价的85%时，需提供低价风险担保金。</w:t>
      </w:r>
    </w:p>
    <w:p w14:paraId="73334445">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（2）中选人提供低价风险担保的形式、金额及期限：</w:t>
      </w:r>
    </w:p>
    <w:p w14:paraId="7757EE6E">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①</w:t>
      </w:r>
      <w:r>
        <w:rPr>
          <w:rFonts w:hint="eastAsia" w:ascii="方正楷体_GBK" w:hAnsi="方正楷体_GBK" w:eastAsia="方正楷体_GBK" w:cs="方正楷体_GBK"/>
          <w:sz w:val="28"/>
          <w:szCs w:val="28"/>
          <w:shd w:val="clear" w:color="auto" w:fill="FFFFFF"/>
        </w:rPr>
        <w:t>低价风险担保的形式：现金；</w:t>
      </w:r>
    </w:p>
    <w:p w14:paraId="2FEF23F0">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②</w:t>
      </w:r>
      <w:r>
        <w:rPr>
          <w:rFonts w:hint="eastAsia" w:ascii="方正楷体_GBK" w:hAnsi="方正楷体_GBK" w:eastAsia="方正楷体_GBK" w:cs="方正楷体_GBK"/>
          <w:sz w:val="28"/>
          <w:szCs w:val="28"/>
          <w:shd w:val="clear" w:color="auto" w:fill="FFFFFF"/>
        </w:rPr>
        <w:t>低价风险担保的金额：（最高限价×85%-中选价）×□1□2☑3）；</w:t>
      </w:r>
    </w:p>
    <w:p w14:paraId="0AEB5BD2">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③</w:t>
      </w:r>
      <w:r>
        <w:rPr>
          <w:rFonts w:hint="eastAsia" w:ascii="方正楷体_GBK" w:hAnsi="方正楷体_GBK" w:eastAsia="方正楷体_GBK" w:cs="方正楷体_GBK"/>
          <w:sz w:val="28"/>
          <w:szCs w:val="28"/>
          <w:shd w:val="clear" w:color="auto" w:fill="FFFFFF"/>
        </w:rPr>
        <w:t>低价风险担保的提交时间：中标候选人公示结束后5个工作日内，中选人按担保金额向比选人提交低价风险担保；如不按时足额提供，视为中选人放弃中选，比选人有权不退还其比选保证金。</w:t>
      </w:r>
    </w:p>
    <w:p w14:paraId="3B882BB9">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④中选人因自身原因未按中选通知书规定的时限与比选人签订合同的，比选人有权扣除其低价风险担保并取消中选资格。</w:t>
      </w:r>
    </w:p>
    <w:p w14:paraId="37E699B6">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⑤低价风险担保的期限：自提交低价风险担保之日起至竣工验收合格之日止。</w:t>
      </w:r>
    </w:p>
    <w:p w14:paraId="2CE90B52">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（3）低价风险担保的退还时间：工程竣工验收合格后退还。</w:t>
      </w:r>
    </w:p>
    <w:p w14:paraId="31A83D5D">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如果中选人未按时足额提交低价风险担保金或中选人因自身原因未按中选通知书规定的时限与比选人签订合同的，视为中选人恶意放弃中选机会。该中选人三年内不得参加九龙坡区教育系统小型基建维修工程项目的竞争性比选。</w:t>
      </w:r>
    </w:p>
    <w:p w14:paraId="74CEF0D9">
      <w:pPr>
        <w:pStyle w:val="30"/>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Theme="minorHAnsi" w:hAnsiTheme="minorHAnsi" w:eastAsiaTheme="minorEastAsia" w:cstheme="minorBidi"/>
          <w:b/>
          <w:bCs/>
          <w:sz w:val="32"/>
          <w:szCs w:val="32"/>
        </w:rPr>
        <w:t xml:space="preserve">    </w:t>
      </w:r>
      <w:r>
        <w:rPr>
          <w:rFonts w:hint="eastAsia" w:ascii="方正楷体_GBK" w:hAnsi="方正楷体_GBK" w:eastAsia="方正楷体_GBK" w:cs="方正楷体_GBK"/>
          <w:sz w:val="28"/>
          <w:szCs w:val="28"/>
          <w:shd w:val="clear" w:color="auto" w:fill="FFFFFF"/>
        </w:rPr>
        <w:t>（4）低价风险担保的收款信息</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收款单位：重庆市九龙坡区财政局</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lang w:eastAsia="zh-CN"/>
        </w:rPr>
        <w:t>账号</w:t>
      </w:r>
      <w:r>
        <w:rPr>
          <w:rFonts w:hint="eastAsia" w:ascii="方正楷体_GBK" w:hAnsi="方正楷体_GBK" w:eastAsia="方正楷体_GBK" w:cs="方正楷体_GBK"/>
          <w:sz w:val="28"/>
          <w:szCs w:val="28"/>
          <w:shd w:val="clear" w:color="auto" w:fill="FFFFFF"/>
        </w:rPr>
        <w:t>：50001034100050005078-00254</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开户银行：建行西郊支行</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务必在进帐单备注栏上填：050900206</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用途栏：填写项目名称及项目编号</w:t>
      </w:r>
    </w:p>
    <w:p w14:paraId="110AD250">
      <w:pPr>
        <w:pStyle w:val="30"/>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低价风险担保须从中选的单位账户转出</w:t>
      </w:r>
    </w:p>
    <w:p w14:paraId="76068E57">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五</w:t>
      </w:r>
      <w:r>
        <w:rPr>
          <w:rFonts w:hint="eastAsia" w:ascii="方正黑体_GBK" w:hAnsi="方正仿宋_GBK" w:eastAsia="方正黑体_GBK" w:cs="方正仿宋_GBK"/>
          <w:bCs/>
          <w:sz w:val="32"/>
          <w:szCs w:val="24"/>
        </w:rPr>
        <w:t>、资料递交</w:t>
      </w:r>
    </w:p>
    <w:p w14:paraId="29D6A66F">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（一）递交时间、地点</w:t>
      </w:r>
    </w:p>
    <w:p w14:paraId="7318A5D2">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1.递交资料时间：比选申请人持单位营业执照、资质证书副本、法定代表人证书或授权委托书（上述资料提供原件）于2021年7月9日</w:t>
      </w:r>
      <w:r>
        <w:rPr>
          <w:rFonts w:hint="eastAsia" w:ascii="方正楷体_GBK" w:hAnsi="方正楷体_GBK" w:eastAsia="方正楷体_GBK" w:cs="方正楷体_GBK"/>
          <w:sz w:val="28"/>
          <w:szCs w:val="28"/>
          <w:shd w:val="clear" w:color="auto" w:fill="FFFFFF"/>
          <w:lang w:eastAsia="zh-CN"/>
        </w:rPr>
        <w:t>14时</w:t>
      </w:r>
      <w:r>
        <w:rPr>
          <w:rFonts w:hint="eastAsia" w:ascii="方正楷体_GBK" w:hAnsi="方正楷体_GBK" w:eastAsia="方正楷体_GBK" w:cs="方正楷体_GBK"/>
          <w:sz w:val="28"/>
          <w:szCs w:val="28"/>
          <w:shd w:val="clear" w:color="auto" w:fill="FFFFFF"/>
        </w:rPr>
        <w:t>30分至14时50分在九龙坡区教育发展服务中心一楼报名。</w:t>
      </w:r>
    </w:p>
    <w:p w14:paraId="2B4F43EB">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2.递交地点：九龙坡区教育发展服务中心一楼会议室。</w:t>
      </w:r>
    </w:p>
    <w:p w14:paraId="520BB44E">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（二）递交资料</w:t>
      </w:r>
    </w:p>
    <w:p w14:paraId="5F96C431">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1．法定代表人证书或授权委托书</w:t>
      </w:r>
    </w:p>
    <w:p w14:paraId="240BBEDB">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2．报价表（报价表盖单位鲜章并单独密封，加盖密封章）</w:t>
      </w:r>
    </w:p>
    <w:p w14:paraId="1D7E6FAF">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3．营业执照、资质复印件（加盖鲜章）</w:t>
      </w:r>
    </w:p>
    <w:p w14:paraId="06B8BAB9">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4．拟派到本项目的</w:t>
      </w:r>
      <w:r>
        <w:rPr>
          <w:rFonts w:ascii="方正楷体_GBK" w:hAnsi="方正楷体_GBK" w:eastAsia="方正楷体_GBK" w:cs="方正楷体_GBK"/>
          <w:sz w:val="28"/>
          <w:szCs w:val="28"/>
          <w:shd w:val="clear" w:color="auto" w:fill="FFFFFF"/>
        </w:rPr>
        <w:t>授权委托人</w:t>
      </w:r>
      <w:r>
        <w:rPr>
          <w:rFonts w:hint="eastAsia" w:ascii="方正楷体_GBK" w:hAnsi="方正楷体_GBK" w:eastAsia="方正楷体_GBK" w:cs="方正楷体_GBK"/>
          <w:sz w:val="28"/>
          <w:szCs w:val="28"/>
          <w:shd w:val="clear" w:color="auto" w:fill="FFFFFF"/>
        </w:rPr>
        <w:t>、总监理工程师</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专业监理工程师</w:t>
      </w:r>
      <w:r>
        <w:rPr>
          <w:rFonts w:ascii="方正楷体_GBK" w:hAnsi="方正楷体_GBK" w:eastAsia="方正楷体_GBK" w:cs="方正楷体_GBK"/>
          <w:sz w:val="28"/>
          <w:szCs w:val="28"/>
          <w:shd w:val="clear" w:color="auto" w:fill="FFFFFF"/>
        </w:rPr>
        <w:t>的</w:t>
      </w:r>
      <w:r>
        <w:rPr>
          <w:rFonts w:hint="eastAsia" w:ascii="方正楷体_GBK" w:hAnsi="方正楷体_GBK" w:eastAsia="方正楷体_GBK" w:cs="方正楷体_GBK"/>
          <w:sz w:val="28"/>
          <w:szCs w:val="28"/>
          <w:shd w:val="clear" w:color="auto" w:fill="FFFFFF"/>
        </w:rPr>
        <w:t>2021年3月-5月</w:t>
      </w:r>
      <w:r>
        <w:rPr>
          <w:rFonts w:ascii="方正楷体_GBK" w:hAnsi="方正楷体_GBK" w:eastAsia="方正楷体_GBK" w:cs="方正楷体_GBK"/>
          <w:sz w:val="28"/>
          <w:szCs w:val="28"/>
          <w:shd w:val="clear" w:color="auto" w:fill="FFFFFF"/>
        </w:rPr>
        <w:t>本单位社保证明（</w:t>
      </w:r>
      <w:r>
        <w:rPr>
          <w:rFonts w:hint="eastAsia" w:ascii="方正楷体_GBK" w:hAnsi="方正楷体_GBK" w:eastAsia="方正楷体_GBK" w:cs="方正楷体_GBK"/>
          <w:sz w:val="28"/>
          <w:szCs w:val="28"/>
          <w:shd w:val="clear" w:color="auto" w:fill="FFFFFF"/>
        </w:rPr>
        <w:t>加盖单位鲜章</w:t>
      </w:r>
      <w:r>
        <w:rPr>
          <w:rFonts w:ascii="方正楷体_GBK" w:hAnsi="方正楷体_GBK" w:eastAsia="方正楷体_GBK" w:cs="方正楷体_GBK"/>
          <w:sz w:val="28"/>
          <w:szCs w:val="28"/>
          <w:shd w:val="clear" w:color="auto" w:fill="FFFFFF"/>
        </w:rPr>
        <w:t>）和联系方式</w:t>
      </w:r>
      <w:r>
        <w:rPr>
          <w:rFonts w:hint="eastAsia" w:ascii="方正楷体_GBK" w:hAnsi="方正楷体_GBK" w:eastAsia="方正楷体_GBK" w:cs="方正楷体_GBK"/>
          <w:sz w:val="28"/>
          <w:szCs w:val="28"/>
          <w:shd w:val="clear" w:color="auto" w:fill="FFFFFF"/>
        </w:rPr>
        <w:t>；总监理工程师必须按本文要求提供有效的全国注册监理工程师证书（注册专业为房屋建筑工程</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提供复印件加盖单位鲜章</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专业监理工程师</w:t>
      </w:r>
      <w:r>
        <w:rPr>
          <w:rFonts w:ascii="方正楷体_GBK" w:hAnsi="方正楷体_GBK" w:eastAsia="方正楷体_GBK" w:cs="方正楷体_GBK"/>
          <w:sz w:val="28"/>
          <w:szCs w:val="28"/>
          <w:shd w:val="clear" w:color="auto" w:fill="FFFFFF"/>
        </w:rPr>
        <w:t>提供</w:t>
      </w:r>
      <w:r>
        <w:rPr>
          <w:rFonts w:hint="eastAsia" w:ascii="方正楷体_GBK" w:hAnsi="方正楷体_GBK" w:eastAsia="方正楷体_GBK" w:cs="方正楷体_GBK"/>
          <w:sz w:val="28"/>
          <w:szCs w:val="28"/>
          <w:shd w:val="clear" w:color="auto" w:fill="FFFFFF"/>
        </w:rPr>
        <w:t>有效的全国注册监理工程师（注册专业为房屋建筑工程）或行政主管部门颁发的《监理工程师岗位证书》（提供复印件加盖单位鲜章）【须提供总监理工程师2名、专业监理工程师不少于4名】</w:t>
      </w:r>
    </w:p>
    <w:p w14:paraId="3A54A6C6">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5.重庆市外企业参与投标的需自行承诺根据符合重庆市建委《市外建筑施工企业入渝信息报送管理办法》的相关规定，已办理相关手续（格式自拟加盖单位鲜章）</w:t>
      </w:r>
    </w:p>
    <w:p w14:paraId="25AD54FA">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6.上述3、4项资料原件备查（若需查证原件时，比选申请人无法提供，则视为无效投标）。</w:t>
      </w:r>
    </w:p>
    <w:p w14:paraId="2A673AD8">
      <w:pPr>
        <w:pStyle w:val="20"/>
        <w:adjustRightInd w:val="0"/>
        <w:snapToGrid w:val="0"/>
        <w:spacing w:line="600" w:lineRule="exact"/>
        <w:ind w:firstLine="320" w:firstLineChars="10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六</w:t>
      </w:r>
      <w:r>
        <w:rPr>
          <w:rFonts w:hint="eastAsia" w:ascii="方正黑体_GBK" w:hAnsi="方正仿宋_GBK" w:eastAsia="方正黑体_GBK" w:cs="方正仿宋_GBK"/>
          <w:bCs/>
          <w:sz w:val="32"/>
          <w:szCs w:val="24"/>
        </w:rPr>
        <w:t>、承包商确定</w:t>
      </w:r>
    </w:p>
    <w:p w14:paraId="1237364B">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（一）确定中选承包商时间、地点</w:t>
      </w:r>
    </w:p>
    <w:p w14:paraId="5F74C668">
      <w:pPr>
        <w:pStyle w:val="20"/>
        <w:adjustRightInd w:val="0"/>
        <w:snapToGrid w:val="0"/>
        <w:spacing w:line="600" w:lineRule="exact"/>
        <w:ind w:left="283"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1.时间：2021年7月9日</w:t>
      </w:r>
    </w:p>
    <w:p w14:paraId="235B0FA8">
      <w:pPr>
        <w:pStyle w:val="20"/>
        <w:adjustRightInd w:val="0"/>
        <w:snapToGrid w:val="0"/>
        <w:spacing w:line="600" w:lineRule="exact"/>
        <w:ind w:left="283" w:firstLine="280" w:firstLineChars="100"/>
        <w:jc w:val="left"/>
        <w:rPr>
          <w:rFonts w:ascii="方正仿宋_GBK" w:hAnsi="宋体" w:eastAsia="方正仿宋_GBK"/>
          <w:bCs/>
          <w:sz w:val="32"/>
          <w:szCs w:val="24"/>
        </w:rPr>
      </w:pPr>
      <w:r>
        <w:rPr>
          <w:rFonts w:hint="eastAsia" w:ascii="方正楷体_GBK" w:hAnsi="方正楷体_GBK" w:eastAsia="方正楷体_GBK" w:cs="方正楷体_GBK"/>
          <w:sz w:val="28"/>
          <w:szCs w:val="28"/>
          <w:shd w:val="clear" w:color="auto" w:fill="FFFFFF"/>
        </w:rPr>
        <w:t>2.地点：九龙坡区教育发展服务中心一楼会议室。</w:t>
      </w:r>
    </w:p>
    <w:p w14:paraId="2BC32C92">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（二）确定中选承包商的方法</w:t>
      </w:r>
    </w:p>
    <w:p w14:paraId="61A0833B">
      <w:pPr>
        <w:adjustRightInd w:val="0"/>
        <w:snapToGrid w:val="0"/>
        <w:spacing w:line="600" w:lineRule="exact"/>
        <w:ind w:left="63" w:leftChars="30"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1、报名时由相关工作人员对所有报名单位进行资格审查，符合本比选公告的单位及人员资质要求并提供本公告第三、五条相应资料的单位纳入本次竞争性比选范围。</w:t>
      </w:r>
    </w:p>
    <w:p w14:paraId="08AA6246">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2、竞争性比选报价表现场启封，以每包中下浮比例最高的确定为拟中选承包商。</w:t>
      </w:r>
    </w:p>
    <w:p w14:paraId="3FC4C973">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highlight w:val="yellow"/>
          <w:shd w:val="clear" w:color="auto" w:fill="FFFFFF"/>
        </w:rPr>
        <w:t>3、本次竞争性比选的报名单位或资格审查合格单位不得少于六家，若不足六家，则该项目重新组织比选。</w:t>
      </w:r>
    </w:p>
    <w:p w14:paraId="2E7D21BC">
      <w:pPr>
        <w:adjustRightInd w:val="0"/>
        <w:snapToGrid w:val="0"/>
        <w:spacing w:line="600" w:lineRule="exact"/>
        <w:ind w:firstLine="632" w:firstLineChars="300"/>
        <w:jc w:val="left"/>
        <w:rPr>
          <w:rFonts w:ascii="方正楷体_GBK" w:hAnsi="方正楷体_GBK" w:eastAsia="方正楷体_GBK" w:cs="方正楷体_GBK"/>
          <w:b/>
          <w:sz w:val="28"/>
          <w:szCs w:val="28"/>
          <w:shd w:val="clear" w:color="auto" w:fill="FFFFFF"/>
        </w:rPr>
      </w:pPr>
      <w:r>
        <w:rPr>
          <w:rFonts w:hint="eastAsia"/>
          <w:b/>
        </w:rPr>
        <w:t xml:space="preserve">  </w:t>
      </w:r>
      <w:r>
        <w:rPr>
          <w:rFonts w:hint="eastAsia" w:ascii="方正楷体_GBK" w:hAnsi="方正楷体_GBK" w:eastAsia="方正楷体_GBK" w:cs="方正楷体_GBK"/>
          <w:b/>
          <w:sz w:val="28"/>
          <w:szCs w:val="28"/>
          <w:shd w:val="clear" w:color="auto" w:fill="FFFFFF"/>
        </w:rPr>
        <w:t>4、参与竞争性比选的单位必须为重庆市网上中介服务超市注册单位，若未入驻重庆市网上中介服务超市，一经发现，取消中选资格。</w:t>
      </w:r>
    </w:p>
    <w:p w14:paraId="47F855B9">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5、若中选人放弃中选，本包项目将重新招标。</w:t>
      </w:r>
    </w:p>
    <w:p w14:paraId="50E75E92">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七</w:t>
      </w:r>
      <w:r>
        <w:rPr>
          <w:rFonts w:hint="eastAsia" w:ascii="方正黑体_GBK" w:hAnsi="方正仿宋_GBK" w:eastAsia="方正黑体_GBK" w:cs="方正仿宋_GBK"/>
          <w:bCs/>
          <w:sz w:val="32"/>
          <w:szCs w:val="24"/>
        </w:rPr>
        <w:t>、签订合同</w:t>
      </w:r>
    </w:p>
    <w:p w14:paraId="00137DCC">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 以每所学校的最高限价乘以（1-中选报价下浮比例）的金额作为包干合同价。</w:t>
      </w:r>
    </w:p>
    <w:p w14:paraId="1726D23E">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2.每个学校按附件模板分别签订合同，一式四份。</w:t>
      </w:r>
    </w:p>
    <w:p w14:paraId="3CB702BB">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八、</w:t>
      </w:r>
      <w:r>
        <w:rPr>
          <w:rFonts w:hint="eastAsia" w:ascii="方正黑体_GBK" w:hAnsi="方正仿宋_GBK" w:eastAsia="方正黑体_GBK" w:cs="方正仿宋_GBK"/>
          <w:bCs/>
          <w:sz w:val="32"/>
          <w:szCs w:val="24"/>
        </w:rPr>
        <w:t>相关</w:t>
      </w:r>
      <w:r>
        <w:rPr>
          <w:rFonts w:ascii="方正黑体_GBK" w:hAnsi="方正仿宋_GBK" w:eastAsia="方正黑体_GBK" w:cs="方正仿宋_GBK"/>
          <w:bCs/>
          <w:sz w:val="32"/>
          <w:szCs w:val="24"/>
        </w:rPr>
        <w:t>要求</w:t>
      </w:r>
    </w:p>
    <w:p w14:paraId="4A18E6E6">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1.各潜在比选申请人在递交第</w:t>
      </w:r>
      <w:r>
        <w:rPr>
          <w:rFonts w:ascii="方正楷体_GBK" w:hAnsi="方正楷体_GBK" w:eastAsia="方正楷体_GBK" w:cs="方正楷体_GBK"/>
          <w:sz w:val="28"/>
          <w:szCs w:val="28"/>
          <w:shd w:val="clear" w:color="auto" w:fill="FFFFFF"/>
        </w:rPr>
        <w:t>五</w:t>
      </w:r>
      <w:r>
        <w:rPr>
          <w:rFonts w:hint="eastAsia" w:ascii="方正楷体_GBK" w:hAnsi="方正楷体_GBK" w:eastAsia="方正楷体_GBK" w:cs="方正楷体_GBK"/>
          <w:sz w:val="28"/>
          <w:szCs w:val="28"/>
          <w:shd w:val="clear" w:color="auto" w:fill="FFFFFF"/>
        </w:rPr>
        <w:t>条（二）的所有资料后，视为认可本邀请函的所有内容。</w:t>
      </w:r>
    </w:p>
    <w:p w14:paraId="2AE78AA6">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 各潜在比选申请人按第八条的时间和地点，准时到场并签到，报名时间开始后，授权委托人须携带所有竞争性比选需要的相关资料文件进入开标室签到，</w:t>
      </w:r>
      <w:r>
        <w:rPr>
          <w:rFonts w:hint="eastAsia" w:ascii="方正楷体_GBK" w:hAnsi="方正楷体_GBK" w:eastAsia="方正楷体_GBK" w:cs="方正楷体_GBK"/>
          <w:b/>
          <w:bCs/>
          <w:sz w:val="28"/>
          <w:szCs w:val="28"/>
          <w:shd w:val="clear" w:color="auto" w:fill="FFFFFF"/>
        </w:rPr>
        <w:t>为维持现场秩序，维护竞争性比选过程的公平性，一旦进入开标室，不得再随意出入；若确需出入开标室，需征得开标现场工作人员同意，同时不管签到与否，均不得再携带资料出入开标室，否则视为放弃本次竞选</w:t>
      </w:r>
      <w:r>
        <w:rPr>
          <w:rFonts w:hint="eastAsia" w:ascii="方正楷体_GBK" w:hAnsi="方正楷体_GBK" w:eastAsia="方正楷体_GBK" w:cs="方正楷体_GBK"/>
          <w:sz w:val="28"/>
          <w:szCs w:val="28"/>
          <w:shd w:val="clear" w:color="auto" w:fill="FFFFFF"/>
        </w:rPr>
        <w:t>。</w:t>
      </w:r>
    </w:p>
    <w:p w14:paraId="244FEB31">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3.各潜在比选申请人超过递交资料截止时间递交资料的，视为放弃本次邀请，我委将拒绝接收相关资料。</w:t>
      </w:r>
    </w:p>
    <w:p w14:paraId="15DB8E90">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4.我委若以补遗书方式延长接受比选申请文件的截止日期，则以延长后新的比选截止日期为准；我委无义务向未中选的比选申请人解释未中选原因。</w:t>
      </w:r>
    </w:p>
    <w:p w14:paraId="5194792F">
      <w:pPr>
        <w:pStyle w:val="29"/>
        <w:snapToGrid w:val="0"/>
        <w:spacing w:beforeLines="25" w:afterLines="25" w:line="360" w:lineRule="auto"/>
        <w:ind w:firstLine="420" w:firstLineChars="150"/>
        <w:jc w:val="both"/>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5.工期要求：监理服务期以项目进场开工时间起至项目竣工验收合格且监理资料交接完成且缺陷责任期满为监理服务期的完成时间。</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 xml:space="preserve">    6.本公告要求的所有竞选资料复印件加盖章单位鲜章后装入文件大袋可不密封（其中报价函单独封装加盖单位鲜章装入文件大袋中），要求的原件随身携带备查。</w:t>
      </w:r>
    </w:p>
    <w:p w14:paraId="18786B3C">
      <w:pPr>
        <w:pStyle w:val="29"/>
        <w:snapToGrid w:val="0"/>
        <w:spacing w:beforeLines="25" w:afterLines="25" w:line="360" w:lineRule="auto"/>
        <w:ind w:firstLine="562" w:firstLineChars="200"/>
        <w:jc w:val="both"/>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b/>
          <w:bCs/>
          <w:sz w:val="28"/>
          <w:szCs w:val="28"/>
          <w:shd w:val="clear" w:color="auto" w:fill="FFFFFF"/>
        </w:rPr>
        <w:t>7.本次竞选项目中需要办理施工许可证的，监理单位的人员配备必须满足本文件要求及行政主管部门押证、报建要求,本合同工程完工并验收合格后，监理方可提出解除押证申请。</w:t>
      </w:r>
    </w:p>
    <w:p w14:paraId="03973108">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九、联系方式</w:t>
      </w:r>
    </w:p>
    <w:p w14:paraId="5490AC2E">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维联系人：熊</w:t>
      </w:r>
      <w:r>
        <w:rPr>
          <w:rFonts w:ascii="方正楷体_GBK" w:hAnsi="方正楷体_GBK" w:eastAsia="方正楷体_GBK" w:cs="方正楷体_GBK"/>
          <w:sz w:val="28"/>
          <w:szCs w:val="28"/>
          <w:shd w:val="clear" w:color="auto" w:fill="FFFFFF"/>
        </w:rPr>
        <w:t>老师</w:t>
      </w:r>
      <w:r>
        <w:rPr>
          <w:rFonts w:hint="eastAsia" w:ascii="方正楷体_GBK" w:hAnsi="方正楷体_GBK" w:eastAsia="方正楷体_GBK" w:cs="方正楷体_GBK"/>
          <w:sz w:val="28"/>
          <w:szCs w:val="28"/>
          <w:shd w:val="clear" w:color="auto" w:fill="FFFFFF"/>
        </w:rPr>
        <w:t xml:space="preserve">  赵老师    联系电话：68781121，68501640</w:t>
      </w:r>
    </w:p>
    <w:p w14:paraId="7A26A6A3"/>
    <w:p w14:paraId="6F5405F6">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p>
    <w:p w14:paraId="66DC8790">
      <w:pPr>
        <w:adjustRightInd w:val="0"/>
        <w:snapToGrid w:val="0"/>
        <w:spacing w:line="600" w:lineRule="exact"/>
        <w:ind w:firstLine="6440" w:firstLineChars="2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2021年6月30日</w:t>
      </w:r>
    </w:p>
    <w:p w14:paraId="72A93B12">
      <w:pPr>
        <w:adjustRightInd w:val="0"/>
        <w:snapToGrid w:val="0"/>
        <w:spacing w:line="600" w:lineRule="exact"/>
        <w:jc w:val="left"/>
        <w:rPr>
          <w:rFonts w:ascii="方正仿宋_GBK" w:eastAsia="方正仿宋_GBK"/>
          <w:sz w:val="32"/>
          <w:szCs w:val="32"/>
        </w:rPr>
      </w:pPr>
    </w:p>
    <w:p w14:paraId="54EF2046">
      <w:pPr>
        <w:adjustRightInd w:val="0"/>
        <w:snapToGrid w:val="0"/>
        <w:spacing w:line="600" w:lineRule="exact"/>
        <w:jc w:val="left"/>
        <w:rPr>
          <w:rFonts w:ascii="方正仿宋_GBK" w:eastAsia="方正仿宋_GBK"/>
          <w:sz w:val="32"/>
          <w:szCs w:val="32"/>
        </w:rPr>
      </w:pPr>
    </w:p>
    <w:p w14:paraId="0B9ED27B">
      <w:pPr>
        <w:adjustRightInd w:val="0"/>
        <w:snapToGrid w:val="0"/>
        <w:spacing w:line="600" w:lineRule="exact"/>
        <w:jc w:val="left"/>
        <w:rPr>
          <w:rFonts w:ascii="方正仿宋_GBK" w:eastAsia="方正仿宋_GBK"/>
          <w:sz w:val="32"/>
          <w:szCs w:val="32"/>
        </w:rPr>
      </w:pPr>
    </w:p>
    <w:p w14:paraId="38B1CCCC">
      <w:pPr>
        <w:adjustRightInd w:val="0"/>
        <w:snapToGrid w:val="0"/>
        <w:spacing w:line="600" w:lineRule="exact"/>
        <w:jc w:val="left"/>
        <w:rPr>
          <w:rFonts w:ascii="方正仿宋_GBK" w:eastAsia="方正仿宋_GBK"/>
          <w:sz w:val="32"/>
          <w:szCs w:val="32"/>
        </w:rPr>
      </w:pPr>
    </w:p>
    <w:p w14:paraId="2289E50F">
      <w:pPr>
        <w:adjustRightInd w:val="0"/>
        <w:snapToGrid w:val="0"/>
        <w:spacing w:line="600" w:lineRule="exact"/>
        <w:jc w:val="left"/>
        <w:rPr>
          <w:rFonts w:ascii="方正仿宋_GBK" w:eastAsia="方正仿宋_GBK"/>
          <w:sz w:val="32"/>
          <w:szCs w:val="32"/>
        </w:rPr>
      </w:pPr>
    </w:p>
    <w:p w14:paraId="59FF0F26">
      <w:pPr>
        <w:adjustRightInd w:val="0"/>
        <w:snapToGrid w:val="0"/>
        <w:spacing w:line="600" w:lineRule="exact"/>
        <w:jc w:val="left"/>
        <w:rPr>
          <w:rFonts w:ascii="方正仿宋_GBK" w:eastAsia="方正仿宋_GBK"/>
          <w:sz w:val="32"/>
          <w:szCs w:val="32"/>
        </w:rPr>
      </w:pPr>
    </w:p>
    <w:p w14:paraId="727CA1E7">
      <w:pPr>
        <w:adjustRightInd w:val="0"/>
        <w:snapToGrid w:val="0"/>
        <w:spacing w:line="600" w:lineRule="exact"/>
        <w:jc w:val="left"/>
        <w:rPr>
          <w:rFonts w:ascii="方正仿宋_GBK" w:eastAsia="方正仿宋_GBK"/>
          <w:sz w:val="32"/>
          <w:szCs w:val="32"/>
        </w:rPr>
      </w:pPr>
    </w:p>
    <w:p w14:paraId="37B8A224">
      <w:pPr>
        <w:adjustRightInd w:val="0"/>
        <w:snapToGrid w:val="0"/>
        <w:spacing w:line="600" w:lineRule="exact"/>
        <w:jc w:val="left"/>
        <w:rPr>
          <w:rFonts w:ascii="方正仿宋_GBK" w:eastAsia="方正仿宋_GBK"/>
          <w:sz w:val="32"/>
          <w:szCs w:val="32"/>
        </w:rPr>
      </w:pPr>
    </w:p>
    <w:p w14:paraId="06519FC3">
      <w:pPr>
        <w:adjustRightInd w:val="0"/>
        <w:snapToGrid w:val="0"/>
        <w:spacing w:line="600" w:lineRule="exact"/>
        <w:jc w:val="left"/>
        <w:rPr>
          <w:rFonts w:ascii="方正仿宋_GBK" w:eastAsia="方正仿宋_GBK"/>
          <w:sz w:val="32"/>
          <w:szCs w:val="32"/>
        </w:rPr>
      </w:pPr>
    </w:p>
    <w:p w14:paraId="0610B213">
      <w:pPr>
        <w:adjustRightInd w:val="0"/>
        <w:snapToGrid w:val="0"/>
        <w:spacing w:line="600" w:lineRule="exact"/>
        <w:jc w:val="left"/>
        <w:rPr>
          <w:rFonts w:ascii="方正仿宋_GBK" w:eastAsia="方正仿宋_GBK"/>
          <w:sz w:val="32"/>
          <w:szCs w:val="32"/>
        </w:rPr>
      </w:pPr>
      <w:r>
        <w:rPr>
          <w:rFonts w:hint="eastAsia" w:ascii="方正仿宋_GBK" w:eastAsia="方正仿宋_GBK"/>
          <w:sz w:val="32"/>
          <w:szCs w:val="32"/>
        </w:rPr>
        <w:t>附件一</w:t>
      </w:r>
    </w:p>
    <w:p w14:paraId="0B5C2A4E">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重庆市九龙坡区教育系统2021年集中实施的部分基建维修工程的监理（限下项目，二十六所学校）</w:t>
      </w:r>
    </w:p>
    <w:p w14:paraId="0B7493BF">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报价表</w:t>
      </w:r>
    </w:p>
    <w:tbl>
      <w:tblPr>
        <w:tblStyle w:val="13"/>
        <w:tblpPr w:leftFromText="180" w:rightFromText="180" w:vertAnchor="text" w:horzAnchor="margin" w:tblpY="51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2235"/>
        <w:gridCol w:w="1984"/>
        <w:gridCol w:w="2160"/>
      </w:tblGrid>
      <w:tr w14:paraId="4F5D6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9" w:hRule="atLeast"/>
        </w:trPr>
        <w:tc>
          <w:tcPr>
            <w:tcW w:w="2943" w:type="dxa"/>
            <w:gridSpan w:val="2"/>
          </w:tcPr>
          <w:p w14:paraId="35EBC0AF">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报价人全称</w:t>
            </w:r>
          </w:p>
        </w:tc>
        <w:tc>
          <w:tcPr>
            <w:tcW w:w="6379" w:type="dxa"/>
            <w:gridSpan w:val="3"/>
            <w:vAlign w:val="center"/>
          </w:tcPr>
          <w:p w14:paraId="66328C02">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r>
      <w:tr w14:paraId="73CA1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trPr>
        <w:tc>
          <w:tcPr>
            <w:tcW w:w="2943" w:type="dxa"/>
            <w:gridSpan w:val="2"/>
          </w:tcPr>
          <w:p w14:paraId="00C7AF83">
            <w:pPr>
              <w:adjustRightInd w:val="0"/>
              <w:snapToGrid w:val="0"/>
              <w:spacing w:line="600" w:lineRule="exact"/>
              <w:jc w:val="center"/>
              <w:rPr>
                <w:rFonts w:ascii="方正楷体_GBK" w:hAnsi="方正楷体_GBK" w:eastAsia="方正楷体_GBK" w:cs="方正楷体_GBK"/>
                <w:sz w:val="28"/>
                <w:szCs w:val="28"/>
                <w:shd w:val="clear" w:color="auto" w:fill="FFFFFF"/>
              </w:rPr>
            </w:pPr>
          </w:p>
          <w:p w14:paraId="240D72CD">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包号</w:t>
            </w:r>
          </w:p>
          <w:p w14:paraId="6714FA6A">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235" w:type="dxa"/>
            <w:vAlign w:val="center"/>
          </w:tcPr>
          <w:p w14:paraId="7CADD7A0">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仿宋_GBK" w:hAnsi="方正仿宋_GBK" w:eastAsia="方正仿宋_GBK"/>
                <w:snapToGrid w:val="0"/>
                <w:color w:val="000000"/>
                <w:kern w:val="0"/>
                <w:sz w:val="28"/>
                <w:szCs w:val="28"/>
              </w:rPr>
              <w:t>下</w:t>
            </w:r>
            <w:r>
              <w:rPr>
                <w:rFonts w:ascii="方正仿宋_GBK" w:hAnsi="方正仿宋_GBK" w:eastAsia="方正仿宋_GBK"/>
                <w:snapToGrid w:val="0"/>
                <w:color w:val="000000"/>
                <w:kern w:val="0"/>
                <w:sz w:val="28"/>
                <w:szCs w:val="28"/>
              </w:rPr>
              <w:t>浮比例（%）</w:t>
            </w:r>
          </w:p>
        </w:tc>
        <w:tc>
          <w:tcPr>
            <w:tcW w:w="1984" w:type="dxa"/>
            <w:vAlign w:val="center"/>
          </w:tcPr>
          <w:p w14:paraId="1A15BDC4">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是否响应本次竞争性比选公告的工期要求</w:t>
            </w:r>
          </w:p>
        </w:tc>
        <w:tc>
          <w:tcPr>
            <w:tcW w:w="2160" w:type="dxa"/>
            <w:vAlign w:val="center"/>
          </w:tcPr>
          <w:p w14:paraId="356A9FC2">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备注</w:t>
            </w:r>
          </w:p>
        </w:tc>
      </w:tr>
      <w:tr w14:paraId="085C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2943" w:type="dxa"/>
            <w:gridSpan w:val="2"/>
          </w:tcPr>
          <w:p w14:paraId="6C5E09E9">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235" w:type="dxa"/>
            <w:vAlign w:val="center"/>
          </w:tcPr>
          <w:p w14:paraId="6200F9A9">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1984" w:type="dxa"/>
            <w:vAlign w:val="center"/>
          </w:tcPr>
          <w:p w14:paraId="66B0A288">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160" w:type="dxa"/>
            <w:vAlign w:val="center"/>
          </w:tcPr>
          <w:p w14:paraId="368929A0">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r>
      <w:tr w14:paraId="66ECA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 w:hRule="atLeast"/>
        </w:trPr>
        <w:tc>
          <w:tcPr>
            <w:tcW w:w="1101" w:type="dxa"/>
            <w:tcBorders>
              <w:left w:val="nil"/>
              <w:bottom w:val="nil"/>
              <w:right w:val="nil"/>
            </w:tcBorders>
          </w:tcPr>
          <w:p w14:paraId="38E49E45">
            <w:pPr>
              <w:jc w:val="left"/>
              <w:rPr>
                <w:rFonts w:ascii="方正楷体_GBK" w:hAnsi="方正楷体_GBK" w:eastAsia="方正楷体_GBK" w:cs="方正楷体_GBK"/>
                <w:sz w:val="28"/>
                <w:szCs w:val="28"/>
                <w:shd w:val="clear" w:color="auto" w:fill="FFFFFF"/>
              </w:rPr>
            </w:pPr>
          </w:p>
        </w:tc>
        <w:tc>
          <w:tcPr>
            <w:tcW w:w="8221" w:type="dxa"/>
            <w:gridSpan w:val="4"/>
            <w:tcBorders>
              <w:left w:val="nil"/>
              <w:bottom w:val="nil"/>
              <w:right w:val="nil"/>
            </w:tcBorders>
            <w:vAlign w:val="center"/>
          </w:tcPr>
          <w:p w14:paraId="5A46374F">
            <w:pPr>
              <w:jc w:val="left"/>
              <w:rPr>
                <w:rFonts w:ascii="方正楷体_GBK" w:hAnsi="方正楷体_GBK" w:eastAsia="方正楷体_GBK" w:cs="方正楷体_GBK"/>
                <w:sz w:val="28"/>
                <w:szCs w:val="28"/>
                <w:shd w:val="clear" w:color="auto" w:fill="FFFFFF"/>
              </w:rPr>
            </w:pPr>
          </w:p>
          <w:p w14:paraId="78BE1647">
            <w:pPr>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报价人：（投标人公章） </w:t>
            </w:r>
          </w:p>
          <w:p w14:paraId="6972DF7B">
            <w:pPr>
              <w:jc w:val="left"/>
              <w:rPr>
                <w:rFonts w:ascii="方正楷体_GBK" w:hAnsi="方正楷体_GBK" w:eastAsia="方正楷体_GBK" w:cs="方正楷体_GBK"/>
                <w:sz w:val="28"/>
                <w:szCs w:val="28"/>
                <w:shd w:val="clear" w:color="auto" w:fill="FFFFFF"/>
              </w:rPr>
            </w:pPr>
          </w:p>
          <w:p w14:paraId="6A7E6BBD">
            <w:pPr>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法人授权代表： （签字或盖章）          </w:t>
            </w:r>
          </w:p>
          <w:p w14:paraId="72CB589D">
            <w:pPr>
              <w:ind w:left="5600" w:hanging="5600" w:hangingChars="20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年     月     日</w:t>
            </w:r>
          </w:p>
          <w:p w14:paraId="4578CA0A">
            <w:pPr>
              <w:rPr>
                <w:rFonts w:ascii="方正楷体_GBK" w:hAnsi="方正楷体_GBK" w:eastAsia="方正楷体_GBK" w:cs="方正楷体_GBK"/>
                <w:sz w:val="28"/>
                <w:szCs w:val="28"/>
                <w:shd w:val="clear" w:color="auto" w:fill="FFFFFF"/>
              </w:rPr>
            </w:pPr>
          </w:p>
          <w:p w14:paraId="315D1F5F">
            <w:pP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说明：</w:t>
            </w:r>
          </w:p>
          <w:p w14:paraId="40D049DF">
            <w:pPr>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1.报价表在大会上当众宣读，务必填写清楚，准确无误。</w:t>
            </w:r>
          </w:p>
        </w:tc>
      </w:tr>
    </w:tbl>
    <w:p w14:paraId="19BDFAAA">
      <w:pPr>
        <w:pStyle w:val="30"/>
        <w:adjustRightInd w:val="0"/>
        <w:snapToGrid w:val="0"/>
        <w:spacing w:line="600" w:lineRule="exact"/>
        <w:ind w:right="2380" w:firstLine="0" w:firstLineChars="0"/>
        <w:rPr>
          <w:rFonts w:ascii="方正楷体_GBK" w:hAnsi="方正楷体_GBK" w:eastAsia="方正楷体_GBK" w:cs="方正楷体_GBK"/>
          <w:sz w:val="28"/>
          <w:szCs w:val="28"/>
          <w:shd w:val="clear" w:color="auto" w:fill="FFFFFF"/>
        </w:rPr>
      </w:pPr>
    </w:p>
    <w:p w14:paraId="136272B4">
      <w:pPr>
        <w:adjustRightInd w:val="0"/>
        <w:snapToGrid w:val="0"/>
        <w:spacing w:line="600" w:lineRule="exact"/>
        <w:rPr>
          <w:rFonts w:ascii="方正仿宋_GBK" w:hAnsi="宋体" w:eastAsia="方正仿宋_GBK"/>
          <w:color w:val="000000"/>
          <w:sz w:val="32"/>
          <w:szCs w:val="32"/>
        </w:rPr>
      </w:pPr>
    </w:p>
    <w:p w14:paraId="20CFA922">
      <w:pPr>
        <w:adjustRightInd w:val="0"/>
        <w:snapToGrid w:val="0"/>
        <w:spacing w:line="600" w:lineRule="exact"/>
        <w:rPr>
          <w:rFonts w:ascii="方正仿宋_GBK" w:hAnsi="宋体" w:eastAsia="方正仿宋_GBK"/>
          <w:color w:val="000000"/>
          <w:sz w:val="32"/>
          <w:szCs w:val="32"/>
        </w:rPr>
      </w:pPr>
      <w:r>
        <w:rPr>
          <w:rFonts w:hint="eastAsia" w:ascii="方正仿宋_GBK" w:hAnsi="宋体" w:eastAsia="方正仿宋_GBK"/>
          <w:color w:val="000000"/>
          <w:sz w:val="32"/>
          <w:szCs w:val="32"/>
        </w:rPr>
        <w:t>附件二</w:t>
      </w:r>
    </w:p>
    <w:p w14:paraId="247A0EB8">
      <w:pPr>
        <w:adjustRightInd w:val="0"/>
        <w:snapToGrid w:val="0"/>
        <w:spacing w:line="600" w:lineRule="exact"/>
        <w:jc w:val="center"/>
        <w:rPr>
          <w:rFonts w:ascii="方正小标宋_GBK" w:hAnsi="宋体" w:eastAsia="方正小标宋_GBK"/>
          <w:sz w:val="36"/>
          <w:szCs w:val="36"/>
        </w:rPr>
      </w:pPr>
      <w:r>
        <w:rPr>
          <w:rFonts w:hint="eastAsia" w:ascii="方正小标宋_GBK" w:hAnsi="宋体" w:eastAsia="方正小标宋_GBK"/>
          <w:sz w:val="36"/>
          <w:szCs w:val="36"/>
        </w:rPr>
        <w:t>小型基建维修工程施工合同（范本）</w:t>
      </w:r>
    </w:p>
    <w:p w14:paraId="5F810910">
      <w:pPr>
        <w:spacing w:line="360" w:lineRule="auto"/>
        <w:jc w:val="center"/>
        <w:rPr>
          <w:rFonts w:ascii="宋体" w:hAnsi="宋体" w:cs="宋体"/>
          <w:b/>
          <w:bCs/>
          <w:kern w:val="0"/>
          <w:sz w:val="36"/>
          <w:szCs w:val="36"/>
        </w:rPr>
      </w:pPr>
      <w:r>
        <w:rPr>
          <w:rFonts w:hint="eastAsia" w:ascii="宋体" w:hAnsi="宋体" w:cs="宋体"/>
          <w:b/>
          <w:bCs/>
          <w:kern w:val="0"/>
          <w:sz w:val="36"/>
          <w:szCs w:val="36"/>
        </w:rPr>
        <w:t>建设工程监理合同</w:t>
      </w:r>
    </w:p>
    <w:p w14:paraId="079B66DD">
      <w:pPr>
        <w:spacing w:line="360" w:lineRule="auto"/>
        <w:jc w:val="center"/>
        <w:rPr>
          <w:rFonts w:ascii="宋体" w:hAnsi="宋体" w:cs="宋体"/>
          <w:b/>
          <w:bCs/>
          <w:kern w:val="0"/>
          <w:sz w:val="36"/>
          <w:szCs w:val="36"/>
        </w:rPr>
      </w:pPr>
    </w:p>
    <w:p w14:paraId="713EB577">
      <w:pPr>
        <w:spacing w:line="360" w:lineRule="auto"/>
        <w:jc w:val="center"/>
        <w:rPr>
          <w:rFonts w:ascii="宋体" w:hAnsi="宋体" w:cs="宋体"/>
          <w:bCs/>
          <w:kern w:val="0"/>
          <w:sz w:val="36"/>
          <w:szCs w:val="36"/>
        </w:rPr>
      </w:pPr>
    </w:p>
    <w:p w14:paraId="7BD18AC0">
      <w:pPr>
        <w:spacing w:line="360" w:lineRule="auto"/>
        <w:jc w:val="center"/>
        <w:rPr>
          <w:rFonts w:ascii="宋体" w:hAnsi="宋体" w:cs="宋体"/>
          <w:b/>
          <w:bCs/>
          <w:kern w:val="0"/>
          <w:sz w:val="36"/>
          <w:szCs w:val="36"/>
        </w:rPr>
      </w:pPr>
    </w:p>
    <w:p w14:paraId="3E94B68C">
      <w:pPr>
        <w:spacing w:line="360" w:lineRule="auto"/>
        <w:jc w:val="center"/>
        <w:rPr>
          <w:rFonts w:ascii="宋体" w:hAnsi="宋体" w:cs="宋体"/>
          <w:b/>
          <w:bCs/>
          <w:kern w:val="0"/>
          <w:sz w:val="36"/>
          <w:szCs w:val="36"/>
        </w:rPr>
      </w:pPr>
    </w:p>
    <w:p w14:paraId="497BECD9">
      <w:pPr>
        <w:spacing w:line="360" w:lineRule="auto"/>
        <w:jc w:val="center"/>
        <w:rPr>
          <w:rFonts w:ascii="宋体" w:hAnsi="宋体" w:cs="宋体"/>
          <w:b/>
          <w:bCs/>
          <w:kern w:val="0"/>
          <w:sz w:val="36"/>
          <w:szCs w:val="36"/>
        </w:rPr>
      </w:pPr>
    </w:p>
    <w:p w14:paraId="2687ED4A">
      <w:pPr>
        <w:spacing w:line="360" w:lineRule="auto"/>
        <w:jc w:val="center"/>
        <w:rPr>
          <w:rFonts w:ascii="宋体" w:hAnsi="宋体" w:cs="宋体"/>
          <w:b/>
          <w:bCs/>
          <w:kern w:val="0"/>
          <w:sz w:val="36"/>
          <w:szCs w:val="36"/>
        </w:rPr>
      </w:pPr>
    </w:p>
    <w:p w14:paraId="36E5877D">
      <w:pPr>
        <w:spacing w:line="360" w:lineRule="auto"/>
        <w:rPr>
          <w:rFonts w:ascii="宋体" w:hAnsi="宋体" w:cs="宋体"/>
          <w:b/>
          <w:bCs/>
          <w:kern w:val="0"/>
          <w:sz w:val="36"/>
          <w:szCs w:val="36"/>
        </w:rPr>
      </w:pPr>
    </w:p>
    <w:p w14:paraId="53C7F25B">
      <w:pPr>
        <w:spacing w:line="360" w:lineRule="auto"/>
        <w:jc w:val="center"/>
        <w:rPr>
          <w:rFonts w:ascii="宋体" w:hAnsi="宋体" w:cs="宋体"/>
          <w:b/>
          <w:bCs/>
          <w:kern w:val="0"/>
          <w:sz w:val="36"/>
          <w:szCs w:val="36"/>
        </w:rPr>
      </w:pPr>
    </w:p>
    <w:p w14:paraId="4A7E8251">
      <w:pPr>
        <w:spacing w:line="360" w:lineRule="auto"/>
        <w:rPr>
          <w:rFonts w:ascii="宋体" w:hAnsi="宋体" w:cs="宋体"/>
          <w:b/>
          <w:bCs/>
          <w:kern w:val="0"/>
          <w:sz w:val="36"/>
          <w:szCs w:val="36"/>
        </w:rPr>
      </w:pPr>
    </w:p>
    <w:p w14:paraId="11A38E9D">
      <w:pPr>
        <w:spacing w:line="360" w:lineRule="auto"/>
        <w:ind w:left="2490" w:hanging="2490" w:hangingChars="689"/>
        <w:rPr>
          <w:rFonts w:ascii="宋体" w:hAnsi="宋体"/>
          <w:b/>
          <w:kern w:val="0"/>
          <w:sz w:val="36"/>
          <w:szCs w:val="36"/>
          <w:u w:val="single"/>
        </w:rPr>
      </w:pPr>
      <w:r>
        <w:rPr>
          <w:rFonts w:hint="eastAsia" w:ascii="宋体" w:hAnsi="宋体"/>
          <w:b/>
          <w:kern w:val="0"/>
          <w:sz w:val="36"/>
          <w:szCs w:val="36"/>
        </w:rPr>
        <w:t xml:space="preserve">    项目名称：</w:t>
      </w:r>
    </w:p>
    <w:p w14:paraId="00C46A8C">
      <w:pPr>
        <w:spacing w:line="360" w:lineRule="auto"/>
        <w:ind w:firstLine="708" w:firstLineChars="196"/>
        <w:rPr>
          <w:rFonts w:ascii="宋体" w:hAnsi="宋体"/>
          <w:b/>
          <w:kern w:val="0"/>
          <w:sz w:val="36"/>
          <w:szCs w:val="36"/>
        </w:rPr>
      </w:pPr>
    </w:p>
    <w:p w14:paraId="2201DA46">
      <w:pPr>
        <w:spacing w:line="360" w:lineRule="auto"/>
        <w:ind w:firstLine="708" w:firstLineChars="196"/>
        <w:rPr>
          <w:rFonts w:ascii="宋体" w:hAnsi="宋体"/>
          <w:b/>
          <w:kern w:val="0"/>
          <w:sz w:val="36"/>
          <w:szCs w:val="36"/>
          <w:u w:val="single"/>
        </w:rPr>
      </w:pPr>
      <w:r>
        <w:rPr>
          <w:rFonts w:hint="eastAsia" w:ascii="宋体" w:hAnsi="宋体"/>
          <w:b/>
          <w:kern w:val="0"/>
          <w:sz w:val="36"/>
          <w:szCs w:val="36"/>
        </w:rPr>
        <w:t>发包单位：</w:t>
      </w:r>
    </w:p>
    <w:p w14:paraId="6D8D85D6">
      <w:pPr>
        <w:spacing w:line="360" w:lineRule="auto"/>
        <w:ind w:firstLine="708" w:firstLineChars="196"/>
        <w:rPr>
          <w:rFonts w:ascii="宋体" w:hAnsi="宋体"/>
          <w:b/>
          <w:kern w:val="0"/>
          <w:sz w:val="36"/>
          <w:szCs w:val="36"/>
        </w:rPr>
      </w:pPr>
    </w:p>
    <w:p w14:paraId="40163BB4">
      <w:pPr>
        <w:spacing w:line="360" w:lineRule="auto"/>
        <w:ind w:firstLine="708" w:firstLineChars="196"/>
        <w:rPr>
          <w:rFonts w:ascii="宋体" w:hAnsi="宋体"/>
          <w:b/>
          <w:kern w:val="0"/>
          <w:sz w:val="36"/>
          <w:szCs w:val="36"/>
        </w:rPr>
      </w:pPr>
      <w:r>
        <w:rPr>
          <w:rFonts w:hint="eastAsia" w:ascii="宋体" w:hAnsi="宋体"/>
          <w:b/>
          <w:kern w:val="0"/>
          <w:sz w:val="36"/>
          <w:szCs w:val="36"/>
        </w:rPr>
        <w:t>监理单位：</w:t>
      </w:r>
    </w:p>
    <w:p w14:paraId="34FD1544">
      <w:pPr>
        <w:spacing w:line="360" w:lineRule="auto"/>
        <w:rPr>
          <w:rFonts w:ascii="宋体" w:hAnsi="宋体" w:cs="宋体"/>
          <w:b/>
          <w:snapToGrid w:val="0"/>
          <w:kern w:val="0"/>
          <w:sz w:val="36"/>
          <w:szCs w:val="36"/>
        </w:rPr>
      </w:pPr>
    </w:p>
    <w:p w14:paraId="520728F4">
      <w:pPr>
        <w:spacing w:line="360" w:lineRule="auto"/>
        <w:jc w:val="center"/>
        <w:rPr>
          <w:rFonts w:ascii="宋体" w:hAnsi="宋体" w:cs="宋体"/>
          <w:b/>
          <w:snapToGrid w:val="0"/>
          <w:kern w:val="0"/>
          <w:sz w:val="36"/>
          <w:szCs w:val="36"/>
        </w:rPr>
      </w:pPr>
    </w:p>
    <w:p w14:paraId="77C2DC28">
      <w:pPr>
        <w:spacing w:line="360" w:lineRule="auto"/>
        <w:jc w:val="center"/>
        <w:rPr>
          <w:rFonts w:ascii="宋体" w:hAnsi="宋体" w:cs="宋体"/>
          <w:b/>
          <w:snapToGrid w:val="0"/>
          <w:kern w:val="0"/>
          <w:sz w:val="36"/>
          <w:szCs w:val="36"/>
        </w:rPr>
      </w:pPr>
      <w:r>
        <w:rPr>
          <w:rFonts w:hint="eastAsia" w:ascii="宋体" w:hAnsi="宋体" w:cs="宋体"/>
          <w:b/>
          <w:snapToGrid w:val="0"/>
          <w:kern w:val="0"/>
          <w:sz w:val="36"/>
          <w:szCs w:val="36"/>
        </w:rPr>
        <w:t xml:space="preserve">签订日期 </w:t>
      </w:r>
      <w:r>
        <w:rPr>
          <w:rFonts w:hint="eastAsia" w:ascii="宋体" w:hAnsi="宋体" w:cs="宋体"/>
          <w:b/>
          <w:snapToGrid w:val="0"/>
          <w:kern w:val="0"/>
          <w:sz w:val="36"/>
          <w:szCs w:val="36"/>
          <w:u w:val="single"/>
        </w:rPr>
        <w:t xml:space="preserve"> 20</w:t>
      </w:r>
      <w:r>
        <w:rPr>
          <w:rFonts w:ascii="宋体" w:hAnsi="宋体" w:cs="宋体"/>
          <w:b/>
          <w:snapToGrid w:val="0"/>
          <w:kern w:val="0"/>
          <w:sz w:val="36"/>
          <w:szCs w:val="36"/>
          <w:u w:val="single"/>
        </w:rPr>
        <w:t>2</w:t>
      </w:r>
      <w:r>
        <w:rPr>
          <w:rFonts w:hint="eastAsia" w:ascii="宋体" w:hAnsi="宋体" w:cs="宋体"/>
          <w:b/>
          <w:snapToGrid w:val="0"/>
          <w:kern w:val="0"/>
          <w:sz w:val="36"/>
          <w:szCs w:val="36"/>
          <w:u w:val="single"/>
        </w:rPr>
        <w:t>1</w:t>
      </w:r>
      <w:r>
        <w:rPr>
          <w:rFonts w:hint="eastAsia" w:ascii="宋体" w:hAnsi="宋体" w:cs="宋体"/>
          <w:b/>
          <w:snapToGrid w:val="0"/>
          <w:kern w:val="0"/>
          <w:sz w:val="36"/>
          <w:szCs w:val="36"/>
        </w:rPr>
        <w:t>年 月 日</w:t>
      </w:r>
      <w:bookmarkStart w:id="0" w:name="_Toc531683923"/>
      <w:bookmarkStart w:id="1" w:name="_Toc416860784"/>
      <w:bookmarkStart w:id="2" w:name="_Toc482287944"/>
    </w:p>
    <w:p w14:paraId="38FD8D7E">
      <w:pPr>
        <w:pStyle w:val="2"/>
      </w:pPr>
    </w:p>
    <w:p w14:paraId="0B17D365"/>
    <w:p w14:paraId="3F048407">
      <w:pPr>
        <w:tabs>
          <w:tab w:val="left" w:pos="432"/>
        </w:tabs>
        <w:autoSpaceDE w:val="0"/>
        <w:autoSpaceDN w:val="0"/>
        <w:adjustRightInd w:val="0"/>
        <w:snapToGrid w:val="0"/>
        <w:spacing w:line="800" w:lineRule="exact"/>
        <w:jc w:val="center"/>
        <w:outlineLvl w:val="0"/>
        <w:rPr>
          <w:rFonts w:ascii="宋体" w:hAnsi="宋体"/>
          <w:b/>
          <w:snapToGrid w:val="0"/>
          <w:sz w:val="36"/>
          <w:szCs w:val="36"/>
        </w:rPr>
      </w:pPr>
      <w:r>
        <w:rPr>
          <w:rFonts w:hint="eastAsia" w:ascii="宋体" w:hAnsi="宋体"/>
          <w:b/>
          <w:snapToGrid w:val="0"/>
          <w:sz w:val="36"/>
          <w:szCs w:val="36"/>
        </w:rPr>
        <w:t>一 、建设工程委托监理合同</w:t>
      </w:r>
      <w:bookmarkEnd w:id="0"/>
      <w:bookmarkEnd w:id="1"/>
      <w:bookmarkEnd w:id="2"/>
    </w:p>
    <w:p w14:paraId="2C323FD2">
      <w:pPr>
        <w:rPr>
          <w:rFonts w:ascii="宋体" w:hAnsi="宋体"/>
          <w:szCs w:val="24"/>
        </w:rPr>
      </w:pPr>
    </w:p>
    <w:p w14:paraId="20628514">
      <w:pPr>
        <w:adjustRightInd w:val="0"/>
        <w:snapToGrid w:val="0"/>
        <w:spacing w:line="460" w:lineRule="exact"/>
        <w:ind w:firstLine="600" w:firstLineChars="250"/>
        <w:jc w:val="left"/>
        <w:rPr>
          <w:rFonts w:ascii="宋体" w:hAnsi="宋体"/>
          <w:sz w:val="24"/>
          <w:szCs w:val="24"/>
        </w:rPr>
      </w:pPr>
      <w:r>
        <w:rPr>
          <w:rFonts w:hint="eastAsia" w:ascii="宋体" w:hAnsi="宋体"/>
          <w:sz w:val="24"/>
          <w:szCs w:val="24"/>
        </w:rPr>
        <w:t>（以下简称“委托人”）与（以下简称“监理人”）经双方协商一致，签订本合同。</w:t>
      </w:r>
    </w:p>
    <w:p w14:paraId="027CE634">
      <w:pPr>
        <w:adjustRightInd w:val="0"/>
        <w:snapToGrid w:val="0"/>
        <w:spacing w:line="460" w:lineRule="exact"/>
        <w:ind w:firstLine="480" w:firstLineChars="200"/>
        <w:jc w:val="left"/>
        <w:rPr>
          <w:rFonts w:ascii="宋体" w:hAnsi="宋体"/>
          <w:sz w:val="24"/>
          <w:szCs w:val="24"/>
        </w:rPr>
      </w:pPr>
      <w:r>
        <w:rPr>
          <w:rFonts w:hint="eastAsia" w:ascii="宋体" w:hAnsi="宋体"/>
          <w:sz w:val="24"/>
          <w:szCs w:val="24"/>
        </w:rPr>
        <w:t>一、委托人委托监理人监理的工程（以下简称“本工程”）概况如下：</w:t>
      </w:r>
    </w:p>
    <w:p w14:paraId="223C557D">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1</w:t>
      </w:r>
      <w:r>
        <w:rPr>
          <w:rFonts w:ascii="宋体" w:hAnsi="宋体"/>
          <w:snapToGrid w:val="0"/>
          <w:kern w:val="0"/>
          <w:sz w:val="24"/>
          <w:szCs w:val="24"/>
        </w:rPr>
        <w:t>.</w:t>
      </w:r>
      <w:r>
        <w:rPr>
          <w:rFonts w:hint="eastAsia" w:ascii="宋体" w:hAnsi="宋体"/>
          <w:snapToGrid w:val="0"/>
          <w:kern w:val="0"/>
          <w:sz w:val="24"/>
          <w:szCs w:val="24"/>
        </w:rPr>
        <w:t>工程名称：</w:t>
      </w:r>
    </w:p>
    <w:p w14:paraId="367A3F63">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2</w:t>
      </w:r>
      <w:r>
        <w:rPr>
          <w:rFonts w:ascii="宋体" w:hAnsi="宋体"/>
          <w:snapToGrid w:val="0"/>
          <w:kern w:val="0"/>
          <w:sz w:val="24"/>
          <w:szCs w:val="24"/>
        </w:rPr>
        <w:t>.</w:t>
      </w:r>
      <w:r>
        <w:rPr>
          <w:rFonts w:hint="eastAsia" w:ascii="宋体" w:hAnsi="宋体"/>
          <w:snapToGrid w:val="0"/>
          <w:kern w:val="0"/>
          <w:sz w:val="24"/>
          <w:szCs w:val="24"/>
        </w:rPr>
        <w:t xml:space="preserve">工程地点：                            </w:t>
      </w:r>
    </w:p>
    <w:p w14:paraId="73E1F4D4">
      <w:pPr>
        <w:autoSpaceDE w:val="0"/>
        <w:autoSpaceDN w:val="0"/>
        <w:adjustRightInd w:val="0"/>
        <w:spacing w:before="100" w:after="100" w:line="460" w:lineRule="exact"/>
        <w:ind w:right="360" w:firstLine="480" w:firstLineChars="200"/>
        <w:jc w:val="left"/>
        <w:rPr>
          <w:rFonts w:ascii="宋体" w:hAnsi="宋体"/>
          <w:snapToGrid w:val="0"/>
          <w:kern w:val="0"/>
          <w:sz w:val="24"/>
          <w:szCs w:val="24"/>
        </w:rPr>
      </w:pPr>
      <w:r>
        <w:rPr>
          <w:rFonts w:hint="eastAsia" w:ascii="宋体" w:hAnsi="宋体"/>
          <w:snapToGrid w:val="0"/>
          <w:kern w:val="0"/>
          <w:sz w:val="24"/>
          <w:szCs w:val="24"/>
        </w:rPr>
        <w:t>3</w:t>
      </w:r>
      <w:r>
        <w:rPr>
          <w:rFonts w:ascii="宋体" w:hAnsi="宋体"/>
          <w:snapToGrid w:val="0"/>
          <w:kern w:val="0"/>
          <w:sz w:val="24"/>
          <w:szCs w:val="24"/>
        </w:rPr>
        <w:t>.</w:t>
      </w:r>
      <w:r>
        <w:rPr>
          <w:rFonts w:hint="eastAsia" w:ascii="宋体" w:hAnsi="宋体"/>
          <w:snapToGrid w:val="0"/>
          <w:kern w:val="0"/>
          <w:sz w:val="24"/>
          <w:szCs w:val="24"/>
        </w:rPr>
        <w:t xml:space="preserve">工程规模及建设内容：                            </w:t>
      </w:r>
    </w:p>
    <w:p w14:paraId="245D41D9">
      <w:pPr>
        <w:autoSpaceDE w:val="0"/>
        <w:autoSpaceDN w:val="0"/>
        <w:adjustRightInd w:val="0"/>
        <w:spacing w:before="100" w:after="100" w:line="460" w:lineRule="exact"/>
        <w:ind w:right="360" w:firstLine="480" w:firstLineChars="200"/>
        <w:jc w:val="left"/>
        <w:rPr>
          <w:rFonts w:ascii="宋体" w:hAnsi="宋体"/>
          <w:snapToGrid w:val="0"/>
          <w:kern w:val="0"/>
          <w:sz w:val="24"/>
          <w:szCs w:val="24"/>
        </w:rPr>
      </w:pPr>
      <w:r>
        <w:rPr>
          <w:rFonts w:hint="eastAsia" w:ascii="宋体" w:hAnsi="宋体"/>
          <w:snapToGrid w:val="0"/>
          <w:kern w:val="0"/>
          <w:sz w:val="24"/>
          <w:szCs w:val="24"/>
        </w:rPr>
        <w:t>工程规模：</w:t>
      </w:r>
    </w:p>
    <w:p w14:paraId="01181325">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监理工作内容：对概算范围内的全部工程内容，从施工准备阶段开始至工程竣工验收合格并交付使用各阶段的工程监理。包括“三控制、三管理、一协调”即：投资控制、质量控制、进度控制、安全生产和文明施工管理、合同管理、信息管理和现场组织协调；并协助招标人做好与本工程相关的各方协调工作，配合所有工程结算审计和质量缺陷期内的争议问题处理。</w:t>
      </w:r>
    </w:p>
    <w:p w14:paraId="7395D0BA">
      <w:pPr>
        <w:autoSpaceDE w:val="0"/>
        <w:autoSpaceDN w:val="0"/>
        <w:adjustRightInd w:val="0"/>
        <w:spacing w:before="100" w:after="100" w:line="460" w:lineRule="exact"/>
        <w:ind w:right="360"/>
        <w:jc w:val="left"/>
        <w:rPr>
          <w:rFonts w:ascii="宋体" w:hAnsi="宋体"/>
          <w:snapToGrid w:val="0"/>
          <w:kern w:val="0"/>
          <w:sz w:val="24"/>
          <w:szCs w:val="24"/>
          <w:lang w:val="zh-CN"/>
        </w:rPr>
      </w:pPr>
      <w:r>
        <w:rPr>
          <w:rFonts w:hint="eastAsia" w:ascii="宋体" w:hAnsi="宋体"/>
          <w:snapToGrid w:val="0"/>
          <w:kern w:val="0"/>
          <w:sz w:val="24"/>
          <w:szCs w:val="24"/>
        </w:rPr>
        <w:t>4、监理服务期：</w:t>
      </w:r>
      <w:r>
        <w:rPr>
          <w:rFonts w:hint="eastAsia" w:ascii="宋体" w:hAnsi="宋体"/>
          <w:snapToGrid w:val="0"/>
          <w:kern w:val="0"/>
          <w:sz w:val="24"/>
          <w:szCs w:val="24"/>
          <w:lang w:val="zh-CN"/>
        </w:rPr>
        <w:t xml:space="preserve">以招标人的书面进场通知为监理服务期的起始时间，以项目竣工验收合格且监理资料交接完成且缺陷责任期满为监理服务期的完成时间。 </w:t>
      </w:r>
    </w:p>
    <w:p w14:paraId="19D62B20">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5、监理目标：</w:t>
      </w:r>
    </w:p>
    <w:p w14:paraId="674B7CB9">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（1）投资控制目标:按工程合同价格进行控制；严格计量，无超前支付发生。</w:t>
      </w:r>
    </w:p>
    <w:p w14:paraId="3969C57C">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（2）进度控制目标：建设期控制在招标人要求范围之内。</w:t>
      </w:r>
    </w:p>
    <w:p w14:paraId="07A08048">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（3）质量控制目标：达到国家地方行业规范和国家有关施工质量验收规范要求，并一次性验收合格。</w:t>
      </w:r>
    </w:p>
    <w:p w14:paraId="0A287309">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（4）安全管理目标：无死亡1人及以上的伤亡事故发生。</w:t>
      </w:r>
    </w:p>
    <w:p w14:paraId="0B66096D">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（5）合同信息管理目标：正确处理项目有关的合同索赔和合同纠纷，并对项目施工阶段的信息进行收集、整理和保管，保证过程中重要环节的可追溯性。</w:t>
      </w:r>
    </w:p>
    <w:p w14:paraId="198FC38A">
      <w:pPr>
        <w:autoSpaceDE w:val="0"/>
        <w:autoSpaceDN w:val="0"/>
        <w:adjustRightInd w:val="0"/>
        <w:spacing w:before="100" w:after="100" w:line="460" w:lineRule="exact"/>
        <w:ind w:right="360"/>
        <w:jc w:val="left"/>
        <w:rPr>
          <w:rFonts w:ascii="宋体" w:hAnsi="宋体"/>
          <w:snapToGrid w:val="0"/>
          <w:kern w:val="0"/>
          <w:sz w:val="24"/>
          <w:szCs w:val="24"/>
        </w:rPr>
      </w:pPr>
    </w:p>
    <w:p w14:paraId="0A70E3B1">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二、本合同中的有关词语含义与本合同第二部分《标准条件》中赋予它们的定义相同。</w:t>
      </w:r>
    </w:p>
    <w:p w14:paraId="676663E3">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三、下列文件均为本合同的组成部分：</w:t>
      </w:r>
    </w:p>
    <w:p w14:paraId="1ED60DC3">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①本合同标准条件；</w:t>
      </w:r>
    </w:p>
    <w:p w14:paraId="76925080">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②本合同专用条件；</w:t>
      </w:r>
    </w:p>
    <w:p w14:paraId="428E49E7">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③在实施过程中双方共同签署的补充与修正文件。</w:t>
      </w:r>
    </w:p>
    <w:p w14:paraId="57ECDF83">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四、监理人向委托人承诺，按照本合同的规定，承担本合同专用条件中议定范围内的监理业务。</w:t>
      </w:r>
    </w:p>
    <w:p w14:paraId="477D557F">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五、委托人向监理人承诺按照本合同注明的期限、方式、币种，向监理人支付报酬。</w:t>
      </w:r>
    </w:p>
    <w:p w14:paraId="42C57092">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六、本合同监理服务期限：</w:t>
      </w:r>
      <w:r>
        <w:rPr>
          <w:rFonts w:hint="eastAsia" w:ascii="宋体" w:hAnsi="宋体"/>
          <w:snapToGrid w:val="0"/>
          <w:kern w:val="0"/>
          <w:sz w:val="24"/>
          <w:szCs w:val="24"/>
          <w:lang w:val="zh-CN"/>
        </w:rPr>
        <w:t>以委托人的书面进场通知为监理服务期的起始时间，以项目完</w:t>
      </w:r>
      <w:r>
        <w:rPr>
          <w:rFonts w:ascii="宋体" w:hAnsi="宋体"/>
          <w:snapToGrid w:val="0"/>
          <w:kern w:val="0"/>
          <w:sz w:val="24"/>
          <w:szCs w:val="24"/>
          <w:lang w:val="zh-CN"/>
        </w:rPr>
        <w:t>工</w:t>
      </w:r>
      <w:r>
        <w:rPr>
          <w:rFonts w:hint="eastAsia" w:ascii="宋体" w:hAnsi="宋体"/>
          <w:snapToGrid w:val="0"/>
          <w:kern w:val="0"/>
          <w:sz w:val="24"/>
          <w:szCs w:val="24"/>
          <w:lang w:val="zh-CN"/>
        </w:rPr>
        <w:t>验收合格为监理服务期的完成时间。</w:t>
      </w:r>
    </w:p>
    <w:p w14:paraId="4B9947A1">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七、合同价款：总价（大写）</w:t>
      </w:r>
      <w:r>
        <w:rPr>
          <w:rFonts w:hint="eastAsia" w:ascii="宋体" w:hAnsi="宋体"/>
          <w:snapToGrid w:val="0"/>
          <w:kern w:val="0"/>
          <w:sz w:val="24"/>
          <w:szCs w:val="24"/>
          <w:u w:val="single"/>
        </w:rPr>
        <w:t xml:space="preserve">          </w:t>
      </w:r>
      <w:r>
        <w:rPr>
          <w:rFonts w:hint="eastAsia" w:ascii="宋体" w:hAnsi="宋体"/>
          <w:snapToGrid w:val="0"/>
          <w:kern w:val="0"/>
          <w:sz w:val="24"/>
          <w:szCs w:val="24"/>
        </w:rPr>
        <w:t>（小写）</w:t>
      </w:r>
      <w:r>
        <w:rPr>
          <w:rFonts w:hint="eastAsia" w:ascii="宋体" w:hAnsi="宋体"/>
          <w:snapToGrid w:val="0"/>
          <w:kern w:val="0"/>
          <w:sz w:val="24"/>
          <w:szCs w:val="24"/>
          <w:u w:val="single"/>
        </w:rPr>
        <w:t xml:space="preserve">         </w:t>
      </w:r>
      <w:r>
        <w:rPr>
          <w:rFonts w:hint="eastAsia" w:ascii="宋体" w:hAnsi="宋体"/>
          <w:snapToGrid w:val="0"/>
          <w:kern w:val="0"/>
          <w:sz w:val="24"/>
          <w:szCs w:val="24"/>
        </w:rPr>
        <w:t>元，【每所学校的最高限价乘以（1-报价下浮比例）】。</w:t>
      </w:r>
    </w:p>
    <w:p w14:paraId="209FA355">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此合同价款包括为为实施和完成本项目全部监理咨询工作所需的劳务费、技术服务费、加班费、办公设施费、通讯费、交通费、检测仪器设备的使用费、平行抽检费和管理费、保险、税费、利润及风险费等所有一切费用。</w:t>
      </w:r>
    </w:p>
    <w:p w14:paraId="77AE8DD4">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八、本合同一式四份，双方各执壹份。</w:t>
      </w:r>
    </w:p>
    <w:p w14:paraId="4E549468">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九、本协议书双方代表在本协议书上各自签字盖章生效。</w:t>
      </w:r>
    </w:p>
    <w:p w14:paraId="386582C3">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p>
    <w:p w14:paraId="3BF5C872">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r>
        <w:rPr>
          <w:rFonts w:hint="eastAsia" w:ascii="宋体" w:hAnsi="宋体"/>
          <w:snapToGrid w:val="0"/>
          <w:kern w:val="0"/>
          <w:sz w:val="24"/>
          <w:szCs w:val="24"/>
        </w:rPr>
        <w:t>法定代表人：（签章）               法定代表人：（签章）</w:t>
      </w:r>
    </w:p>
    <w:p w14:paraId="609AF6F0">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p>
    <w:p w14:paraId="3C5F27F9">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r>
        <w:rPr>
          <w:rFonts w:hint="eastAsia" w:ascii="宋体" w:hAnsi="宋体"/>
          <w:snapToGrid w:val="0"/>
          <w:kern w:val="0"/>
          <w:sz w:val="24"/>
          <w:szCs w:val="24"/>
        </w:rPr>
        <w:t>委托人：（签章）                   监理人：（签章）</w:t>
      </w:r>
    </w:p>
    <w:p w14:paraId="637AC17B">
      <w:pPr>
        <w:adjustRightInd w:val="0"/>
        <w:snapToGrid w:val="0"/>
        <w:spacing w:line="500" w:lineRule="exact"/>
        <w:ind w:firstLine="3840" w:firstLineChars="1600"/>
        <w:jc w:val="left"/>
        <w:rPr>
          <w:rFonts w:ascii="宋体" w:hAnsi="宋体"/>
          <w:sz w:val="24"/>
          <w:szCs w:val="24"/>
        </w:rPr>
      </w:pPr>
    </w:p>
    <w:p w14:paraId="45365596">
      <w:pPr>
        <w:adjustRightInd w:val="0"/>
        <w:snapToGrid w:val="0"/>
        <w:spacing w:line="500" w:lineRule="exact"/>
        <w:ind w:firstLine="2520" w:firstLineChars="1050"/>
        <w:jc w:val="left"/>
        <w:rPr>
          <w:rFonts w:ascii="宋体" w:hAnsi="宋体"/>
          <w:sz w:val="24"/>
          <w:szCs w:val="24"/>
        </w:rPr>
      </w:pPr>
      <w:r>
        <w:rPr>
          <w:rFonts w:hint="eastAsia" w:ascii="宋体" w:hAnsi="宋体"/>
          <w:sz w:val="24"/>
          <w:szCs w:val="24"/>
        </w:rPr>
        <w:t xml:space="preserve">本合同签订于：   </w:t>
      </w:r>
      <w:r>
        <w:rPr>
          <w:rFonts w:hint="eastAsia" w:ascii="宋体" w:hAnsi="宋体"/>
          <w:sz w:val="24"/>
          <w:szCs w:val="24"/>
          <w:u w:val="single"/>
        </w:rPr>
        <w:t xml:space="preserve"> 2021</w:t>
      </w:r>
      <w:r>
        <w:rPr>
          <w:rFonts w:hint="eastAsia" w:ascii="宋体" w:hAnsi="宋体"/>
          <w:sz w:val="24"/>
          <w:szCs w:val="24"/>
        </w:rPr>
        <w:t>年 月  日</w:t>
      </w:r>
    </w:p>
    <w:p w14:paraId="745D26A8">
      <w:pPr>
        <w:pStyle w:val="2"/>
      </w:pPr>
      <w:bookmarkStart w:id="3" w:name="_Toc193525462"/>
    </w:p>
    <w:p w14:paraId="0A01D77B">
      <w:pPr>
        <w:pStyle w:val="2"/>
        <w:sectPr>
          <w:headerReference r:id="rId3" w:type="default"/>
          <w:footerReference r:id="rId4" w:type="default"/>
          <w:footerReference r:id="rId5" w:type="even"/>
          <w:pgSz w:w="11906" w:h="16838"/>
          <w:pgMar w:top="1247" w:right="1418" w:bottom="1247" w:left="1418" w:header="851" w:footer="992" w:gutter="0"/>
          <w:cols w:space="720" w:num="1"/>
          <w:titlePg/>
          <w:docGrid w:type="lines" w:linePitch="312" w:charSpace="0"/>
        </w:sectPr>
      </w:pPr>
    </w:p>
    <w:p w14:paraId="0EB72557">
      <w:pPr>
        <w:tabs>
          <w:tab w:val="left" w:pos="432"/>
        </w:tabs>
        <w:autoSpaceDE w:val="0"/>
        <w:autoSpaceDN w:val="0"/>
        <w:adjustRightInd w:val="0"/>
        <w:snapToGrid w:val="0"/>
        <w:spacing w:line="800" w:lineRule="exact"/>
        <w:jc w:val="left"/>
        <w:outlineLvl w:val="0"/>
        <w:rPr>
          <w:rFonts w:ascii="宋体" w:hAnsi="宋体"/>
          <w:b/>
          <w:snapToGrid w:val="0"/>
          <w:sz w:val="36"/>
          <w:szCs w:val="36"/>
        </w:rPr>
      </w:pPr>
      <w:bookmarkStart w:id="4" w:name="_Toc531683924"/>
      <w:bookmarkStart w:id="5" w:name="_Toc482287945"/>
      <w:bookmarkStart w:id="6" w:name="_Toc416860785"/>
      <w:r>
        <w:rPr>
          <w:rFonts w:hint="eastAsia" w:ascii="宋体" w:hAnsi="宋体"/>
          <w:b/>
          <w:snapToGrid w:val="0"/>
          <w:sz w:val="36"/>
          <w:szCs w:val="36"/>
        </w:rPr>
        <w:t>二、建设工程委托监理合同通用条件</w:t>
      </w:r>
      <w:bookmarkEnd w:id="3"/>
      <w:bookmarkEnd w:id="4"/>
      <w:bookmarkEnd w:id="5"/>
      <w:bookmarkEnd w:id="6"/>
    </w:p>
    <w:p w14:paraId="48A7DD11">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词语定义、适用范围和法规</w:t>
      </w:r>
    </w:p>
    <w:p w14:paraId="4DB09CD0">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第一条  下列名词和用语，除上下文另有规定外，有如下含义：</w:t>
      </w:r>
    </w:p>
    <w:p w14:paraId="5D7E39CC">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（1）“工程”是指委托人委托实施监理的工程。</w:t>
      </w:r>
    </w:p>
    <w:p w14:paraId="47E8FDD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（2）“委托人”是指承担直接投资责任和委托监理业务的一方以及其合法继承人。</w:t>
      </w:r>
    </w:p>
    <w:p w14:paraId="2540782E">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（3）“监理人”是指承担监理业务和监理责任的一方，以及其合法继承人。</w:t>
      </w:r>
    </w:p>
    <w:p w14:paraId="39780F55">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（4）“监理机构”是指监理人派驻本工程现场实施监理业务的组织。</w:t>
      </w:r>
    </w:p>
    <w:p w14:paraId="0A2B26AC">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（5）“总监理工程师”是指经委托人同意，监理人派到监理机构全面履行本合同的全权负责人。</w:t>
      </w:r>
    </w:p>
    <w:p w14:paraId="4B42D39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（6）“承包人”是指除监理人以外，委托人就工程建设有关事宜签订合同的当事人。</w:t>
      </w:r>
    </w:p>
    <w:p w14:paraId="3E126210">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（7）“工程监理的正常工作”是指双方在专用条件中约定，委托人委托的监理工作范围和内容。</w:t>
      </w:r>
    </w:p>
    <w:p w14:paraId="6790E02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（8）“工程监理的附加工作”是指：①委托人委托监理范围以外，通过双方书面协议另外增加的工作内容；②由于委托人或承包人原因，使监理工作受到阻碍或延误，因增加工作量或持续时间而增加的工作。</w:t>
      </w:r>
    </w:p>
    <w:p w14:paraId="58EB8816">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（9）“工程监理的额外工作”是指正常工作和附加工作以外，根据第三十八条规定监理人必须完成的工作，或非监理人自己的原因而暂停或终止监理业务，其善后工作及恢复监理业务的工作。</w:t>
      </w:r>
    </w:p>
    <w:p w14:paraId="745891A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（10）“日”是指任何一天零时至第二天零时的时间段。</w:t>
      </w:r>
    </w:p>
    <w:p w14:paraId="0DAA0B4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（11）“月”是指根据公历从一个月份中任何一天开始到下一个月相应日期的前一天的时间段。</w:t>
      </w:r>
    </w:p>
    <w:p w14:paraId="0B47A1F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第二条  建设工程委托监理合同适用的法律是指国家的法律、行政法规，以及专用条件中议定的部门规章或工程所在地的地方法规、地方规章。</w:t>
      </w:r>
    </w:p>
    <w:p w14:paraId="08B2B7F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第三条  本合同文件使用汉语语言文字书写、解释和说明。如专用条件约定使用两种以上（含两种）语言文字时，汉语应为解释和说明本合同的标准语言文字。</w:t>
      </w:r>
    </w:p>
    <w:p w14:paraId="4352B1B1">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监理人义务</w:t>
      </w:r>
    </w:p>
    <w:p w14:paraId="3EDA2EE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第四条  监理人按合同约定派出监理工作需要的监理机构及监理人员，向委托人报送委派的总监理工程师及其监理机构主要成员名单、监理规划，完成监理合同专用条件中约定的监理工程范围内的监理业务。在履行合同义务期间，应按合同约定定期向委托人报告监理工作。</w:t>
      </w:r>
    </w:p>
    <w:p w14:paraId="5946D797">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第五条  监理人在履行本合同的义务期间，应认真、勤奋地工作，为委托人提供与其水平相适应的咨询意见，公正维护各方面的合法权益。</w:t>
      </w:r>
    </w:p>
    <w:p w14:paraId="3C9D035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第六条  监理人使用委托人提供的设施和物品属委托人的财产，在监理工作完成或中止时，应将其设施和剩余的物品按合同约定的时间和方式移交给委托人。</w:t>
      </w:r>
    </w:p>
    <w:p w14:paraId="11588568">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第七条  在合同期内或合同终止后，未征得有关方面同意，不得泄露与本工程、本合同业务有关的保密资料。</w:t>
      </w:r>
    </w:p>
    <w:p w14:paraId="3FB54E29">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委托人义务</w:t>
      </w:r>
    </w:p>
    <w:p w14:paraId="3C9E9999">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第八条  委托人在监理人开展监理业务之前应向监理人支付预付款。</w:t>
      </w:r>
    </w:p>
    <w:p w14:paraId="0E1E7CF8">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第九条  委托人应当负责工程建设的所有外部关系的协调，为监理工作提供外部条件。根据需要，如将部分或全部协调工作委托监理人承担，则应在专用条件中明确委托的工作和相应的报酬。</w:t>
      </w:r>
    </w:p>
    <w:p w14:paraId="1DF848EE">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第十条  委托人应当在双方约定的时间内免费向监理人提供与工程有关的为监理工作所需要的工程资料。</w:t>
      </w:r>
    </w:p>
    <w:p w14:paraId="614497C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第十一条  委托人应当在专用条款约定的时间内就监理人书面提交并要求作出决定的一切事宜作出书面决定。</w:t>
      </w:r>
    </w:p>
    <w:p w14:paraId="3B8DCE03">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第十二条  委托人应当授权一名熟悉工程情况、能在规定时间内作出决定的常驻代表（在专用条款中约定），负责与监理人联系。更换常驻代表，要提前通知监理人。</w:t>
      </w:r>
    </w:p>
    <w:p w14:paraId="266EE393">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第十三条  委托人应当将授予监理人的监理权利，以及监理人主要成员的职能分工、监理权限及时书面通知已选定的承包合同的承包人，并在与第三人签订的合同中予以明确。</w:t>
      </w:r>
    </w:p>
    <w:p w14:paraId="61C8E2BC">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第十四条  委托人应在不影响监理人开展监理工作的时间内提供如下资料：</w:t>
      </w:r>
    </w:p>
    <w:p w14:paraId="19F356A0">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（1）与本工程合作的原材料、构配件、机械设备等生产厂家名录。</w:t>
      </w:r>
    </w:p>
    <w:p w14:paraId="1CA116EC">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（2）提供与本工程有关的协作单位、配合单位的名录。</w:t>
      </w:r>
    </w:p>
    <w:p w14:paraId="710F420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第十五条  委托人应免费向监理人提供办公用房、通讯设施、监理人员工地住房及合同专用条件约定的设施，对监理人自备的设施给予合理的经济补偿（补偿金额=设施在工程使用时间占折旧年限的比例×设施原值+管理费）。</w:t>
      </w:r>
    </w:p>
    <w:p w14:paraId="441CD175">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第十六条  根据情况需要，如果双方约定，由委托人免费向监理人提供其他人员，应在监理合同专用条件中予以明确。</w:t>
      </w:r>
    </w:p>
    <w:p w14:paraId="53FDE5D7">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监理人权利</w:t>
      </w:r>
    </w:p>
    <w:p w14:paraId="23656DE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第十七条  监理人在委托人委托的工程范围内，享有以下权利：</w:t>
      </w:r>
    </w:p>
    <w:p w14:paraId="091F99E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（1）选择工程总承包人的建议权。</w:t>
      </w:r>
    </w:p>
    <w:p w14:paraId="74FB3A80">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（2）选择工程分包人的认可权。</w:t>
      </w:r>
    </w:p>
    <w:p w14:paraId="02AA8FD8">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（3）对工程建设有关事项包括工程规模、设计标准、规划设计、生产工艺设计和使用功能要求，向委托人的建议权。</w:t>
      </w:r>
    </w:p>
    <w:p w14:paraId="592CFC2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4）对工程设计中的技术问题，按照安全和优化的原则，向设计人提出建议；如果拟提出的建议可能会提高工程造价，或延长工期，应当事先征得委托人的同意。当发现工程设计不符合国家颁布的建设工程质量标准或设计合同约定的质量标准时，监理人应当书面报告委托人并要求设计人更正。</w:t>
      </w:r>
    </w:p>
    <w:p w14:paraId="68E9D4F5">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（5）审批工程施工组织设计和技术方案，按照保质量、保工期和降低成本的原则，向承包人提出建议，并向委托人提出书面报告。</w:t>
      </w:r>
    </w:p>
    <w:p w14:paraId="4A805B49">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（6）主持工程建设有关协作单位的组织协调，重要协调事项应当事先向委托人报告。</w:t>
      </w:r>
    </w:p>
    <w:p w14:paraId="44D5E48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（7）征得委托人同意，监理人有权发布开工令、停工令、复工令，但应当事先向委托人报告。如在紧急情况下未能事先报告时，则应在24小时内向委托人作出书面报告。</w:t>
      </w:r>
    </w:p>
    <w:p w14:paraId="28D1E86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8）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66C6A450">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（9）工程施工进度的检查、监督权，以及工程实际竣工日期提前或超过工程施工合同规定的竣工期限的签认权。</w:t>
      </w:r>
    </w:p>
    <w:p w14:paraId="4560C30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（10）在工程施工合同约定的工程价格范围内，工程款支付的审核和签认权，以及工程结算的复核确认权与否决权。未经总监理工程师签字确认，委托人不支付工程款。</w:t>
      </w:r>
    </w:p>
    <w:p w14:paraId="1ED19D85">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第十八条  监理人在委托人授权下，可对任何承包人合同规定的义务提出变更。如果由此严重影响了工程费用或质量、或进度，则这种变更须经委托人事先批准。在紧急情况下未能事先报委托人批准时，监理人所做的变更也应尽快通知委托人。在监理过程中如发现工程承包人人员工作不力，监理机构可要求承包人调换有关人员。</w:t>
      </w:r>
    </w:p>
    <w:p w14:paraId="00BBEE87">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第十九条  在委托的工程范围内，委托人或承包人对对方的任何意见和要求（包括索赔要求），均必须首先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14:paraId="30FEA6A5">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委托人权利</w:t>
      </w:r>
    </w:p>
    <w:p w14:paraId="16508466">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第二十条  委托人有选定工程总承包人，以及与其订立合同的权利。</w:t>
      </w:r>
    </w:p>
    <w:p w14:paraId="24135854">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第二十一条  委托人有对工程规模、设计标准、规划设计、生产工艺设计和设计使用功能要求的认定权，以及对工程设计变更的审批权。</w:t>
      </w:r>
    </w:p>
    <w:p w14:paraId="5BA7F54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第二十二条  监理人调换总监理工程师须事先经委托人同意。</w:t>
      </w:r>
    </w:p>
    <w:p w14:paraId="7E328D5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第二十三条  委托人有权要求监理人提交监理工作月报及监理业务范围内的专项报告。</w:t>
      </w:r>
    </w:p>
    <w:p w14:paraId="3D6C7050">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第二十四条  当委托人发现监理人员不按监理合同履行监理职责，或与承包人串通给委托人造成损失的，委托人有权要求监理人更换监理人员，直到终止合同并要求监理人承担相应的赔偿责任或连带赔偿责任。</w:t>
      </w:r>
    </w:p>
    <w:p w14:paraId="5A682895">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监理人责任</w:t>
      </w:r>
    </w:p>
    <w:p w14:paraId="6434874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第二十五条  监理人的责任期即委托监理合同有效期。在监理过程中，如果因工程建设进度的推迟或延误而超过书面约定的日期，双方应进一步约定相应延长的合同期。</w:t>
      </w:r>
    </w:p>
    <w:p w14:paraId="2CDE8D1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第二十六条  监理人在责任期内，应当履行约定的义务，如果因监理人过失而造成了委托人的经济损失，应当向委托人赔偿。累计赔偿总额（除合同第二十四条规定以外）不应超过监理报酬总额（除去税金）。</w:t>
      </w:r>
    </w:p>
    <w:p w14:paraId="04C4EDD4">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第二十七条  监理人对承包人违反合同规定的质量要求和完工（交图、交货）时限，不承担责任。因不可抗力导致委托监理合同不能全部或部分履行，监理人不承担责任。但对违反第五条规定引起的与之有关的事宜，向委托人承担赔偿责任。</w:t>
      </w:r>
    </w:p>
    <w:p w14:paraId="1E9A9CD8">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第二十八条  监理人向委托人提出赔偿要求不能成立时，监理人应当补偿由于该索赔所导致委托人的各种费用支出。</w:t>
      </w:r>
    </w:p>
    <w:p w14:paraId="3B27AEDA">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委托人责任</w:t>
      </w:r>
    </w:p>
    <w:p w14:paraId="22915043">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第二十九条  委托人应当履行委托监理合同约定的义务，如有违反则应当承担违约责任，赔偿给监理人造成的经济损失。</w:t>
      </w:r>
    </w:p>
    <w:p w14:paraId="74647207">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监理人处理委托业务时，因非监理人原因的事由受到损失的，可以向委托人要求补偿损失。</w:t>
      </w:r>
    </w:p>
    <w:p w14:paraId="3594121C">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第三十条  委托人如果向监理人提出赔偿的要求不能成立，则应当补偿由该索赔所引的监理人的各种费用支出。</w:t>
      </w:r>
    </w:p>
    <w:p w14:paraId="4C46CA6C">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合同生效、变更与终止</w:t>
      </w:r>
    </w:p>
    <w:p w14:paraId="08983FEF">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第三十一条  由于委托人或承包人的原因使监理工作受到阻碍或延误，以致发生了附加工作或延长了持续时间，则监理人应当将此情况与可能产生的影响及时通知委托人，完成监理业务的时间相应延长，并得到附加工作的报酬。</w:t>
      </w:r>
    </w:p>
    <w:p w14:paraId="277A7D97">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第三十二条  在委托监理合同签订后，实际情况发生变化，使得监理人不能全部或部分执行监理业务时，监理人应当立即通知委托人。该监理业务的完成时间应予延长。当恢复执行监理业务时，应当增加不超过42日的时间用于恢复执行监理业务，并按双方约定的数量支付监理报酬。</w:t>
      </w:r>
    </w:p>
    <w:p w14:paraId="2A845A91">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第三十三条  监理人向委托人办理完竣工验收或工程移交手续，承包人和委托人已签订工程保修责任书，监理人收到监理报酬尾款，本合同即终止。保修期间的责任，双方在专用条款中约定。</w:t>
      </w:r>
    </w:p>
    <w:p w14:paraId="02587CD3">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第三十四条  当事人一方要求变更或解除合同时，应当在42日前通知对方，因解除合同使一方遭受损失的，除依法可以免除责任的外，应由责任方负责赔偿。</w:t>
      </w:r>
    </w:p>
    <w:p w14:paraId="270A46E6">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变更或解除合同的通知或协议必须采取书面形式，协议未达成之前，原合同仍然有效。</w:t>
      </w:r>
    </w:p>
    <w:p w14:paraId="54D51708">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第三十五条  监理人在应当获得监理报酬之日起30日内仍未收到支付单据，而委托人又未对提出任何书面解释时，或根据第三十三条及第三十四条已暂停执行监理业务时限超过六个月的，监理人可向委托人发出终止合同的通知，发出通知后14日内仍未得到委托答复，可进一步发出终止合同的通知，如果第二份通知发出后42日内仍未得到委托人答复，可终止合同或自行暂停或继续暂停执行全部或部分监理业务。委托人承担违约责任。</w:t>
      </w:r>
    </w:p>
    <w:p w14:paraId="26AAD00B">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第三十六条  监理人由于非自己的原因而暂停或终止执行监理业务，其善后工作以及恢复执行监理业务的工作，应当视为额外工作，有权得到额外的报酬。</w:t>
      </w:r>
    </w:p>
    <w:p w14:paraId="4C7AA76B">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第三十七条  当委托人认为监理人无正当理由而又未履行监理义务时，可向监理人发出指明其未履行义务的通知。若委托人发出通知后21日内没有收到答复，可在第一个通知发出后35日内发出终止委托监理合同的通知，合同即行终止。监理人承担违约责任。</w:t>
      </w:r>
    </w:p>
    <w:p w14:paraId="66078CE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第三十八条  合同协议的终止并不影响各方应有的权利和应当承担的责任。</w:t>
      </w:r>
    </w:p>
    <w:p w14:paraId="6250F8DB">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监理报酬</w:t>
      </w:r>
    </w:p>
    <w:p w14:paraId="356CE4E8">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第三十九条  正常的监理工作、附加工作和额外工作的报酬，按照监理合同专用条件中约定的方法计算，并按约定的时间和数额支付。</w:t>
      </w:r>
    </w:p>
    <w:p w14:paraId="0D20996C">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第四十条  如果委托人在规定的支付期限内未支付监理报酬，自规定之日起，还应向监理人支付滞纳金。滞纳金从规定支付期限最后一日起计算。</w:t>
      </w:r>
    </w:p>
    <w:p w14:paraId="466E0FD2">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第四十一条  支付监理报酬所采取的货币币种、汇率由合同专用条件约定。</w:t>
      </w:r>
    </w:p>
    <w:p w14:paraId="4844BAF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第四十二条  如果委托人对监理人提交的支付通知中报酬或部分报酬项目提出异议，应当在收到支付通知书24小时内向监理人发出表示异议的通知，但委托人不得拖延其他无异议报酬项目的支付。</w:t>
      </w:r>
    </w:p>
    <w:p w14:paraId="392B06E7">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其他</w:t>
      </w:r>
    </w:p>
    <w:p w14:paraId="37640EC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第四十三条  委托的建设工程监理所必要的监理人员出外考察、材料设备复试，其费用支出经委托人同意的，在预算范围内向委托人实报实销。</w:t>
      </w:r>
    </w:p>
    <w:p w14:paraId="1EB21D74">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第四十四条  在监理业务范围内，如需聘用专家咨询或协助，由监理人聘用的，其费用由监理人承担，由委托人聘用的，其费用由委托人承担。</w:t>
      </w:r>
    </w:p>
    <w:p w14:paraId="4A2DC1A6">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第四十五条  监理人在监理工作过程中提出的合理化建议，使委托人得到了经济效益，委托人应按专用条件中的约定给予经济奖励。</w:t>
      </w:r>
    </w:p>
    <w:p w14:paraId="11031A76">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第四十六条  监理人驻地监理机构及其职员不得接受监理工程项目施工承包人的任何报酬或者经济利益。</w:t>
      </w:r>
    </w:p>
    <w:p w14:paraId="5BCC40C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监理人不得参与可能与合同规定的与委托人的利益相冲突的任何活动。</w:t>
      </w:r>
    </w:p>
    <w:p w14:paraId="5F72D7CD">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第四十七条  监理人在监理过程中，不得泄露委托人申明的秘密，监理人亦不得泄露设计人、承包人等提供并申明的秘密。</w:t>
      </w:r>
    </w:p>
    <w:p w14:paraId="40CA7CDB">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第四十八条  监理人对于由其编制的所有文件拥有版权，委托人仅有权为本工程使用或复制此类文件。</w:t>
      </w:r>
    </w:p>
    <w:p w14:paraId="5A5EE605">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争议的解决</w:t>
      </w:r>
    </w:p>
    <w:p w14:paraId="28D596B6">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第四十九条  因违反或终止合同而引起的对对方损失和损害的赔偿，双方应当协商解决，如未能达到一致，可提交主管部门协调，如仍未能达成一致时，根据双方约定提交仲裁机关仲裁，或向人民法院起诉。</w:t>
      </w:r>
    </w:p>
    <w:p w14:paraId="000BC13B">
      <w:pPr>
        <w:pStyle w:val="2"/>
        <w:rPr>
          <w:rFonts w:ascii="宋体" w:hAnsi="宋体"/>
          <w:sz w:val="24"/>
          <w:szCs w:val="24"/>
        </w:rPr>
      </w:pPr>
    </w:p>
    <w:p w14:paraId="69110F5A">
      <w:pPr>
        <w:jc w:val="left"/>
      </w:pPr>
    </w:p>
    <w:p w14:paraId="1B606A79">
      <w:pPr>
        <w:pStyle w:val="2"/>
        <w:jc w:val="left"/>
      </w:pPr>
    </w:p>
    <w:p w14:paraId="294D0E71">
      <w:pPr>
        <w:sectPr>
          <w:pgSz w:w="11906" w:h="16838"/>
          <w:pgMar w:top="1247" w:right="1247" w:bottom="1247" w:left="1247" w:header="851" w:footer="992" w:gutter="0"/>
          <w:cols w:space="720" w:num="1"/>
          <w:docGrid w:type="lines" w:linePitch="312" w:charSpace="0"/>
        </w:sectPr>
      </w:pPr>
    </w:p>
    <w:p w14:paraId="78B9ED38">
      <w:pPr>
        <w:tabs>
          <w:tab w:val="left" w:pos="432"/>
        </w:tabs>
        <w:autoSpaceDE w:val="0"/>
        <w:autoSpaceDN w:val="0"/>
        <w:adjustRightInd w:val="0"/>
        <w:snapToGrid w:val="0"/>
        <w:spacing w:line="800" w:lineRule="exact"/>
        <w:jc w:val="center"/>
        <w:outlineLvl w:val="0"/>
        <w:rPr>
          <w:rFonts w:ascii="宋体" w:hAnsi="宋体"/>
          <w:b/>
          <w:snapToGrid w:val="0"/>
          <w:sz w:val="36"/>
          <w:szCs w:val="36"/>
        </w:rPr>
      </w:pPr>
      <w:bookmarkStart w:id="7" w:name="_Toc482287946"/>
      <w:bookmarkStart w:id="8" w:name="_Toc193525463"/>
      <w:bookmarkStart w:id="9" w:name="_Toc416860786"/>
      <w:bookmarkStart w:id="10" w:name="_Toc531683925"/>
      <w:r>
        <w:rPr>
          <w:rFonts w:hint="eastAsia" w:ascii="宋体" w:hAnsi="宋体"/>
          <w:b/>
          <w:snapToGrid w:val="0"/>
          <w:sz w:val="36"/>
          <w:szCs w:val="36"/>
        </w:rPr>
        <w:t>三、建设工程委托监理合同专用条件</w:t>
      </w:r>
      <w:bookmarkEnd w:id="7"/>
      <w:bookmarkEnd w:id="8"/>
      <w:bookmarkEnd w:id="9"/>
      <w:bookmarkEnd w:id="10"/>
    </w:p>
    <w:p w14:paraId="73952FA7">
      <w:pPr>
        <w:rPr>
          <w:rFonts w:ascii="宋体" w:hAnsi="宋体"/>
          <w:szCs w:val="24"/>
        </w:rPr>
      </w:pPr>
    </w:p>
    <w:p w14:paraId="5DF997C0">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第二条  本合同适用的法律及监理依据：</w:t>
      </w:r>
    </w:p>
    <w:p w14:paraId="5EBD8E68">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i.国家及重庆市现行的有关工程建设和工程建设监理的法律、法规；</w:t>
      </w:r>
    </w:p>
    <w:p w14:paraId="7CA82B73">
      <w:pPr>
        <w:tabs>
          <w:tab w:val="left" w:pos="1200"/>
          <w:tab w:val="left" w:pos="1494"/>
        </w:tabs>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ii.工程技术标准，施工验收规范，工程建设监理规范；</w:t>
      </w:r>
    </w:p>
    <w:p w14:paraId="683734DD">
      <w:pPr>
        <w:tabs>
          <w:tab w:val="left" w:pos="0"/>
          <w:tab w:val="left" w:pos="1494"/>
        </w:tabs>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iii.政府批准的该项目建设的有关文件；</w:t>
      </w:r>
    </w:p>
    <w:p w14:paraId="17AD59EB">
      <w:pPr>
        <w:tabs>
          <w:tab w:val="left" w:pos="0"/>
          <w:tab w:val="left" w:pos="1494"/>
        </w:tabs>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iv.设计文件、图纸及说明；</w:t>
      </w:r>
    </w:p>
    <w:p w14:paraId="62461A52">
      <w:pPr>
        <w:tabs>
          <w:tab w:val="left" w:pos="0"/>
          <w:tab w:val="left" w:pos="1494"/>
        </w:tabs>
        <w:adjustRightInd w:val="0"/>
        <w:snapToGrid w:val="0"/>
        <w:spacing w:line="440" w:lineRule="exact"/>
        <w:ind w:firstLine="480" w:firstLineChars="200"/>
        <w:rPr>
          <w:rFonts w:ascii="宋体" w:hAnsi="宋体"/>
          <w:sz w:val="24"/>
          <w:szCs w:val="24"/>
        </w:rPr>
      </w:pPr>
      <w:r>
        <w:rPr>
          <w:rFonts w:hint="eastAsia" w:ascii="宋体" w:hAnsi="宋体"/>
          <w:sz w:val="24"/>
          <w:szCs w:val="24"/>
        </w:rPr>
        <w:t>v.工程监理合同和其他工程建设合同。</w:t>
      </w:r>
    </w:p>
    <w:p w14:paraId="39E85B5C">
      <w:pPr>
        <w:adjustRightInd w:val="0"/>
        <w:snapToGrid w:val="0"/>
        <w:spacing w:line="440" w:lineRule="exact"/>
        <w:ind w:firstLine="480" w:firstLineChars="200"/>
        <w:rPr>
          <w:rFonts w:ascii="宋体" w:hAnsi="宋体"/>
          <w:sz w:val="24"/>
          <w:szCs w:val="24"/>
        </w:rPr>
      </w:pPr>
      <w:r>
        <w:rPr>
          <w:rFonts w:hint="eastAsia" w:ascii="宋体" w:hAnsi="宋体"/>
          <w:sz w:val="24"/>
          <w:szCs w:val="24"/>
        </w:rPr>
        <w:t>第四条  监理人的义务、监理范围和监理工作内容：</w:t>
      </w:r>
    </w:p>
    <w:p w14:paraId="1F77E10D">
      <w:pPr>
        <w:adjustRightInd w:val="0"/>
        <w:snapToGrid w:val="0"/>
        <w:spacing w:line="440" w:lineRule="exact"/>
        <w:ind w:firstLine="482" w:firstLineChars="200"/>
        <w:rPr>
          <w:rFonts w:ascii="宋体" w:hAnsi="宋体"/>
          <w:sz w:val="24"/>
          <w:szCs w:val="24"/>
        </w:rPr>
      </w:pPr>
      <w:r>
        <w:rPr>
          <w:rFonts w:hint="eastAsia" w:ascii="宋体" w:hAnsi="宋体"/>
          <w:b/>
          <w:bCs/>
          <w:sz w:val="24"/>
          <w:szCs w:val="24"/>
        </w:rPr>
        <w:t>监理人义务</w:t>
      </w:r>
      <w:r>
        <w:rPr>
          <w:rFonts w:hint="eastAsia" w:ascii="宋体" w:hAnsi="宋体"/>
          <w:sz w:val="24"/>
          <w:szCs w:val="24"/>
        </w:rPr>
        <w:t>：监理人应严格按“守法、公正、科学”的准则开展监理工作。按照国家法律、法规和工程建设强制性标准实施监理，并对建设工程安全生产承担监理责任。</w:t>
      </w:r>
    </w:p>
    <w:p w14:paraId="3E59EED1">
      <w:pPr>
        <w:spacing w:line="440" w:lineRule="exact"/>
        <w:ind w:firstLine="516" w:firstLineChars="214"/>
        <w:rPr>
          <w:rFonts w:ascii="宋体" w:hAnsi="宋体"/>
          <w:b/>
          <w:sz w:val="24"/>
          <w:szCs w:val="24"/>
        </w:rPr>
      </w:pPr>
      <w:r>
        <w:rPr>
          <w:rFonts w:hint="eastAsia" w:ascii="宋体" w:hAnsi="宋体"/>
          <w:b/>
          <w:sz w:val="24"/>
          <w:szCs w:val="24"/>
        </w:rPr>
        <w:t>监理目标：</w:t>
      </w:r>
    </w:p>
    <w:p w14:paraId="1E6DC376">
      <w:pPr>
        <w:tabs>
          <w:tab w:val="left" w:pos="1532"/>
        </w:tabs>
        <w:spacing w:line="440" w:lineRule="exact"/>
        <w:ind w:firstLine="240" w:firstLineChars="100"/>
        <w:rPr>
          <w:rFonts w:ascii="宋体" w:hAnsi="宋体"/>
          <w:sz w:val="24"/>
          <w:szCs w:val="24"/>
        </w:rPr>
      </w:pPr>
      <w:r>
        <w:rPr>
          <w:rFonts w:hint="eastAsia" w:ascii="宋体" w:hAnsi="宋体"/>
          <w:sz w:val="24"/>
          <w:szCs w:val="24"/>
        </w:rPr>
        <w:t>(1)投资控制目标:</w:t>
      </w:r>
      <w:r>
        <w:rPr>
          <w:rFonts w:hint="eastAsia" w:ascii="宋体" w:hAnsi="宋体"/>
          <w:sz w:val="24"/>
          <w:szCs w:val="24"/>
          <w:u w:val="single"/>
        </w:rPr>
        <w:t>原则上不突破施工合同价，如有设计变更、增减工程等必须经区教委书面审批同意（加盖区教委印章）后实施。未经区教委签字盖章（加盖区教委印章</w:t>
      </w:r>
      <w:r>
        <w:rPr>
          <w:rFonts w:hint="eastAsia" w:ascii="宋体" w:hAnsi="宋体"/>
          <w:sz w:val="24"/>
          <w:szCs w:val="24"/>
        </w:rPr>
        <w:t>）的设计项目及增加工程不纳入工程变更及结算，施工方自行承担经济损失。</w:t>
      </w:r>
    </w:p>
    <w:p w14:paraId="26CB7E85">
      <w:pPr>
        <w:tabs>
          <w:tab w:val="left" w:pos="1532"/>
        </w:tabs>
        <w:spacing w:line="440" w:lineRule="exact"/>
        <w:ind w:firstLine="240" w:firstLineChars="100"/>
        <w:rPr>
          <w:rFonts w:ascii="宋体" w:hAnsi="宋体"/>
          <w:sz w:val="24"/>
          <w:szCs w:val="24"/>
        </w:rPr>
      </w:pPr>
      <w:r>
        <w:rPr>
          <w:rFonts w:hint="eastAsia" w:ascii="宋体" w:hAnsi="宋体"/>
          <w:sz w:val="24"/>
          <w:szCs w:val="24"/>
        </w:rPr>
        <w:t>(2)进度控制目标：控制在</w:t>
      </w:r>
      <w:r>
        <w:rPr>
          <w:rFonts w:hint="eastAsia" w:ascii="宋体" w:hAnsi="宋体"/>
          <w:sz w:val="24"/>
          <w:szCs w:val="24"/>
          <w:u w:val="single" w:color="000000"/>
        </w:rPr>
        <w:t>60</w:t>
      </w:r>
      <w:r>
        <w:rPr>
          <w:rFonts w:hint="eastAsia" w:ascii="宋体" w:hAnsi="宋体"/>
          <w:sz w:val="24"/>
          <w:szCs w:val="24"/>
        </w:rPr>
        <w:t>日历天内。</w:t>
      </w:r>
    </w:p>
    <w:p w14:paraId="711AF462">
      <w:pPr>
        <w:tabs>
          <w:tab w:val="left" w:pos="1532"/>
        </w:tabs>
        <w:spacing w:line="440" w:lineRule="exact"/>
        <w:ind w:firstLine="240" w:firstLineChars="100"/>
        <w:rPr>
          <w:rFonts w:ascii="宋体" w:hAnsi="宋体"/>
          <w:sz w:val="24"/>
          <w:szCs w:val="24"/>
        </w:rPr>
      </w:pPr>
      <w:r>
        <w:rPr>
          <w:rFonts w:hint="eastAsia" w:ascii="宋体" w:hAnsi="宋体"/>
          <w:sz w:val="24"/>
          <w:szCs w:val="24"/>
        </w:rPr>
        <w:t>(3)质量控制目标：达到国家地方行业规范和国家有关施工质量验收规范要求，并一次性验收合格。</w:t>
      </w:r>
    </w:p>
    <w:p w14:paraId="7A09898C">
      <w:pPr>
        <w:tabs>
          <w:tab w:val="left" w:pos="1532"/>
        </w:tabs>
        <w:spacing w:line="440" w:lineRule="exact"/>
        <w:ind w:firstLine="240" w:firstLineChars="100"/>
        <w:rPr>
          <w:rFonts w:ascii="宋体" w:hAnsi="宋体"/>
          <w:sz w:val="24"/>
          <w:szCs w:val="24"/>
        </w:rPr>
      </w:pPr>
      <w:r>
        <w:rPr>
          <w:rFonts w:hint="eastAsia" w:ascii="宋体" w:hAnsi="宋体"/>
          <w:sz w:val="24"/>
          <w:szCs w:val="24"/>
        </w:rPr>
        <w:t>(4)安全管理目标：无重大伤亡事故发生。</w:t>
      </w:r>
    </w:p>
    <w:p w14:paraId="182E8D89">
      <w:pPr>
        <w:adjustRightInd w:val="0"/>
        <w:snapToGrid w:val="0"/>
        <w:spacing w:line="440" w:lineRule="exact"/>
        <w:ind w:firstLine="480" w:firstLineChars="200"/>
        <w:rPr>
          <w:rFonts w:ascii="宋体" w:hAnsi="宋体"/>
          <w:sz w:val="24"/>
          <w:szCs w:val="24"/>
        </w:rPr>
      </w:pPr>
      <w:r>
        <w:rPr>
          <w:rFonts w:hint="eastAsia" w:ascii="宋体" w:hAnsi="宋体"/>
          <w:sz w:val="24"/>
          <w:szCs w:val="24"/>
        </w:rPr>
        <w:t>监理范围：按照现行监理规范的要求。</w:t>
      </w:r>
    </w:p>
    <w:p w14:paraId="48AC342D">
      <w:pPr>
        <w:adjustRightInd w:val="0"/>
        <w:snapToGrid w:val="0"/>
        <w:spacing w:line="440" w:lineRule="exact"/>
        <w:ind w:firstLine="482" w:firstLineChars="200"/>
        <w:jc w:val="left"/>
        <w:rPr>
          <w:rFonts w:ascii="宋体" w:hAnsi="宋体"/>
          <w:sz w:val="24"/>
          <w:szCs w:val="24"/>
        </w:rPr>
      </w:pPr>
      <w:r>
        <w:rPr>
          <w:rFonts w:hint="eastAsia" w:ascii="宋体" w:hAnsi="宋体"/>
          <w:b/>
          <w:bCs/>
          <w:sz w:val="24"/>
          <w:szCs w:val="24"/>
        </w:rPr>
        <w:t>监理工作内容</w:t>
      </w:r>
    </w:p>
    <w:p w14:paraId="3BB80537">
      <w:pPr>
        <w:adjustRightInd w:val="0"/>
        <w:snapToGrid w:val="0"/>
        <w:spacing w:line="440" w:lineRule="exact"/>
        <w:ind w:firstLine="480" w:firstLineChars="200"/>
        <w:jc w:val="left"/>
        <w:rPr>
          <w:rFonts w:asciiTheme="minorEastAsia" w:hAnsiTheme="minorEastAsia" w:cstheme="minorEastAsia"/>
          <w:sz w:val="24"/>
        </w:rPr>
      </w:pPr>
      <w:r>
        <w:rPr>
          <w:rFonts w:hint="eastAsia" w:ascii="宋体" w:hAnsi="宋体"/>
          <w:sz w:val="24"/>
          <w:szCs w:val="24"/>
        </w:rPr>
        <w:t>监理人应按委托人批准的监理规划和监理细则开展监理工作（在开工前提前熟悉施工图，并提出书面读图记录）：</w:t>
      </w:r>
    </w:p>
    <w:p w14:paraId="4BAC28AE">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 批准开工报告，审查承包人各项施工准备工作，经委托人批准后，负责向承包人下达开工令。</w:t>
      </w:r>
    </w:p>
    <w:p w14:paraId="0327F60F">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2 .</w:t>
      </w:r>
      <w:r>
        <w:rPr>
          <w:rFonts w:hint="eastAsia" w:asciiTheme="minorEastAsia" w:hAnsiTheme="minorEastAsia" w:cstheme="minorEastAsia"/>
          <w:sz w:val="24"/>
        </w:rPr>
        <w:t>督促承包人施工管理制度和质量保证体系的建立、健全与实施；</w:t>
      </w:r>
    </w:p>
    <w:p w14:paraId="42763E34">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3 .</w:t>
      </w:r>
      <w:r>
        <w:rPr>
          <w:rFonts w:hint="eastAsia" w:asciiTheme="minorEastAsia" w:hAnsiTheme="minorEastAsia" w:cstheme="minorEastAsia"/>
          <w:sz w:val="24"/>
        </w:rPr>
        <w:t>审查承包人提交的施工组织设计、施工技术方案、施工质量保证措施、安全文明施工措施和专项安全技术方案并督促实施；</w:t>
      </w:r>
    </w:p>
    <w:p w14:paraId="0493021D">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4. 编制进度目标控制计划、审查承包商编制的网络进度计划，经委托人批准后组织实施；</w:t>
      </w:r>
    </w:p>
    <w:p w14:paraId="4FE9C7A9">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5 .</w:t>
      </w:r>
      <w:r>
        <w:rPr>
          <w:rFonts w:hint="eastAsia" w:asciiTheme="minorEastAsia" w:hAnsiTheme="minorEastAsia" w:cstheme="minorEastAsia"/>
          <w:sz w:val="24"/>
        </w:rPr>
        <w:t>组织设计交底，图纸会审，审查设计变更；</w:t>
      </w:r>
    </w:p>
    <w:p w14:paraId="13CA2217">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6 .</w:t>
      </w:r>
      <w:r>
        <w:rPr>
          <w:rFonts w:hint="eastAsia" w:asciiTheme="minorEastAsia" w:hAnsiTheme="minorEastAsia" w:cstheme="minorEastAsia"/>
          <w:sz w:val="24"/>
        </w:rPr>
        <w:t>根据施工合同约定，审核承包人提出的分包工程项目及选择分包的单位；</w:t>
      </w:r>
    </w:p>
    <w:p w14:paraId="15253196">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7. 编制投资目标控制计划，审核承包人的已完工程量及月进度报表，监理人签署工程中期付款凭证，经委托人批准后支付；</w:t>
      </w:r>
    </w:p>
    <w:p w14:paraId="48196BE8">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8 .</w:t>
      </w:r>
      <w:r>
        <w:rPr>
          <w:rFonts w:hint="eastAsia" w:asciiTheme="minorEastAsia" w:hAnsiTheme="minorEastAsia" w:cstheme="minorEastAsia"/>
          <w:sz w:val="24"/>
        </w:rPr>
        <w:t>设计变更经设计单位审核、委托人批准后，由监理人发出施工工程变更令；</w:t>
      </w:r>
    </w:p>
    <w:p w14:paraId="4D0656A2">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9 .</w:t>
      </w:r>
      <w:r>
        <w:rPr>
          <w:rFonts w:hint="eastAsia" w:asciiTheme="minorEastAsia" w:hAnsiTheme="minorEastAsia" w:cstheme="minorEastAsia"/>
          <w:sz w:val="24"/>
        </w:rPr>
        <w:t>检查施工现场原材料、构配件的采购、入库、保管、领用等管理制度及其执行情况；审查工程使用的原材料、半成品、成品、构配件和设备的实物质量和资料，并按规定进行检测，对有疑问的必须进行复测；</w:t>
      </w:r>
    </w:p>
    <w:p w14:paraId="3CCF6BA3">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10. 监督承包人严格按国家有关技术规范、标准和设计文件施工；</w:t>
      </w:r>
    </w:p>
    <w:p w14:paraId="2A397A7D">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11 .</w:t>
      </w:r>
      <w:r>
        <w:rPr>
          <w:rFonts w:hint="eastAsia" w:asciiTheme="minorEastAsia" w:hAnsiTheme="minorEastAsia" w:cstheme="minorEastAsia"/>
          <w:sz w:val="24"/>
        </w:rPr>
        <w:t>编制质量目标控制计划，对工程的重要部位督促承包人实施预控措施；</w:t>
      </w:r>
    </w:p>
    <w:p w14:paraId="64105AA4">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12 .</w:t>
      </w:r>
      <w:r>
        <w:rPr>
          <w:rFonts w:hint="eastAsia" w:asciiTheme="minorEastAsia" w:hAnsiTheme="minorEastAsia" w:cstheme="minorEastAsia"/>
          <w:sz w:val="24"/>
        </w:rPr>
        <w:t>与委托人现场代表共同对隐蔽工程进行复验签证，主持工程质量事故的分析及处理；</w:t>
      </w:r>
    </w:p>
    <w:p w14:paraId="0BFF50FA">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13 .</w:t>
      </w:r>
      <w:r>
        <w:rPr>
          <w:rFonts w:hint="eastAsia" w:asciiTheme="minorEastAsia" w:hAnsiTheme="minorEastAsia" w:cstheme="minorEastAsia"/>
          <w:sz w:val="24"/>
        </w:rPr>
        <w:t>对工程承发包合同实施管理，处理合同纠纷和索赔事宜；</w:t>
      </w:r>
    </w:p>
    <w:p w14:paraId="623C0FA8">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14 .</w:t>
      </w:r>
      <w:r>
        <w:rPr>
          <w:rFonts w:hint="eastAsia" w:asciiTheme="minorEastAsia" w:hAnsiTheme="minorEastAsia" w:cstheme="minorEastAsia"/>
          <w:sz w:val="24"/>
        </w:rPr>
        <w:t>督促检查安全生产，文明施工；</w:t>
      </w:r>
    </w:p>
    <w:p w14:paraId="141A3FE0">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15 .</w:t>
      </w:r>
      <w:r>
        <w:rPr>
          <w:rFonts w:hint="eastAsia" w:asciiTheme="minorEastAsia" w:hAnsiTheme="minorEastAsia" w:cstheme="minorEastAsia"/>
          <w:sz w:val="24"/>
        </w:rPr>
        <w:t>编制监理工作日志、月报、监理工作总结、监理专题会议纪要等监理过程文件，报委托人和有关主管部门；</w:t>
      </w:r>
    </w:p>
    <w:p w14:paraId="02E27500">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16 .</w:t>
      </w:r>
      <w:r>
        <w:rPr>
          <w:rFonts w:hint="eastAsia" w:asciiTheme="minorEastAsia" w:hAnsiTheme="minorEastAsia" w:cstheme="minorEastAsia"/>
          <w:sz w:val="24"/>
        </w:rPr>
        <w:t>督促承包人按合同规定及要求整理施工技术档案资料；认真审核竣工图纸和其他技术文件资料；</w:t>
      </w:r>
    </w:p>
    <w:p w14:paraId="362AB27A">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17.</w:t>
      </w:r>
      <w:r>
        <w:rPr>
          <w:rFonts w:hint="eastAsia" w:asciiTheme="minorEastAsia" w:hAnsiTheme="minorEastAsia" w:cstheme="minorEastAsia"/>
          <w:sz w:val="24"/>
        </w:rPr>
        <w:t>组织对工程初验，参与工程竣工验收；</w:t>
      </w:r>
    </w:p>
    <w:p w14:paraId="243082CE">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18.</w:t>
      </w:r>
      <w:r>
        <w:rPr>
          <w:rFonts w:hint="eastAsia" w:asciiTheme="minorEastAsia" w:hAnsiTheme="minorEastAsia" w:cstheme="minorEastAsia"/>
          <w:sz w:val="24"/>
        </w:rPr>
        <w:t>工程完工交验合格后，经委托人批准，向承包人签发交工验收证书和工程缺陷责任终止证书；</w:t>
      </w:r>
    </w:p>
    <w:p w14:paraId="26B528CD">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19.</w:t>
      </w:r>
      <w:r>
        <w:rPr>
          <w:rFonts w:hint="eastAsia" w:asciiTheme="minorEastAsia" w:hAnsiTheme="minorEastAsia" w:cstheme="minorEastAsia"/>
          <w:sz w:val="24"/>
        </w:rPr>
        <w:t>审查承包人的最终付款申请，经委托人批准后，向承包人签发最终支付证书；</w:t>
      </w:r>
    </w:p>
    <w:p w14:paraId="095D1ACB">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20.</w:t>
      </w:r>
      <w:r>
        <w:rPr>
          <w:rFonts w:hint="eastAsia" w:asciiTheme="minorEastAsia" w:hAnsiTheme="minorEastAsia" w:cstheme="minorEastAsia"/>
          <w:sz w:val="24"/>
        </w:rPr>
        <w:t>严格按照《建筑工程安全施工管理条例》、《安全生产法》和《关于落实建设工程安全生产监理责任的若干意见》（建市</w:t>
      </w:r>
      <w:r>
        <w:rPr>
          <w:rFonts w:asciiTheme="minorEastAsia" w:hAnsiTheme="minorEastAsia" w:cstheme="minorEastAsia"/>
          <w:sz w:val="24"/>
        </w:rPr>
        <w:t>[2006]248号）等国家、地方颁布的安全法律、法规开展安全监理工作，认真履行监理的安全责任</w:t>
      </w:r>
      <w:r>
        <w:rPr>
          <w:rFonts w:hint="eastAsia" w:asciiTheme="minorEastAsia" w:hAnsiTheme="minorEastAsia" w:cstheme="minorEastAsia"/>
          <w:sz w:val="24"/>
        </w:rPr>
        <w:t>；</w:t>
      </w:r>
    </w:p>
    <w:p w14:paraId="6F2C3529">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21.</w:t>
      </w:r>
      <w:r>
        <w:rPr>
          <w:rFonts w:hint="eastAsia" w:asciiTheme="minorEastAsia" w:hAnsiTheme="minorEastAsia" w:cstheme="minorEastAsia"/>
          <w:sz w:val="24"/>
        </w:rPr>
        <w:t>按照施工</w:t>
      </w:r>
      <w:r>
        <w:rPr>
          <w:rFonts w:asciiTheme="minorEastAsia" w:hAnsiTheme="minorEastAsia" w:cstheme="minorEastAsia"/>
          <w:sz w:val="24"/>
        </w:rPr>
        <w:t>合同约定</w:t>
      </w:r>
      <w:r>
        <w:rPr>
          <w:rFonts w:hint="eastAsia" w:asciiTheme="minorEastAsia" w:hAnsiTheme="minorEastAsia" w:cstheme="minorEastAsia"/>
          <w:sz w:val="24"/>
        </w:rPr>
        <w:t>审核月进度报表，并在施工单位报价后</w:t>
      </w:r>
      <w:r>
        <w:rPr>
          <w:rFonts w:asciiTheme="minorEastAsia" w:hAnsiTheme="minorEastAsia" w:cstheme="minorEastAsia"/>
          <w:sz w:val="24"/>
        </w:rPr>
        <w:t>3天内复核完毕送委托人</w:t>
      </w:r>
      <w:r>
        <w:rPr>
          <w:rFonts w:hint="eastAsia" w:asciiTheme="minorEastAsia" w:hAnsiTheme="minorEastAsia" w:cstheme="minorEastAsia"/>
          <w:sz w:val="24"/>
        </w:rPr>
        <w:t>；</w:t>
      </w:r>
    </w:p>
    <w:p w14:paraId="2A73FF85">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22.</w:t>
      </w:r>
      <w:r>
        <w:rPr>
          <w:rFonts w:hint="eastAsia" w:asciiTheme="minorEastAsia" w:hAnsiTheme="minorEastAsia" w:cstheme="minorEastAsia"/>
          <w:sz w:val="24"/>
        </w:rPr>
        <w:t>监理工作内容还包括：</w:t>
      </w:r>
    </w:p>
    <w:p w14:paraId="5E14E86A">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施工阶段的“四控两管一协调”，即：投资控制、质量控制、进度控制、安全控制、合同管理、信息管理和现场组织协调。</w:t>
      </w:r>
    </w:p>
    <w:p w14:paraId="1FDC5592">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1）</w:t>
      </w:r>
      <w:r>
        <w:rPr>
          <w:rFonts w:hint="eastAsia" w:asciiTheme="minorEastAsia" w:hAnsiTheme="minorEastAsia" w:cstheme="minorEastAsia"/>
          <w:b/>
          <w:bCs/>
          <w:sz w:val="24"/>
        </w:rPr>
        <w:t>工程质量监理</w:t>
      </w:r>
    </w:p>
    <w:p w14:paraId="44BF77D3">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1.1参与设计技术交底，进行现场校验并验收承包人施工放样，审查承包人提交的复测成果；</w:t>
      </w:r>
    </w:p>
    <w:p w14:paraId="39F4278D">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1.2监理和检查承包人建立健全质量保证体系和安全保证体系；</w:t>
      </w:r>
    </w:p>
    <w:p w14:paraId="09E6B084">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1.3在开工前和施工过程中，检查用于工程的材料、设备、成品、半成品，对于不符合合同要求的，有权拒绝使用；</w:t>
      </w:r>
    </w:p>
    <w:p w14:paraId="28D583DD">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1.4</w:t>
      </w:r>
      <w:r>
        <w:rPr>
          <w:rFonts w:hint="eastAsia" w:asciiTheme="minorEastAsia" w:hAnsiTheme="minorEastAsia" w:cstheme="minorEastAsia"/>
          <w:sz w:val="24"/>
        </w:rPr>
        <w:t>受委托人授权签发各项工程的开工通知单，批准分项工程和单项工程开工报告等。承包人整改合格后，签发复工令</w:t>
      </w:r>
      <w:r>
        <w:rPr>
          <w:rFonts w:asciiTheme="minorEastAsia" w:hAnsiTheme="minorEastAsia" w:cstheme="minorEastAsia"/>
          <w:sz w:val="24"/>
        </w:rPr>
        <w:t>[停（复）工</w:t>
      </w:r>
      <w:r>
        <w:rPr>
          <w:rFonts w:hint="eastAsia" w:asciiTheme="minorEastAsia" w:hAnsiTheme="minorEastAsia" w:cstheme="minorEastAsia"/>
          <w:sz w:val="24"/>
        </w:rPr>
        <w:t>]</w:t>
      </w:r>
      <w:r>
        <w:rPr>
          <w:rFonts w:asciiTheme="minorEastAsia" w:hAnsiTheme="minorEastAsia" w:cstheme="minorEastAsia"/>
          <w:sz w:val="24"/>
        </w:rPr>
        <w:t>须经委托人审核同意后才能执行；</w:t>
      </w:r>
    </w:p>
    <w:p w14:paraId="16E2773D">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1.5对承包人的检验、测试工作进行全面监理，有权利用承包人或自备的测试仪器设备，对工程质量进行检验，凭数据对工程质量进行监理；</w:t>
      </w:r>
    </w:p>
    <w:p w14:paraId="01871BBB">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1.6按程序旁站，对每道工序、每个部位进行质量检查和现场监督，对重要工程跟班检查，对质量符合施工合同规定的部分予以签认，对不符合要求的工程，有权要求承包人返工或采取其他补救措施，以达到合同规定的技术要求；</w:t>
      </w:r>
    </w:p>
    <w:p w14:paraId="31B46A96">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1.7审批承包人拟订的工程施工方案及主要施工工艺，检查施工方法，审查试验方案和工艺，审批特殊技术处理措施和特殊施工工艺，涉及增加工程费用的方案，需征得委托人</w:t>
      </w:r>
      <w:r>
        <w:rPr>
          <w:rFonts w:hint="eastAsia" w:asciiTheme="minorEastAsia" w:hAnsiTheme="minorEastAsia" w:cstheme="minorEastAsia"/>
          <w:sz w:val="24"/>
        </w:rPr>
        <w:t>和区教委</w:t>
      </w:r>
      <w:r>
        <w:rPr>
          <w:rFonts w:asciiTheme="minorEastAsia" w:hAnsiTheme="minorEastAsia" w:cstheme="minorEastAsia"/>
          <w:sz w:val="24"/>
        </w:rPr>
        <w:t>书面同意；</w:t>
      </w:r>
    </w:p>
    <w:p w14:paraId="62A41ACF">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1.8审核竣工的部分永久工程或竣工的全部工程的交工验收申请报告，向委托人转报并提交相关报告，</w:t>
      </w:r>
      <w:r>
        <w:rPr>
          <w:rFonts w:hint="eastAsia" w:asciiTheme="minorEastAsia" w:hAnsiTheme="minorEastAsia" w:cstheme="minorEastAsia"/>
          <w:sz w:val="24"/>
        </w:rPr>
        <w:t>经委托人批准签发中间交工证书，交工证书及缺陷责任终止证书，参加委托人或其上级主管部门主持的交、竣工验收工作，配合委托人的工程接收工作；</w:t>
      </w:r>
    </w:p>
    <w:p w14:paraId="6C42BAA7">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1.9调查、处理工程质量缺陷责任和事故，与设计单位、承包人一起提出改进措施和方法，出现重大质量和安全事故时，督促承包人采取有关措施以避免损失或破坏进一步扩大并督促承包人按规定上报有关部门；</w:t>
      </w:r>
    </w:p>
    <w:p w14:paraId="6EDE240B">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1.10督促承包人认真执行缺陷责任期的工作计划，检查和验收剩余工程，对已交工工程中出现的缺陷，病害调查其原因并确定相应责任。</w:t>
      </w:r>
    </w:p>
    <w:p w14:paraId="38ACE63A">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2）</w:t>
      </w:r>
      <w:r>
        <w:rPr>
          <w:rFonts w:hint="eastAsia" w:asciiTheme="minorEastAsia" w:hAnsiTheme="minorEastAsia" w:cstheme="minorEastAsia"/>
          <w:b/>
          <w:bCs/>
          <w:sz w:val="24"/>
        </w:rPr>
        <w:t>工程进度监理</w:t>
      </w:r>
    </w:p>
    <w:p w14:paraId="4D338010">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2.1编制本项目总控制网络计划，根据总控制进度计划，审批承包人在开工之前提交的分标段的施工进度控制计划、现金流动计划和总说明以及在施工阶段提交的各种详细计划和变更计划；</w:t>
      </w:r>
    </w:p>
    <w:p w14:paraId="2887A0B0">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2.2审批承包人根据总体施工进度计划编制的年度计划；</w:t>
      </w:r>
    </w:p>
    <w:p w14:paraId="540FCE53">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2.3在施工过程中检查和督促计划的实施。当工程未能按计划进行时，应要求承包人调整或修改计划，并通知承包人采取必要的措施加快施工进度，以使实际施工进度符合施工合同要求；</w:t>
      </w:r>
    </w:p>
    <w:p w14:paraId="1219B289">
      <w:pPr>
        <w:spacing w:line="360" w:lineRule="auto"/>
        <w:ind w:firstLine="480"/>
        <w:rPr>
          <w:rFonts w:asciiTheme="minorEastAsia" w:hAnsiTheme="minorEastAsia" w:cstheme="minorEastAsia"/>
          <w:sz w:val="24"/>
        </w:rPr>
      </w:pPr>
      <w:r>
        <w:rPr>
          <w:rFonts w:asciiTheme="minorEastAsia" w:hAnsiTheme="minorEastAsia" w:cstheme="minorEastAsia"/>
          <w:sz w:val="24"/>
        </w:rPr>
        <w:t>2.4定期向委托人报告工程进度情况。当施工进度可能导致合同工期严重延误时，有责任提出解除执行施工合同的详细报告，供委托人采取措施做出相应的决定；</w:t>
      </w:r>
    </w:p>
    <w:p w14:paraId="6042E7A3">
      <w:pPr>
        <w:spacing w:line="360" w:lineRule="auto"/>
        <w:ind w:firstLine="48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3）</w:t>
      </w:r>
      <w:r>
        <w:rPr>
          <w:rFonts w:hint="eastAsia" w:asciiTheme="minorEastAsia" w:hAnsiTheme="minorEastAsia" w:cstheme="minorEastAsia"/>
          <w:b/>
          <w:bCs/>
          <w:sz w:val="24"/>
        </w:rPr>
        <w:t>工程费用监理</w:t>
      </w:r>
    </w:p>
    <w:p w14:paraId="7E282127">
      <w:pPr>
        <w:spacing w:line="360" w:lineRule="auto"/>
        <w:ind w:firstLine="480"/>
        <w:rPr>
          <w:rFonts w:asciiTheme="minorEastAsia" w:hAnsiTheme="minorEastAsia" w:cstheme="minorEastAsia"/>
          <w:sz w:val="24"/>
        </w:rPr>
      </w:pPr>
      <w:r>
        <w:rPr>
          <w:rFonts w:asciiTheme="minorEastAsia" w:hAnsiTheme="minorEastAsia" w:cstheme="minorEastAsia"/>
          <w:sz w:val="24"/>
        </w:rPr>
        <w:t>3.1签发工程款支付证书；</w:t>
      </w:r>
    </w:p>
    <w:p w14:paraId="67713004">
      <w:pPr>
        <w:tabs>
          <w:tab w:val="left" w:pos="377"/>
        </w:tabs>
        <w:spacing w:line="360" w:lineRule="auto"/>
        <w:ind w:firstLine="480"/>
        <w:rPr>
          <w:rFonts w:asciiTheme="minorEastAsia" w:hAnsiTheme="minorEastAsia" w:cstheme="minorEastAsia"/>
          <w:sz w:val="24"/>
        </w:rPr>
      </w:pPr>
      <w:r>
        <w:rPr>
          <w:rFonts w:asciiTheme="minorEastAsia" w:hAnsiTheme="minorEastAsia" w:cstheme="minorEastAsia"/>
          <w:sz w:val="24"/>
        </w:rPr>
        <w:t>3.2按施工合同的规定，现场计量核实合同工程量中任何已完工程的数量和价值；</w:t>
      </w:r>
    </w:p>
    <w:p w14:paraId="6BE244F8">
      <w:pPr>
        <w:spacing w:line="360" w:lineRule="auto"/>
        <w:ind w:firstLine="480"/>
        <w:rPr>
          <w:rFonts w:asciiTheme="minorEastAsia" w:hAnsiTheme="minorEastAsia" w:cstheme="minorEastAsia"/>
          <w:sz w:val="24"/>
        </w:rPr>
      </w:pPr>
      <w:r>
        <w:rPr>
          <w:rFonts w:asciiTheme="minorEastAsia" w:hAnsiTheme="minorEastAsia" w:cstheme="minorEastAsia"/>
          <w:sz w:val="24"/>
        </w:rPr>
        <w:t>3.3按合同规定审查、签发中期支付证书及合同终止后任何款项的支付证书。对不符合技术规范和合同文件要求的工程项目和施工活动，有权暂拒支付，直到上述项目和施工活动达到合同要求。</w:t>
      </w:r>
    </w:p>
    <w:p w14:paraId="7B6EBF06">
      <w:pPr>
        <w:pStyle w:val="5"/>
        <w:spacing w:line="360" w:lineRule="auto"/>
        <w:ind w:firstLine="480"/>
        <w:rPr>
          <w:rFonts w:asciiTheme="minorEastAsia" w:hAnsiTheme="minorEastAsia" w:cstheme="minorEastAsia"/>
          <w:sz w:val="24"/>
        </w:rPr>
      </w:pPr>
      <w:r>
        <w:rPr>
          <w:rFonts w:asciiTheme="minorEastAsia" w:hAnsiTheme="minorEastAsia" w:cstheme="minorEastAsia"/>
          <w:sz w:val="24"/>
        </w:rPr>
        <w:t>3.4负责对施工过程需核价的设施设备进行市场询价，并向委托人核价提出合理化建议。</w:t>
      </w:r>
    </w:p>
    <w:p w14:paraId="44EC06DF">
      <w:pPr>
        <w:pStyle w:val="5"/>
        <w:spacing w:line="360" w:lineRule="auto"/>
        <w:ind w:firstLine="480"/>
        <w:rPr>
          <w:rFonts w:asciiTheme="minorEastAsia" w:hAnsiTheme="minorEastAsia" w:cstheme="minorEastAsia"/>
          <w:sz w:val="24"/>
        </w:rPr>
      </w:pPr>
      <w:r>
        <w:rPr>
          <w:rFonts w:asciiTheme="minorEastAsia" w:hAnsiTheme="minorEastAsia" w:cstheme="minorEastAsia"/>
          <w:sz w:val="24"/>
        </w:rPr>
        <w:t>3.5</w:t>
      </w:r>
      <w:r>
        <w:rPr>
          <w:rFonts w:hint="eastAsia" w:asciiTheme="minorEastAsia" w:hAnsiTheme="minorEastAsia" w:cstheme="minorEastAsia"/>
          <w:sz w:val="24"/>
        </w:rPr>
        <w:t>负责对施工过程所发生的变更涉及的造价变更进行审核。</w:t>
      </w:r>
    </w:p>
    <w:p w14:paraId="180D971D">
      <w:pPr>
        <w:spacing w:line="360" w:lineRule="auto"/>
        <w:ind w:firstLine="48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4）</w:t>
      </w:r>
      <w:r>
        <w:rPr>
          <w:rFonts w:hint="eastAsia" w:asciiTheme="minorEastAsia" w:hAnsiTheme="minorEastAsia" w:cstheme="minorEastAsia"/>
          <w:b/>
          <w:bCs/>
          <w:sz w:val="24"/>
        </w:rPr>
        <w:t>合同管理</w:t>
      </w:r>
    </w:p>
    <w:p w14:paraId="10447EDD">
      <w:pPr>
        <w:spacing w:line="360" w:lineRule="auto"/>
        <w:ind w:firstLine="480"/>
        <w:rPr>
          <w:rFonts w:asciiTheme="minorEastAsia" w:hAnsiTheme="minorEastAsia" w:cstheme="minorEastAsia"/>
          <w:sz w:val="24"/>
        </w:rPr>
      </w:pPr>
      <w:r>
        <w:rPr>
          <w:rFonts w:asciiTheme="minorEastAsia" w:hAnsiTheme="minorEastAsia" w:cstheme="minorEastAsia"/>
          <w:sz w:val="24"/>
        </w:rPr>
        <w:t>4.1参与施工单位的合同洽商，对工程施工合同提出建议。主持开工前的第一次工地例会和施工阶段的常规工地会议，并签发会议纪要；有权参加承包人为实施合同组织的有关会议，协调工地各承包人的有关联席会议；</w:t>
      </w:r>
    </w:p>
    <w:p w14:paraId="1E0F10F1">
      <w:pPr>
        <w:spacing w:line="360" w:lineRule="auto"/>
        <w:ind w:firstLine="480"/>
        <w:rPr>
          <w:rFonts w:asciiTheme="minorEastAsia" w:hAnsiTheme="minorEastAsia" w:cstheme="minorEastAsia"/>
          <w:sz w:val="24"/>
        </w:rPr>
      </w:pPr>
      <w:r>
        <w:rPr>
          <w:rFonts w:asciiTheme="minorEastAsia" w:hAnsiTheme="minorEastAsia" w:cstheme="minorEastAsia"/>
          <w:sz w:val="24"/>
        </w:rPr>
        <w:t>4.2按施工合同规定的变更范围，在征得委托人书面同意后，对工程或其任何部分的型式、质量、数量及任何工程施工程序做出变更的决定；</w:t>
      </w:r>
    </w:p>
    <w:p w14:paraId="23F68737">
      <w:pPr>
        <w:spacing w:line="360" w:lineRule="auto"/>
        <w:ind w:firstLine="480"/>
        <w:rPr>
          <w:rFonts w:asciiTheme="minorEastAsia" w:hAnsiTheme="minorEastAsia" w:cstheme="minorEastAsia"/>
          <w:sz w:val="24"/>
        </w:rPr>
      </w:pPr>
      <w:r>
        <w:rPr>
          <w:rFonts w:asciiTheme="minorEastAsia" w:hAnsiTheme="minorEastAsia" w:cstheme="minorEastAsia"/>
          <w:sz w:val="24"/>
        </w:rPr>
        <w:t>4.3对承包人提出的竣工期的延长，应就其中申述的理由，查清全部情况，在征得委托人书面同意后，根据合同规定程序审定延长工期；</w:t>
      </w:r>
    </w:p>
    <w:p w14:paraId="362F1CC3">
      <w:pPr>
        <w:spacing w:line="360" w:lineRule="auto"/>
        <w:ind w:firstLine="480"/>
        <w:rPr>
          <w:rFonts w:asciiTheme="minorEastAsia" w:hAnsiTheme="minorEastAsia" w:cstheme="minorEastAsia"/>
          <w:sz w:val="24"/>
        </w:rPr>
      </w:pPr>
      <w:r>
        <w:rPr>
          <w:rFonts w:asciiTheme="minorEastAsia" w:hAnsiTheme="minorEastAsia" w:cstheme="minorEastAsia"/>
          <w:sz w:val="24"/>
        </w:rPr>
        <w:t>4.4审核承包人授权的长驻现场代理的资质，以及其他派驻到现场的主要技术、管理人员资质；监督承包人进入本工程的主要技术、管理人员的构成、数量与合同所列名单是否相符，对不称职的主要技术、管理人员经委托人同意后，监理工程师有权提出更换要求；</w:t>
      </w:r>
    </w:p>
    <w:p w14:paraId="7BD3B637">
      <w:pPr>
        <w:spacing w:line="360" w:lineRule="auto"/>
        <w:ind w:firstLine="480"/>
        <w:rPr>
          <w:rFonts w:asciiTheme="minorEastAsia" w:hAnsiTheme="minorEastAsia" w:cstheme="minorEastAsia"/>
          <w:sz w:val="24"/>
        </w:rPr>
      </w:pPr>
      <w:r>
        <w:rPr>
          <w:rFonts w:asciiTheme="minorEastAsia" w:hAnsiTheme="minorEastAsia" w:cstheme="minorEastAsia"/>
          <w:sz w:val="24"/>
        </w:rPr>
        <w:t>4.5对承包人进场的主要施工机械设备的数量、规格、性能按合同要求进行监督、检查。由于施工机构设备的原因影响工期、质量的，监理工程师有权提出更换或停止支付费用；</w:t>
      </w:r>
    </w:p>
    <w:p w14:paraId="06EB9C65">
      <w:pPr>
        <w:spacing w:line="360" w:lineRule="auto"/>
        <w:ind w:firstLine="480"/>
        <w:rPr>
          <w:rFonts w:asciiTheme="minorEastAsia" w:hAnsiTheme="minorEastAsia" w:cstheme="minorEastAsia"/>
          <w:sz w:val="24"/>
        </w:rPr>
      </w:pPr>
      <w:r>
        <w:rPr>
          <w:rFonts w:asciiTheme="minorEastAsia" w:hAnsiTheme="minorEastAsia" w:cstheme="minorEastAsia"/>
          <w:sz w:val="24"/>
        </w:rPr>
        <w:t>4.6验收承包人的工地试验室，督促承包人到项目所在地质量监督站办理试验室临时资质；审核试验室人员资质。</w:t>
      </w:r>
    </w:p>
    <w:p w14:paraId="7B75F168">
      <w:pPr>
        <w:spacing w:line="360" w:lineRule="auto"/>
        <w:ind w:firstLine="480"/>
        <w:rPr>
          <w:rFonts w:ascii="宋体" w:hAnsi="宋体"/>
          <w:sz w:val="24"/>
          <w:szCs w:val="24"/>
        </w:rPr>
      </w:pPr>
      <w:r>
        <w:rPr>
          <w:rFonts w:asciiTheme="minorEastAsia" w:hAnsiTheme="minorEastAsia" w:cstheme="minorEastAsia"/>
          <w:sz w:val="24"/>
        </w:rPr>
        <w:t>4.7督促、检查承包人按工程管理部门和委托人的要求编制竣工文件并完善签字手续。</w:t>
      </w:r>
    </w:p>
    <w:p w14:paraId="72F71A7C">
      <w:pPr>
        <w:numPr>
          <w:ilvl w:val="0"/>
          <w:numId w:val="2"/>
        </w:numPr>
        <w:tabs>
          <w:tab w:val="left" w:pos="720"/>
          <w:tab w:val="left" w:pos="1287"/>
        </w:tabs>
        <w:adjustRightInd w:val="0"/>
        <w:snapToGrid w:val="0"/>
        <w:spacing w:line="440" w:lineRule="exact"/>
        <w:ind w:left="-4" w:leftChars="-2" w:firstLine="431" w:firstLineChars="179"/>
        <w:jc w:val="left"/>
        <w:rPr>
          <w:rFonts w:ascii="宋体" w:hAnsi="宋体"/>
          <w:sz w:val="24"/>
          <w:szCs w:val="24"/>
        </w:rPr>
      </w:pPr>
      <w:r>
        <w:rPr>
          <w:rFonts w:hint="eastAsia" w:ascii="宋体" w:hAnsi="宋体"/>
          <w:b/>
          <w:bCs/>
          <w:sz w:val="24"/>
          <w:szCs w:val="24"/>
        </w:rPr>
        <w:t>监理服务期</w:t>
      </w:r>
      <w:r>
        <w:rPr>
          <w:rFonts w:hint="eastAsia" w:ascii="宋体" w:hAnsi="宋体"/>
          <w:sz w:val="24"/>
          <w:szCs w:val="24"/>
        </w:rPr>
        <w:t>：</w:t>
      </w:r>
      <w:r>
        <w:rPr>
          <w:rFonts w:hint="eastAsia" w:ascii="宋体" w:hAnsi="宋体"/>
          <w:sz w:val="24"/>
          <w:szCs w:val="24"/>
          <w:lang w:val="zh-CN"/>
        </w:rPr>
        <w:t>以委托人的书面进场通知为监理服务期的起始时间，以项目验收合格且监理资料交接完成为监理服务期的完成时间。</w:t>
      </w:r>
    </w:p>
    <w:p w14:paraId="36462A97">
      <w:pPr>
        <w:spacing w:line="360" w:lineRule="auto"/>
        <w:rPr>
          <w:rFonts w:asciiTheme="minorEastAsia" w:hAnsiTheme="minorEastAsia" w:cstheme="minorEastAsia"/>
          <w:b/>
          <w:kern w:val="0"/>
          <w:sz w:val="24"/>
        </w:rPr>
      </w:pPr>
      <w:r>
        <w:rPr>
          <w:rFonts w:hint="eastAsia" w:asciiTheme="minorEastAsia" w:hAnsiTheme="minorEastAsia" w:cstheme="minorEastAsia"/>
          <w:sz w:val="24"/>
        </w:rPr>
        <w:t xml:space="preserve">   第六条 </w:t>
      </w:r>
      <w:r>
        <w:rPr>
          <w:rFonts w:hint="eastAsia" w:asciiTheme="minorEastAsia" w:hAnsiTheme="minorEastAsia" w:cstheme="minorEastAsia"/>
          <w:b/>
          <w:kern w:val="0"/>
          <w:sz w:val="24"/>
        </w:rPr>
        <w:t>项目监理机构和人员</w:t>
      </w:r>
    </w:p>
    <w:p w14:paraId="5F216CCE">
      <w:pPr>
        <w:adjustRightInd w:val="0"/>
        <w:snapToGrid w:val="0"/>
        <w:spacing w:line="360" w:lineRule="auto"/>
        <w:ind w:firstLine="482" w:firstLineChars="200"/>
        <w:rPr>
          <w:rFonts w:asciiTheme="minorEastAsia" w:hAnsiTheme="minorEastAsia" w:cstheme="minorEastAsia"/>
          <w:sz w:val="24"/>
        </w:rPr>
      </w:pPr>
      <w:r>
        <w:rPr>
          <w:rFonts w:asciiTheme="minorEastAsia" w:hAnsiTheme="minorEastAsia" w:cstheme="minorEastAsia"/>
          <w:b/>
          <w:kern w:val="0"/>
          <w:sz w:val="24"/>
        </w:rPr>
        <w:t>1.</w:t>
      </w:r>
      <w:r>
        <w:rPr>
          <w:rFonts w:hint="eastAsia" w:asciiTheme="minorEastAsia" w:hAnsiTheme="minorEastAsia" w:cstheme="minorEastAsia"/>
          <w:sz w:val="24"/>
        </w:rPr>
        <w:t>监理单位派驻现场的项目组织机构监理人员必须与投标时派驻该项目组织机构监理人员一致且到岗到位，否则，委托人可以处以合同金额</w:t>
      </w:r>
      <w:r>
        <w:rPr>
          <w:rFonts w:asciiTheme="minorEastAsia" w:hAnsiTheme="minorEastAsia" w:cstheme="minorEastAsia"/>
          <w:sz w:val="24"/>
        </w:rPr>
        <w:t>30%的违约金或终止监理合同；监理单位派驻现场的</w:t>
      </w:r>
      <w:r>
        <w:rPr>
          <w:rFonts w:hint="eastAsia" w:asciiTheme="minorEastAsia" w:hAnsiTheme="minorEastAsia" w:cstheme="minorEastAsia"/>
          <w:sz w:val="24"/>
        </w:rPr>
        <w:t>监理人员如需要调换，必须经过委托人同意方可调换，如未经委托人同意随意更换的，委托人可以处以合同金额</w:t>
      </w:r>
      <w:r>
        <w:rPr>
          <w:rFonts w:asciiTheme="minorEastAsia" w:hAnsiTheme="minorEastAsia" w:cstheme="minorEastAsia"/>
          <w:sz w:val="24"/>
        </w:rPr>
        <w:t>30%的违约金或终止监理合同。派驻现场项目的监理人员若不称职或委托人对其工作不满意时，监理人必须无条件按委托人意见更换相应监理人员（</w:t>
      </w:r>
      <w:r>
        <w:rPr>
          <w:rFonts w:hint="eastAsia" w:asciiTheme="minorEastAsia" w:hAnsiTheme="minorEastAsia" w:cstheme="minorEastAsia"/>
          <w:sz w:val="24"/>
        </w:rPr>
        <w:t>新到岗人员必须满足招标文件拟定的相应岗位资质要求）且不得影响其正常的监理工作。</w:t>
      </w:r>
    </w:p>
    <w:p w14:paraId="64D3C6ED">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w:t>
      </w:r>
      <w:r>
        <w:rPr>
          <w:rFonts w:hint="eastAsia" w:asciiTheme="minorEastAsia" w:hAnsiTheme="minorEastAsia" w:cstheme="minorEastAsia"/>
          <w:sz w:val="24"/>
        </w:rPr>
        <w:t>.投标时派驻现场的总监理工程师及总监理工程师代表未经委托人同意不允许调换，特殊情况需要更换人员的，必须经项目学校同意后方可更换，更换的人员必须与报名时人员资格相同或高于该资格，更换后每人每次罚款5000元。总监理工程师如有同时在一个以上工程项目任职的，须确保能在1小时内到达本项目施工现场。</w:t>
      </w:r>
    </w:p>
    <w:p w14:paraId="4E731280">
      <w:pPr>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4派驻现场的监理人员必须出具公司与本人所签订的劳动合同（尤其是监理人员组织安排部分）、本人从业资格证书（必须与监理业务所需专项资质相符），否则，委托人可以单方面终止合同，监理人还应承担由此而造成的委托人相关损失的法律及经济责任。</w:t>
      </w:r>
    </w:p>
    <w:p w14:paraId="5E4AC94C">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5</w:t>
      </w:r>
      <w:r>
        <w:rPr>
          <w:rFonts w:asciiTheme="minorEastAsia" w:hAnsiTheme="minorEastAsia" w:cstheme="minorEastAsia"/>
          <w:sz w:val="24"/>
        </w:rPr>
        <w:t>.</w:t>
      </w:r>
      <w:r>
        <w:rPr>
          <w:rFonts w:hint="eastAsia" w:asciiTheme="minorEastAsia" w:hAnsiTheme="minorEastAsia" w:cstheme="minorEastAsia"/>
          <w:sz w:val="24"/>
        </w:rPr>
        <w:t>更换监理人员的其他情形：</w:t>
      </w:r>
    </w:p>
    <w:p w14:paraId="12FC141A">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1</w:t>
      </w:r>
      <w:r>
        <w:rPr>
          <w:rFonts w:hint="eastAsia" w:asciiTheme="minorEastAsia" w:hAnsiTheme="minorEastAsia" w:cstheme="minorEastAsia"/>
          <w:sz w:val="24"/>
        </w:rPr>
        <w:t>）当委托人发现监理人员不按监理合同履行监理职责；</w:t>
      </w:r>
    </w:p>
    <w:p w14:paraId="3D7F0637">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2</w:t>
      </w:r>
      <w:r>
        <w:rPr>
          <w:rFonts w:hint="eastAsia" w:asciiTheme="minorEastAsia" w:hAnsiTheme="minorEastAsia" w:cstheme="minorEastAsia"/>
          <w:sz w:val="24"/>
        </w:rPr>
        <w:t>）</w:t>
      </w:r>
      <w:r>
        <w:rPr>
          <w:rFonts w:asciiTheme="minorEastAsia" w:hAnsiTheme="minorEastAsia" w:cstheme="minorEastAsia"/>
          <w:sz w:val="24"/>
        </w:rPr>
        <w:t xml:space="preserve"> 监理人员与承包人串通给委托人或工程造成损失的；</w:t>
      </w:r>
    </w:p>
    <w:p w14:paraId="00B0D9CC">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3</w:t>
      </w:r>
      <w:r>
        <w:rPr>
          <w:rFonts w:hint="eastAsia" w:asciiTheme="minorEastAsia" w:hAnsiTheme="minorEastAsia" w:cstheme="minorEastAsia"/>
          <w:sz w:val="24"/>
        </w:rPr>
        <w:t>）</w:t>
      </w:r>
      <w:r>
        <w:rPr>
          <w:rFonts w:asciiTheme="minorEastAsia" w:hAnsiTheme="minorEastAsia" w:cstheme="minorEastAsia"/>
          <w:sz w:val="24"/>
        </w:rPr>
        <w:t xml:space="preserve"> 监理人员身体原因不能满足工作需要的；</w:t>
      </w:r>
    </w:p>
    <w:p w14:paraId="3A9E2D19">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4</w:t>
      </w:r>
      <w:r>
        <w:rPr>
          <w:rFonts w:hint="eastAsia" w:asciiTheme="minorEastAsia" w:hAnsiTheme="minorEastAsia" w:cstheme="minorEastAsia"/>
          <w:sz w:val="24"/>
        </w:rPr>
        <w:t>）</w:t>
      </w:r>
      <w:r>
        <w:rPr>
          <w:rFonts w:asciiTheme="minorEastAsia" w:hAnsiTheme="minorEastAsia" w:cstheme="minorEastAsia"/>
          <w:sz w:val="24"/>
        </w:rPr>
        <w:t xml:space="preserve"> 监理人员离开工作单位的；</w:t>
      </w:r>
    </w:p>
    <w:p w14:paraId="28DA404E">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5</w:t>
      </w:r>
      <w:r>
        <w:rPr>
          <w:rFonts w:hint="eastAsia" w:asciiTheme="minorEastAsia" w:hAnsiTheme="minorEastAsia" w:cstheme="minorEastAsia"/>
          <w:sz w:val="24"/>
        </w:rPr>
        <w:t>）</w:t>
      </w:r>
      <w:r>
        <w:rPr>
          <w:rFonts w:asciiTheme="minorEastAsia" w:hAnsiTheme="minorEastAsia" w:cstheme="minorEastAsia"/>
          <w:sz w:val="24"/>
        </w:rPr>
        <w:t xml:space="preserve"> 有违法行为不能履行职责的和涉嫌犯罪的；</w:t>
      </w:r>
    </w:p>
    <w:p w14:paraId="4F2D4033">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6</w:t>
      </w:r>
      <w:r>
        <w:rPr>
          <w:rFonts w:hint="eastAsia" w:asciiTheme="minorEastAsia" w:hAnsiTheme="minorEastAsia" w:cstheme="minorEastAsia"/>
          <w:sz w:val="24"/>
        </w:rPr>
        <w:t>）</w:t>
      </w:r>
      <w:r>
        <w:rPr>
          <w:rFonts w:asciiTheme="minorEastAsia" w:hAnsiTheme="minorEastAsia" w:cstheme="minorEastAsia"/>
          <w:sz w:val="24"/>
        </w:rPr>
        <w:t xml:space="preserve"> 严重违反职业道德的。监理人员在管理过程中不称职、不作为或帮他人介绍劳务、工程等谋取利益的行为</w:t>
      </w:r>
      <w:r>
        <w:rPr>
          <w:rFonts w:hint="eastAsia" w:asciiTheme="minorEastAsia" w:hAnsiTheme="minorEastAsia" w:cstheme="minorEastAsia"/>
          <w:sz w:val="24"/>
        </w:rPr>
        <w:t>。</w:t>
      </w:r>
    </w:p>
    <w:p w14:paraId="315476E0">
      <w:pPr>
        <w:adjustRightInd w:val="0"/>
        <w:snapToGrid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bCs/>
          <w:sz w:val="24"/>
        </w:rPr>
        <w:t>6</w:t>
      </w:r>
      <w:r>
        <w:rPr>
          <w:rFonts w:asciiTheme="minorEastAsia" w:hAnsiTheme="minorEastAsia" w:cstheme="minorEastAsia"/>
          <w:b/>
          <w:bCs/>
          <w:sz w:val="24"/>
        </w:rPr>
        <w:t>.监理人的人员配备必须满足本项目招标文件要求</w:t>
      </w:r>
      <w:r>
        <w:rPr>
          <w:rFonts w:hint="eastAsia" w:asciiTheme="minorEastAsia" w:hAnsiTheme="minorEastAsia" w:cstheme="minorEastAsia"/>
          <w:b/>
          <w:bCs/>
          <w:sz w:val="24"/>
        </w:rPr>
        <w:t>及行政主管部门押证、报建要求。</w:t>
      </w:r>
    </w:p>
    <w:p w14:paraId="0A822D4D">
      <w:pPr>
        <w:spacing w:line="360" w:lineRule="auto"/>
        <w:ind w:firstLine="480" w:firstLineChars="200"/>
      </w:pPr>
      <w:r>
        <w:rPr>
          <w:rFonts w:hint="eastAsia" w:asciiTheme="minorEastAsia" w:hAnsiTheme="minorEastAsia" w:cstheme="minorEastAsia"/>
          <w:sz w:val="24"/>
        </w:rPr>
        <w:t>7</w:t>
      </w:r>
      <w:r>
        <w:rPr>
          <w:rFonts w:asciiTheme="minorEastAsia" w:hAnsiTheme="minorEastAsia" w:cstheme="minorEastAsia"/>
          <w:sz w:val="24"/>
        </w:rPr>
        <w:t>.</w:t>
      </w:r>
      <w:r>
        <w:rPr>
          <w:rFonts w:hint="eastAsia" w:asciiTheme="minorEastAsia" w:hAnsiTheme="minorEastAsia" w:cstheme="minorEastAsia"/>
          <w:sz w:val="24"/>
        </w:rPr>
        <w:t>本合同工程完工并验收合格后，监理方可提出解除押证申请。</w:t>
      </w:r>
    </w:p>
    <w:p w14:paraId="6840A480">
      <w:pPr>
        <w:tabs>
          <w:tab w:val="left" w:pos="720"/>
          <w:tab w:val="left" w:pos="1287"/>
        </w:tabs>
        <w:adjustRightInd w:val="0"/>
        <w:snapToGrid w:val="0"/>
        <w:spacing w:line="440" w:lineRule="exact"/>
        <w:ind w:left="-4" w:leftChars="-2" w:firstLine="429" w:firstLineChars="179"/>
        <w:jc w:val="left"/>
        <w:rPr>
          <w:rFonts w:ascii="宋体" w:hAnsi="宋体"/>
          <w:sz w:val="24"/>
          <w:szCs w:val="24"/>
        </w:rPr>
      </w:pPr>
      <w:r>
        <w:rPr>
          <w:rFonts w:hint="eastAsia" w:ascii="宋体" w:hAnsi="宋体"/>
          <w:sz w:val="24"/>
          <w:szCs w:val="24"/>
        </w:rPr>
        <w:t>第九条 外部条件包括：满足工程开工。</w:t>
      </w:r>
    </w:p>
    <w:p w14:paraId="381C4605">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第十条  委托人应提供的工程资料及提供时间：</w:t>
      </w:r>
    </w:p>
    <w:p w14:paraId="6E490A81">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提供工程资料：提供工程资料满足工程管理要求。</w:t>
      </w:r>
    </w:p>
    <w:p w14:paraId="2749FDA2">
      <w:pPr>
        <w:adjustRightInd w:val="0"/>
        <w:snapToGrid w:val="0"/>
        <w:spacing w:line="440" w:lineRule="exact"/>
        <w:ind w:firstLine="480" w:firstLineChars="200"/>
        <w:jc w:val="left"/>
        <w:rPr>
          <w:rFonts w:ascii="宋体" w:hAnsi="宋体"/>
          <w:sz w:val="24"/>
          <w:szCs w:val="24"/>
        </w:rPr>
      </w:pPr>
      <w:r>
        <w:rPr>
          <w:rFonts w:ascii="宋体" w:hAnsi="宋体"/>
          <w:sz w:val="24"/>
          <w:szCs w:val="24"/>
        </w:rPr>
        <w:t>（</w:t>
      </w:r>
      <w:r>
        <w:rPr>
          <w:rFonts w:hint="eastAsia" w:ascii="宋体" w:hAnsi="宋体"/>
          <w:sz w:val="24"/>
          <w:szCs w:val="24"/>
        </w:rPr>
        <w:t>1）设计施工图纸及相关的标准图纸、预算</w:t>
      </w:r>
      <w:r>
        <w:rPr>
          <w:rFonts w:ascii="宋体" w:hAnsi="宋体"/>
          <w:sz w:val="24"/>
          <w:szCs w:val="24"/>
        </w:rPr>
        <w:t>清单位、</w:t>
      </w:r>
      <w:r>
        <w:rPr>
          <w:rFonts w:hint="eastAsia" w:ascii="宋体" w:hAnsi="宋体"/>
          <w:sz w:val="24"/>
          <w:szCs w:val="24"/>
        </w:rPr>
        <w:t>说明；</w:t>
      </w:r>
    </w:p>
    <w:p w14:paraId="1E6EF3E5">
      <w:pPr>
        <w:adjustRightInd w:val="0"/>
        <w:snapToGrid w:val="0"/>
        <w:spacing w:line="440" w:lineRule="exact"/>
        <w:ind w:firstLine="480" w:firstLineChars="200"/>
        <w:jc w:val="left"/>
        <w:rPr>
          <w:rFonts w:ascii="宋体" w:hAnsi="宋体"/>
          <w:sz w:val="24"/>
          <w:szCs w:val="24"/>
        </w:rPr>
      </w:pPr>
      <w:r>
        <w:rPr>
          <w:rFonts w:ascii="宋体" w:hAnsi="宋体"/>
          <w:sz w:val="24"/>
          <w:szCs w:val="24"/>
        </w:rPr>
        <w:t>（</w:t>
      </w:r>
      <w:r>
        <w:rPr>
          <w:rFonts w:hint="eastAsia" w:ascii="宋体" w:hAnsi="宋体"/>
          <w:sz w:val="24"/>
          <w:szCs w:val="24"/>
        </w:rPr>
        <w:t>2）工程立项、</w:t>
      </w:r>
      <w:r>
        <w:rPr>
          <w:rFonts w:ascii="宋体" w:hAnsi="宋体"/>
          <w:sz w:val="24"/>
          <w:szCs w:val="24"/>
        </w:rPr>
        <w:t>概算</w:t>
      </w:r>
      <w:r>
        <w:rPr>
          <w:rFonts w:hint="eastAsia" w:ascii="宋体" w:hAnsi="宋体"/>
          <w:sz w:val="24"/>
          <w:szCs w:val="24"/>
        </w:rPr>
        <w:t>相关资料；</w:t>
      </w:r>
    </w:p>
    <w:p w14:paraId="73F411B8">
      <w:pPr>
        <w:adjustRightInd w:val="0"/>
        <w:snapToGrid w:val="0"/>
        <w:spacing w:line="440" w:lineRule="exact"/>
        <w:ind w:firstLine="480" w:firstLineChars="200"/>
        <w:jc w:val="left"/>
        <w:rPr>
          <w:rFonts w:ascii="宋体" w:hAnsi="宋体"/>
          <w:sz w:val="24"/>
          <w:szCs w:val="24"/>
        </w:rPr>
      </w:pPr>
      <w:r>
        <w:rPr>
          <w:rFonts w:ascii="宋体" w:hAnsi="宋体"/>
          <w:sz w:val="24"/>
          <w:szCs w:val="24"/>
        </w:rPr>
        <w:t>（</w:t>
      </w:r>
      <w:r>
        <w:rPr>
          <w:rFonts w:hint="eastAsia" w:ascii="宋体" w:hAnsi="宋体"/>
          <w:sz w:val="24"/>
          <w:szCs w:val="24"/>
        </w:rPr>
        <w:t>3）工程的项目投资计划；</w:t>
      </w:r>
    </w:p>
    <w:p w14:paraId="4FB374DA">
      <w:pPr>
        <w:adjustRightInd w:val="0"/>
        <w:snapToGrid w:val="0"/>
        <w:spacing w:line="440" w:lineRule="exact"/>
        <w:ind w:firstLine="480" w:firstLineChars="200"/>
        <w:jc w:val="left"/>
        <w:rPr>
          <w:rFonts w:ascii="宋体" w:hAnsi="宋体"/>
          <w:sz w:val="24"/>
          <w:szCs w:val="24"/>
        </w:rPr>
      </w:pPr>
      <w:r>
        <w:rPr>
          <w:rFonts w:ascii="宋体" w:hAnsi="宋体"/>
          <w:sz w:val="24"/>
          <w:szCs w:val="24"/>
        </w:rPr>
        <w:t>（4</w:t>
      </w:r>
      <w:r>
        <w:rPr>
          <w:rFonts w:hint="eastAsia" w:ascii="宋体" w:hAnsi="宋体"/>
          <w:sz w:val="24"/>
          <w:szCs w:val="24"/>
        </w:rPr>
        <w:t>）其他与工程建设有关的资料。</w:t>
      </w:r>
    </w:p>
    <w:p w14:paraId="4C08493E">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提供时间：满足建设监理工作顺利推进及施工进度要求。</w:t>
      </w:r>
    </w:p>
    <w:p w14:paraId="055B3186">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第十一条  在项目实施过程中，根据监理人的书面要求，委托人应在规定时间内对监理人书面提交的事宜作出书面答复。</w:t>
      </w:r>
    </w:p>
    <w:p w14:paraId="5DA4A7D9">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确认类7天</w:t>
      </w:r>
    </w:p>
    <w:p w14:paraId="3C36769D">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批准类14天</w:t>
      </w:r>
    </w:p>
    <w:p w14:paraId="36F4922C">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决策类28天。</w:t>
      </w:r>
    </w:p>
    <w:p w14:paraId="03BDEE50">
      <w:pPr>
        <w:adjustRightInd w:val="0"/>
        <w:snapToGrid w:val="0"/>
        <w:spacing w:line="440" w:lineRule="exact"/>
        <w:ind w:firstLine="480" w:firstLineChars="200"/>
        <w:jc w:val="left"/>
        <w:rPr>
          <w:rFonts w:ascii="宋体" w:hAnsi="宋体"/>
          <w:b/>
          <w:sz w:val="24"/>
          <w:szCs w:val="24"/>
          <w:u w:val="single"/>
        </w:rPr>
      </w:pPr>
      <w:r>
        <w:rPr>
          <w:rFonts w:hint="eastAsia" w:ascii="宋体" w:hAnsi="宋体"/>
          <w:sz w:val="24"/>
          <w:szCs w:val="24"/>
        </w:rPr>
        <w:t>第十二条  委托人的常驻代表为</w:t>
      </w:r>
    </w:p>
    <w:p w14:paraId="7A1E957B">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 xml:space="preserve">第十五条  委托人不向监理人提供办公场所，不向监理人提供任何其它设施和物品，也不对监理人自备的设施给予任何经济补偿。 </w:t>
      </w:r>
    </w:p>
    <w:p w14:paraId="6567EAE0">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第十六条  在监理期间，委托人不向监理机构提供工作人员。</w:t>
      </w:r>
    </w:p>
    <w:p w14:paraId="78A0B441">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第十七条  监理人在委托人委托的工程范围内，享有的权利有关条款补充、更改如下：</w:t>
      </w:r>
    </w:p>
    <w:p w14:paraId="5FA47991">
      <w:pPr>
        <w:keepNext/>
        <w:keepLines/>
        <w:spacing w:line="440" w:lineRule="exact"/>
        <w:ind w:firstLine="480" w:firstLineChars="200"/>
        <w:jc w:val="left"/>
        <w:rPr>
          <w:rFonts w:ascii="宋体" w:hAnsi="宋体"/>
          <w:sz w:val="24"/>
          <w:szCs w:val="24"/>
        </w:rPr>
      </w:pPr>
      <w:r>
        <w:rPr>
          <w:rFonts w:hint="eastAsia" w:ascii="宋体" w:hAnsi="宋体"/>
          <w:sz w:val="24"/>
          <w:szCs w:val="24"/>
        </w:rPr>
        <w:t>（1）主持工程建设有关协作单位的组织协调：定期组织协调工程质量、安全生产，重要协调事项应当事先向委托人报告。</w:t>
      </w:r>
    </w:p>
    <w:p w14:paraId="423F41FD">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（2）在工程施工合同约定的工程价格范围内，工程进度的审核和签认权，以及工程结算的复核权。</w:t>
      </w:r>
    </w:p>
    <w:p w14:paraId="08652D8E">
      <w:pPr>
        <w:adjustRightInd w:val="0"/>
        <w:snapToGrid w:val="0"/>
        <w:spacing w:line="440" w:lineRule="exact"/>
        <w:ind w:firstLine="480" w:firstLineChars="200"/>
        <w:jc w:val="left"/>
        <w:rPr>
          <w:rFonts w:ascii="宋体" w:hAnsi="宋体"/>
          <w:sz w:val="24"/>
          <w:szCs w:val="24"/>
        </w:rPr>
      </w:pPr>
      <w:r>
        <w:rPr>
          <w:rFonts w:hint="eastAsia" w:ascii="宋体" w:hAnsi="宋体" w:cs="宋体"/>
          <w:sz w:val="24"/>
          <w:szCs w:val="24"/>
        </w:rPr>
        <w:t>第十八条　监理人应向委托人提供的信息文件材料：</w:t>
      </w:r>
    </w:p>
    <w:p w14:paraId="5F50A1EE">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1.定期信息文件材料：</w:t>
      </w:r>
    </w:p>
    <w:p w14:paraId="63BAA78D">
      <w:pPr>
        <w:adjustRightInd w:val="0"/>
        <w:snapToGrid w:val="0"/>
        <w:spacing w:line="440" w:lineRule="exact"/>
        <w:ind w:firstLine="480" w:firstLineChars="200"/>
        <w:jc w:val="left"/>
        <w:rPr>
          <w:rFonts w:ascii="宋体" w:hAnsi="宋体" w:cs="宋体"/>
          <w:sz w:val="24"/>
          <w:szCs w:val="24"/>
        </w:rPr>
      </w:pPr>
      <w:r>
        <w:rPr>
          <w:rFonts w:hint="eastAsia" w:ascii="宋体" w:hAnsi="宋体" w:cs="宋体"/>
          <w:sz w:val="24"/>
          <w:szCs w:val="24"/>
        </w:rPr>
        <w:t>根据监理工程项目、范围及内容，随工程施工进展，每月20日前向发包人报送监理月报（一式四份）。</w:t>
      </w:r>
    </w:p>
    <w:p w14:paraId="7AD81EA3">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第二十三条  监理人应按期向委托人提交监理月报。</w:t>
      </w:r>
    </w:p>
    <w:p w14:paraId="74E725FC">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第二十六条  监理人在责任期内如果违约、失职，同意按以下办法承担责任：</w:t>
      </w:r>
    </w:p>
    <w:p w14:paraId="2742BDFE">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赔偿损失[累计赔偿额不超过监理报酬总数（扣税）]：</w:t>
      </w:r>
    </w:p>
    <w:p w14:paraId="668C8D03">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赔偿金=委托人直接经济损失×10%</w:t>
      </w:r>
    </w:p>
    <w:p w14:paraId="0AA01668">
      <w:pPr>
        <w:adjustRightInd w:val="0"/>
        <w:snapToGrid w:val="0"/>
        <w:spacing w:line="440" w:lineRule="exact"/>
        <w:ind w:firstLine="480" w:firstLineChars="200"/>
        <w:jc w:val="left"/>
        <w:rPr>
          <w:rFonts w:ascii="宋体" w:hAnsi="宋体" w:cs="宋体"/>
          <w:sz w:val="24"/>
          <w:szCs w:val="24"/>
        </w:rPr>
      </w:pPr>
      <w:r>
        <w:rPr>
          <w:rFonts w:hint="eastAsia" w:ascii="宋体" w:hAnsi="宋体" w:cs="宋体"/>
          <w:sz w:val="24"/>
          <w:szCs w:val="24"/>
        </w:rPr>
        <w:t>对该工程而言，因监理人原因造成的工期延误，每延误一天，罚款1000元，累计赔偿金最高不超过收取的监理费（扣除税金）。</w:t>
      </w:r>
    </w:p>
    <w:p w14:paraId="55776E6A">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因监理方原因出现重大质量事故，对监理人按造成的直接经济损失的10%罚款，累计赔偿金最高不超过收取的监理费（扣除税金）。并勒令退场，终止委托监理合同，监理人承担违约责任。</w:t>
      </w:r>
    </w:p>
    <w:p w14:paraId="310A3CDF">
      <w:pPr>
        <w:adjustRightInd w:val="0"/>
        <w:snapToGrid w:val="0"/>
        <w:spacing w:line="440" w:lineRule="exact"/>
        <w:ind w:firstLine="480" w:firstLineChars="200"/>
        <w:jc w:val="left"/>
        <w:rPr>
          <w:rFonts w:ascii="宋体" w:hAnsi="宋体" w:cs="宋体"/>
          <w:sz w:val="24"/>
          <w:szCs w:val="24"/>
        </w:rPr>
      </w:pPr>
      <w:r>
        <w:rPr>
          <w:rFonts w:hint="eastAsia" w:ascii="宋体" w:hAnsi="宋体"/>
          <w:sz w:val="24"/>
          <w:szCs w:val="24"/>
        </w:rPr>
        <w:t>第二十九条 保修期间监理人接到通知后，应在4小时内到达通知约定的地点，并处理相关事宜。</w:t>
      </w:r>
    </w:p>
    <w:p w14:paraId="1513EAAB">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第三十九条  委托人同意按以下的计算方法、支付时间与金额，支付监理人的报酬</w:t>
      </w:r>
    </w:p>
    <w:p w14:paraId="749C6E27">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本工程监理费为</w:t>
      </w:r>
      <w:r>
        <w:rPr>
          <w:rFonts w:ascii="宋体" w:hAnsi="宋体"/>
          <w:sz w:val="24"/>
          <w:szCs w:val="24"/>
        </w:rPr>
        <w:t>（包干合同价）</w:t>
      </w:r>
      <w:r>
        <w:rPr>
          <w:rFonts w:hint="eastAsia" w:ascii="宋体" w:hAnsi="宋体"/>
          <w:sz w:val="24"/>
          <w:szCs w:val="24"/>
          <w:u w:val="single"/>
        </w:rPr>
        <w:t xml:space="preserve">：                       </w:t>
      </w:r>
      <w:r>
        <w:rPr>
          <w:rFonts w:hint="eastAsia" w:ascii="宋体" w:hAnsi="宋体"/>
          <w:sz w:val="24"/>
          <w:szCs w:val="24"/>
        </w:rPr>
        <w:t>。</w:t>
      </w:r>
    </w:p>
    <w:p w14:paraId="245C778F">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监理工期：以委托人的书面进场通知为监理服务期的起始时间，以项目完工验收合格为监理服务期的完成时间。</w:t>
      </w:r>
    </w:p>
    <w:p w14:paraId="1E164BB7">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3</w:t>
      </w:r>
      <w:r>
        <w:rPr>
          <w:rFonts w:ascii="宋体" w:hAnsi="宋体"/>
          <w:sz w:val="24"/>
          <w:szCs w:val="24"/>
        </w:rPr>
        <w:t>.</w:t>
      </w:r>
      <w:r>
        <w:rPr>
          <w:rFonts w:hint="eastAsia" w:ascii="宋体" w:hAnsi="宋体"/>
          <w:sz w:val="24"/>
          <w:szCs w:val="24"/>
        </w:rPr>
        <w:t>支付方式：</w:t>
      </w:r>
    </w:p>
    <w:p w14:paraId="3543117E">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工程验收合格后</w:t>
      </w:r>
      <w:r>
        <w:rPr>
          <w:rFonts w:ascii="宋体" w:hAnsi="宋体"/>
          <w:sz w:val="24"/>
          <w:szCs w:val="24"/>
        </w:rPr>
        <w:t>10</w:t>
      </w:r>
      <w:r>
        <w:rPr>
          <w:rFonts w:hint="eastAsia" w:ascii="宋体" w:hAnsi="宋体"/>
          <w:sz w:val="24"/>
          <w:szCs w:val="24"/>
        </w:rPr>
        <w:t>个工作日内支付至合同金额的90%；工程验收完毕工程结算经国家审计机关审计完成后一个月内支付余款。</w:t>
      </w:r>
    </w:p>
    <w:p w14:paraId="758596C7">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4</w:t>
      </w:r>
      <w:r>
        <w:rPr>
          <w:rFonts w:ascii="宋体" w:hAnsi="宋体"/>
          <w:sz w:val="24"/>
          <w:szCs w:val="24"/>
        </w:rPr>
        <w:t>.</w:t>
      </w:r>
      <w:r>
        <w:rPr>
          <w:rFonts w:hint="eastAsia" w:ascii="宋体" w:hAnsi="宋体"/>
          <w:sz w:val="24"/>
          <w:szCs w:val="24"/>
        </w:rPr>
        <w:t>投标货币：本工程的投标货币为人民币。</w:t>
      </w:r>
    </w:p>
    <w:p w14:paraId="0D8813EE">
      <w:pPr>
        <w:spacing w:line="440" w:lineRule="exact"/>
        <w:ind w:firstLine="480" w:firstLineChars="200"/>
        <w:jc w:val="left"/>
        <w:rPr>
          <w:rFonts w:ascii="宋体" w:hAnsi="宋体"/>
          <w:sz w:val="24"/>
          <w:szCs w:val="24"/>
        </w:rPr>
      </w:pPr>
      <w:r>
        <w:rPr>
          <w:rFonts w:hint="eastAsia" w:ascii="宋体" w:hAnsi="宋体"/>
          <w:sz w:val="24"/>
          <w:szCs w:val="24"/>
        </w:rPr>
        <w:t>第四十一条  双方同意用</w:t>
      </w:r>
      <w:r>
        <w:rPr>
          <w:rFonts w:hint="eastAsia" w:ascii="宋体" w:hAnsi="宋体"/>
          <w:sz w:val="24"/>
          <w:szCs w:val="24"/>
          <w:u w:val="single"/>
        </w:rPr>
        <w:t xml:space="preserve"> 人民币   </w:t>
      </w:r>
      <w:r>
        <w:rPr>
          <w:rFonts w:hint="eastAsia" w:ascii="宋体" w:hAnsi="宋体"/>
          <w:sz w:val="24"/>
          <w:szCs w:val="24"/>
        </w:rPr>
        <w:t>支付报酬。</w:t>
      </w:r>
    </w:p>
    <w:p w14:paraId="11226A92">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第四十五条  奖励办法：</w:t>
      </w:r>
      <w:r>
        <w:rPr>
          <w:rFonts w:hint="eastAsia" w:ascii="宋体" w:hAnsi="宋体"/>
          <w:sz w:val="24"/>
          <w:szCs w:val="24"/>
          <w:u w:val="single"/>
        </w:rPr>
        <w:t xml:space="preserve">无  </w:t>
      </w:r>
    </w:p>
    <w:p w14:paraId="4BCAB2E4">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第四十九条  本合同在履行过程中发生的争议，由双方当事人协商解决，协商不成时，双方同意由仲裁委员会仲裁（当事人双方不在本合同中约定仲裁机构，事后又未达成书面仲裁协议的，可向有管辖权的人民法院起诉）。</w:t>
      </w:r>
    </w:p>
    <w:p w14:paraId="6DAC1664">
      <w:pPr>
        <w:adjustRightInd w:val="0"/>
        <w:snapToGrid w:val="0"/>
        <w:spacing w:line="440" w:lineRule="exact"/>
        <w:jc w:val="left"/>
        <w:rPr>
          <w:rFonts w:ascii="宋体" w:hAnsi="宋体"/>
          <w:sz w:val="24"/>
          <w:szCs w:val="24"/>
        </w:rPr>
      </w:pPr>
      <w:r>
        <w:rPr>
          <w:rFonts w:hint="eastAsia" w:ascii="宋体" w:hAnsi="宋体"/>
          <w:sz w:val="24"/>
          <w:szCs w:val="24"/>
        </w:rPr>
        <w:t>附加协议条款：</w:t>
      </w:r>
    </w:p>
    <w:p w14:paraId="313124EE">
      <w:pPr>
        <w:spacing w:line="440" w:lineRule="exact"/>
        <w:ind w:firstLine="516" w:firstLineChars="214"/>
        <w:jc w:val="left"/>
        <w:rPr>
          <w:rFonts w:ascii="宋体" w:hAnsi="宋体"/>
          <w:b/>
          <w:sz w:val="24"/>
          <w:szCs w:val="24"/>
          <w:u w:val="single"/>
        </w:rPr>
      </w:pPr>
      <w:r>
        <w:rPr>
          <w:rFonts w:ascii="宋体" w:hAnsi="宋体"/>
          <w:b/>
          <w:sz w:val="24"/>
          <w:szCs w:val="24"/>
          <w:u w:val="single"/>
        </w:rPr>
        <w:t>1.</w:t>
      </w:r>
      <w:r>
        <w:rPr>
          <w:rFonts w:hint="eastAsia" w:ascii="宋体" w:hAnsi="宋体"/>
          <w:b/>
          <w:sz w:val="24"/>
          <w:szCs w:val="24"/>
          <w:u w:val="single"/>
        </w:rPr>
        <w:t>监理工程师，不得无故不到现场，不得挂名对项目实施监理。总监每周不得低于5次到场，不足5天，处监理人</w:t>
      </w:r>
      <w:r>
        <w:rPr>
          <w:rFonts w:ascii="宋体" w:hAnsi="宋体"/>
          <w:b/>
          <w:sz w:val="24"/>
          <w:szCs w:val="24"/>
          <w:u w:val="single"/>
        </w:rPr>
        <w:t>200</w:t>
      </w:r>
      <w:r>
        <w:rPr>
          <w:rFonts w:hint="eastAsia" w:ascii="宋体" w:hAnsi="宋体"/>
          <w:b/>
          <w:sz w:val="24"/>
          <w:szCs w:val="24"/>
          <w:u w:val="single"/>
        </w:rPr>
        <w:t>元/天的违约金。监理员每天到场（委托人实行工作日考勤制度）。未经委托人同意，如总监、驻场监理工程师未按规定时间到场，每发现一人未到场一天处以200元违约金；并在限期7天内予以纠正；如7天内不予以纠正，则再追加500元违约金，依次类推。如15天内仍未纠正，则委托人将视作监理人严重违约，委托人将有权单方面解除监理合同，勒令监理人退场，并由监理人承担违约责任；如监理人擅自更换总监理工程师和各专业监理工程师，每发现一次处以500元违约金，连续三次以上，委托人将扣除监理人合同总金额5%的违约金,并有权单方面解除监理合同，勒令监理人退场，并由监理人承担违约责任。</w:t>
      </w:r>
    </w:p>
    <w:p w14:paraId="4E42C582">
      <w:pPr>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2.在节假日期间，监理人必须派专业监理工程师以上（含专业监理工程师）的人员值守现场，委托人对此不另行支付监理费用。</w:t>
      </w:r>
    </w:p>
    <w:p w14:paraId="347DA37E">
      <w:pPr>
        <w:snapToGrid w:val="0"/>
        <w:spacing w:line="440" w:lineRule="exact"/>
        <w:ind w:firstLine="482" w:firstLineChars="200"/>
        <w:jc w:val="left"/>
        <w:rPr>
          <w:rFonts w:ascii="宋体" w:hAnsi="宋体"/>
          <w:b/>
          <w:sz w:val="24"/>
          <w:szCs w:val="24"/>
          <w:u w:val="single"/>
        </w:rPr>
      </w:pPr>
      <w:r>
        <w:rPr>
          <w:rFonts w:ascii="宋体" w:hAnsi="宋体"/>
          <w:b/>
          <w:sz w:val="24"/>
          <w:szCs w:val="24"/>
          <w:u w:val="single"/>
        </w:rPr>
        <w:t>3.</w:t>
      </w:r>
      <w:r>
        <w:rPr>
          <w:rFonts w:hint="eastAsia" w:ascii="宋体" w:hAnsi="宋体"/>
          <w:b/>
          <w:sz w:val="24"/>
          <w:szCs w:val="24"/>
          <w:u w:val="single"/>
        </w:rPr>
        <w:t>监理人在责任期内，不得有与承包人串通、对承包人吃拿卡等行为，</w:t>
      </w:r>
      <w:r>
        <w:rPr>
          <w:rFonts w:hint="eastAsia" w:ascii="宋体" w:hAnsi="宋体"/>
          <w:b/>
          <w:bCs/>
          <w:sz w:val="24"/>
          <w:szCs w:val="24"/>
          <w:u w:val="single"/>
        </w:rPr>
        <w:t>每发现一次处以3000元违约金，</w:t>
      </w:r>
      <w:r>
        <w:rPr>
          <w:rFonts w:hint="eastAsia" w:ascii="宋体" w:hAnsi="宋体"/>
          <w:b/>
          <w:sz w:val="24"/>
          <w:szCs w:val="24"/>
          <w:u w:val="single"/>
        </w:rPr>
        <w:t>连续三次以上，勒令监理人退场，并由监理人承担违约责任</w:t>
      </w:r>
    </w:p>
    <w:p w14:paraId="5D2E0396">
      <w:pPr>
        <w:snapToGrid w:val="0"/>
        <w:spacing w:line="440" w:lineRule="exact"/>
        <w:ind w:firstLine="482" w:firstLineChars="200"/>
        <w:jc w:val="left"/>
        <w:rPr>
          <w:rFonts w:ascii="宋体" w:hAnsi="宋体"/>
          <w:b/>
          <w:sz w:val="24"/>
          <w:szCs w:val="24"/>
          <w:u w:val="single"/>
        </w:rPr>
      </w:pPr>
      <w:r>
        <w:rPr>
          <w:rFonts w:ascii="宋体" w:hAnsi="宋体"/>
          <w:b/>
          <w:sz w:val="24"/>
          <w:szCs w:val="24"/>
          <w:u w:val="single"/>
        </w:rPr>
        <w:t>4</w:t>
      </w:r>
      <w:r>
        <w:rPr>
          <w:rFonts w:hint="eastAsia" w:ascii="宋体" w:hAnsi="宋体"/>
          <w:b/>
          <w:sz w:val="24"/>
          <w:szCs w:val="24"/>
          <w:u w:val="single"/>
        </w:rPr>
        <w:t>.监理人在责任期内，如经查实与承包人串通给委托人造成经济损失的，按以下办法承担责任：</w:t>
      </w:r>
    </w:p>
    <w:p w14:paraId="564CFEE1">
      <w:pPr>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发现第一次时：赔偿金＝直接经济损失×10%（扣除税金）</w:t>
      </w:r>
    </w:p>
    <w:p w14:paraId="1B1A3200">
      <w:pPr>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发现第二次及以上时：赔偿金＝直接经济损失×30%（扣除税金）</w:t>
      </w:r>
    </w:p>
    <w:p w14:paraId="33BD4562">
      <w:pPr>
        <w:adjustRightInd w:val="0"/>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累计赔偿金最高不超过收取的监理费，且委托人有权单方面解除委托监理合同，勒令监理人退场，并由监理人承担违约责任。</w:t>
      </w:r>
    </w:p>
    <w:p w14:paraId="5D32ED15">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5.</w:t>
      </w:r>
      <w:r>
        <w:rPr>
          <w:rFonts w:hint="eastAsia" w:ascii="宋体" w:hAnsi="宋体"/>
          <w:b/>
          <w:sz w:val="24"/>
          <w:szCs w:val="24"/>
        </w:rPr>
        <w:t>监理人应加强审核资料、监理资料时限管理，不得以承包人提供资料不及时及自身原因等为由，应及时向委托人提交审核、监理资料，逾期报送，每次处3000元违约金；同时不得以任何理拒绝在合格资料、文件上签字确认，如有此情形，按吃拿卡等行为处理。</w:t>
      </w:r>
    </w:p>
    <w:p w14:paraId="59A9EE7D">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6.</w:t>
      </w:r>
      <w:r>
        <w:rPr>
          <w:rFonts w:hint="eastAsia" w:ascii="宋体" w:hAnsi="宋体"/>
          <w:b/>
          <w:sz w:val="24"/>
          <w:szCs w:val="24"/>
        </w:rPr>
        <w:t>监理人对承包人的安全监督管理因监理措施不力，出现一般安全责任事故，每出现一次处以</w:t>
      </w:r>
      <w:r>
        <w:rPr>
          <w:rFonts w:ascii="宋体" w:hAnsi="宋体"/>
          <w:b/>
          <w:sz w:val="24"/>
          <w:szCs w:val="24"/>
        </w:rPr>
        <w:t>2</w:t>
      </w:r>
      <w:r>
        <w:rPr>
          <w:rFonts w:hint="eastAsia" w:ascii="宋体" w:hAnsi="宋体"/>
          <w:b/>
          <w:sz w:val="24"/>
          <w:szCs w:val="24"/>
        </w:rPr>
        <w:t>000元违约金，并追究监理人安全监理责任。</w:t>
      </w:r>
    </w:p>
    <w:p w14:paraId="738CFCC1">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7.</w:t>
      </w:r>
      <w:r>
        <w:rPr>
          <w:rFonts w:hint="eastAsia" w:ascii="宋体" w:hAnsi="宋体"/>
          <w:b/>
          <w:sz w:val="24"/>
          <w:szCs w:val="24"/>
        </w:rPr>
        <w:t>非工程发包人原因，承包人未按期达到节点工期、总工期目标，造成项目工期严重滞后，给委托人带来使用和负面影响，监理人未有可行的监理措施，一次处监理人2000元违约金。</w:t>
      </w:r>
    </w:p>
    <w:p w14:paraId="6D586D98">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8.</w:t>
      </w:r>
      <w:r>
        <w:rPr>
          <w:rFonts w:hint="eastAsia" w:ascii="宋体" w:hAnsi="宋体"/>
          <w:b/>
          <w:sz w:val="24"/>
          <w:szCs w:val="24"/>
        </w:rPr>
        <w:t>承包人就分部分项工程分包不具备专业承包资质、建筑劳务资质的企业或个人、转包等行为，监理人未审核或未及时向委托人书面报告，出现劳资纠纷，一次处监理人2000元违约金。</w:t>
      </w:r>
    </w:p>
    <w:p w14:paraId="1B60E4DC">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9.</w:t>
      </w:r>
      <w:r>
        <w:rPr>
          <w:rFonts w:hint="eastAsia" w:ascii="宋体" w:hAnsi="宋体"/>
          <w:b/>
          <w:sz w:val="24"/>
          <w:szCs w:val="24"/>
        </w:rPr>
        <w:t>如因施工单位原因造成工程延期及工程质量安全问题，监理人有权对承包人进行经济处罚，并报委托人备案。</w:t>
      </w:r>
    </w:p>
    <w:p w14:paraId="7C787B95">
      <w:pPr>
        <w:adjustRightInd w:val="0"/>
        <w:snapToGrid w:val="0"/>
        <w:spacing w:line="440" w:lineRule="exact"/>
        <w:ind w:firstLine="482" w:firstLineChars="200"/>
        <w:jc w:val="left"/>
        <w:rPr>
          <w:rFonts w:ascii="宋体" w:hAnsi="宋体"/>
          <w:b/>
          <w:sz w:val="24"/>
          <w:szCs w:val="24"/>
        </w:rPr>
      </w:pPr>
      <w:r>
        <w:rPr>
          <w:rFonts w:hint="eastAsia" w:ascii="宋体" w:hAnsi="宋体"/>
          <w:b/>
          <w:sz w:val="24"/>
          <w:szCs w:val="24"/>
        </w:rPr>
        <w:t>附件1：投入本项目监理人员汇总表</w:t>
      </w:r>
    </w:p>
    <w:p w14:paraId="05A22BCF">
      <w:pPr>
        <w:tabs>
          <w:tab w:val="left" w:pos="432"/>
          <w:tab w:val="center" w:pos="4153"/>
          <w:tab w:val="left" w:pos="6810"/>
        </w:tabs>
        <w:autoSpaceDE w:val="0"/>
        <w:autoSpaceDN w:val="0"/>
        <w:adjustRightInd w:val="0"/>
        <w:snapToGrid w:val="0"/>
        <w:spacing w:line="800" w:lineRule="exact"/>
        <w:jc w:val="center"/>
        <w:outlineLvl w:val="0"/>
        <w:rPr>
          <w:rFonts w:ascii="宋体" w:hAnsi="宋体"/>
          <w:b/>
          <w:snapToGrid w:val="0"/>
          <w:sz w:val="36"/>
          <w:szCs w:val="36"/>
        </w:rPr>
      </w:pPr>
      <w:bookmarkStart w:id="11" w:name="_Toc531683973"/>
      <w:bookmarkStart w:id="12" w:name="_Toc416860789"/>
      <w:bookmarkStart w:id="13" w:name="_Toc482287480"/>
      <w:bookmarkStart w:id="14" w:name="_Toc482287994"/>
      <w:bookmarkStart w:id="15" w:name="_Toc531683408"/>
      <w:r>
        <w:rPr>
          <w:rFonts w:hint="eastAsia" w:ascii="宋体" w:hAnsi="宋体"/>
          <w:b/>
          <w:snapToGrid w:val="0"/>
          <w:sz w:val="36"/>
          <w:szCs w:val="36"/>
        </w:rPr>
        <w:t>投入本项目监理人员汇总表</w:t>
      </w:r>
      <w:bookmarkEnd w:id="11"/>
      <w:bookmarkEnd w:id="12"/>
      <w:bookmarkEnd w:id="13"/>
      <w:bookmarkEnd w:id="14"/>
      <w:bookmarkEnd w:id="15"/>
    </w:p>
    <w:tbl>
      <w:tblPr>
        <w:tblStyle w:val="13"/>
        <w:tblpPr w:leftFromText="180" w:rightFromText="180" w:vertAnchor="text" w:horzAnchor="page" w:tblpXSpec="center" w:tblpY="365"/>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975"/>
        <w:gridCol w:w="735"/>
        <w:gridCol w:w="780"/>
        <w:gridCol w:w="750"/>
        <w:gridCol w:w="1305"/>
        <w:gridCol w:w="1710"/>
        <w:gridCol w:w="2826"/>
      </w:tblGrid>
      <w:tr w14:paraId="3A00E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699" w:type="dxa"/>
            <w:tcBorders>
              <w:top w:val="single" w:color="auto" w:sz="4" w:space="0"/>
              <w:left w:val="single" w:color="auto" w:sz="4" w:space="0"/>
              <w:bottom w:val="single" w:color="auto" w:sz="6" w:space="0"/>
              <w:right w:val="single" w:color="auto" w:sz="4" w:space="0"/>
            </w:tcBorders>
            <w:noWrap/>
            <w:vAlign w:val="center"/>
          </w:tcPr>
          <w:p w14:paraId="17AD9CF9">
            <w:pPr>
              <w:spacing w:line="360" w:lineRule="auto"/>
              <w:jc w:val="center"/>
              <w:rPr>
                <w:rFonts w:ascii="宋体" w:hAnsi="宋体"/>
                <w:szCs w:val="21"/>
              </w:rPr>
            </w:pPr>
            <w:r>
              <w:rPr>
                <w:rFonts w:hint="eastAsia" w:ascii="宋体" w:hAnsi="宋体"/>
                <w:szCs w:val="21"/>
              </w:rPr>
              <w:t>序号</w:t>
            </w:r>
          </w:p>
        </w:tc>
        <w:tc>
          <w:tcPr>
            <w:tcW w:w="975" w:type="dxa"/>
            <w:tcBorders>
              <w:top w:val="single" w:color="auto" w:sz="4" w:space="0"/>
              <w:left w:val="single" w:color="auto" w:sz="4" w:space="0"/>
              <w:bottom w:val="single" w:color="auto" w:sz="6" w:space="0"/>
              <w:right w:val="single" w:color="auto" w:sz="4" w:space="0"/>
            </w:tcBorders>
            <w:noWrap/>
            <w:vAlign w:val="center"/>
          </w:tcPr>
          <w:p w14:paraId="234464F7">
            <w:pPr>
              <w:spacing w:line="360" w:lineRule="auto"/>
              <w:jc w:val="center"/>
              <w:rPr>
                <w:rFonts w:ascii="宋体" w:hAnsi="宋体"/>
                <w:szCs w:val="21"/>
              </w:rPr>
            </w:pPr>
            <w:r>
              <w:rPr>
                <w:rFonts w:hint="eastAsia" w:ascii="宋体" w:hAnsi="宋体"/>
                <w:szCs w:val="21"/>
              </w:rPr>
              <w:t>姓  名</w:t>
            </w:r>
          </w:p>
        </w:tc>
        <w:tc>
          <w:tcPr>
            <w:tcW w:w="735" w:type="dxa"/>
            <w:tcBorders>
              <w:top w:val="single" w:color="auto" w:sz="4" w:space="0"/>
              <w:left w:val="single" w:color="auto" w:sz="4" w:space="0"/>
              <w:bottom w:val="single" w:color="auto" w:sz="6" w:space="0"/>
              <w:right w:val="single" w:color="auto" w:sz="4" w:space="0"/>
            </w:tcBorders>
            <w:noWrap/>
            <w:vAlign w:val="center"/>
          </w:tcPr>
          <w:p w14:paraId="5962718E">
            <w:pPr>
              <w:spacing w:line="360" w:lineRule="auto"/>
              <w:jc w:val="center"/>
              <w:rPr>
                <w:rFonts w:ascii="宋体" w:hAnsi="宋体"/>
                <w:szCs w:val="21"/>
              </w:rPr>
            </w:pPr>
            <w:r>
              <w:rPr>
                <w:rFonts w:hint="eastAsia" w:ascii="宋体" w:hAnsi="宋体"/>
                <w:szCs w:val="21"/>
              </w:rPr>
              <w:t>性别</w:t>
            </w:r>
          </w:p>
        </w:tc>
        <w:tc>
          <w:tcPr>
            <w:tcW w:w="780" w:type="dxa"/>
            <w:tcBorders>
              <w:top w:val="single" w:color="auto" w:sz="4" w:space="0"/>
              <w:left w:val="single" w:color="auto" w:sz="4" w:space="0"/>
              <w:bottom w:val="single" w:color="auto" w:sz="6" w:space="0"/>
              <w:right w:val="single" w:color="auto" w:sz="4" w:space="0"/>
            </w:tcBorders>
            <w:noWrap/>
            <w:vAlign w:val="center"/>
          </w:tcPr>
          <w:p w14:paraId="6A46AB4A">
            <w:pPr>
              <w:spacing w:line="360" w:lineRule="auto"/>
              <w:jc w:val="center"/>
              <w:rPr>
                <w:rFonts w:ascii="宋体" w:hAnsi="宋体"/>
                <w:szCs w:val="21"/>
              </w:rPr>
            </w:pPr>
            <w:r>
              <w:rPr>
                <w:rFonts w:hint="eastAsia" w:ascii="宋体" w:hAnsi="宋体"/>
                <w:szCs w:val="21"/>
              </w:rPr>
              <w:t>年龄</w:t>
            </w:r>
          </w:p>
        </w:tc>
        <w:tc>
          <w:tcPr>
            <w:tcW w:w="750" w:type="dxa"/>
            <w:tcBorders>
              <w:top w:val="single" w:color="auto" w:sz="4" w:space="0"/>
              <w:left w:val="single" w:color="auto" w:sz="4" w:space="0"/>
              <w:bottom w:val="single" w:color="auto" w:sz="6" w:space="0"/>
              <w:right w:val="single" w:color="auto" w:sz="4" w:space="0"/>
            </w:tcBorders>
            <w:noWrap/>
            <w:vAlign w:val="center"/>
          </w:tcPr>
          <w:p w14:paraId="48572839">
            <w:pPr>
              <w:spacing w:line="360" w:lineRule="auto"/>
              <w:jc w:val="center"/>
              <w:rPr>
                <w:rFonts w:ascii="宋体" w:hAnsi="宋体"/>
                <w:szCs w:val="21"/>
              </w:rPr>
            </w:pPr>
            <w:r>
              <w:rPr>
                <w:rFonts w:hint="eastAsia" w:ascii="宋体" w:hAnsi="宋体"/>
                <w:szCs w:val="21"/>
              </w:rPr>
              <w:t>学历</w:t>
            </w:r>
          </w:p>
        </w:tc>
        <w:tc>
          <w:tcPr>
            <w:tcW w:w="1305" w:type="dxa"/>
            <w:tcBorders>
              <w:top w:val="single" w:color="auto" w:sz="4" w:space="0"/>
              <w:left w:val="single" w:color="auto" w:sz="4" w:space="0"/>
              <w:bottom w:val="single" w:color="auto" w:sz="6" w:space="0"/>
              <w:right w:val="single" w:color="auto" w:sz="4" w:space="0"/>
            </w:tcBorders>
            <w:noWrap/>
            <w:vAlign w:val="center"/>
          </w:tcPr>
          <w:p w14:paraId="2F13D276">
            <w:pPr>
              <w:spacing w:line="360" w:lineRule="auto"/>
              <w:jc w:val="center"/>
              <w:rPr>
                <w:rFonts w:ascii="宋体" w:hAnsi="宋体"/>
                <w:szCs w:val="21"/>
              </w:rPr>
            </w:pPr>
            <w:r>
              <w:rPr>
                <w:rFonts w:hint="eastAsia" w:ascii="宋体" w:hAnsi="宋体"/>
                <w:szCs w:val="21"/>
              </w:rPr>
              <w:t>技术职称</w:t>
            </w:r>
          </w:p>
        </w:tc>
        <w:tc>
          <w:tcPr>
            <w:tcW w:w="1710" w:type="dxa"/>
            <w:tcBorders>
              <w:top w:val="single" w:color="auto" w:sz="4" w:space="0"/>
              <w:left w:val="single" w:color="auto" w:sz="4" w:space="0"/>
              <w:bottom w:val="single" w:color="auto" w:sz="6" w:space="0"/>
              <w:right w:val="single" w:color="auto" w:sz="4" w:space="0"/>
            </w:tcBorders>
            <w:noWrap/>
            <w:vAlign w:val="center"/>
          </w:tcPr>
          <w:p w14:paraId="3A49B8F9">
            <w:pPr>
              <w:spacing w:line="360" w:lineRule="auto"/>
              <w:jc w:val="center"/>
              <w:rPr>
                <w:rFonts w:ascii="宋体" w:hAnsi="宋体"/>
                <w:szCs w:val="21"/>
              </w:rPr>
            </w:pPr>
            <w:r>
              <w:rPr>
                <w:rFonts w:hint="eastAsia" w:ascii="宋体" w:hAnsi="宋体"/>
                <w:szCs w:val="21"/>
              </w:rPr>
              <w:t>拟担任职务</w:t>
            </w:r>
          </w:p>
        </w:tc>
        <w:tc>
          <w:tcPr>
            <w:tcW w:w="2826" w:type="dxa"/>
            <w:tcBorders>
              <w:top w:val="single" w:color="auto" w:sz="4" w:space="0"/>
              <w:left w:val="single" w:color="auto" w:sz="4" w:space="0"/>
              <w:bottom w:val="single" w:color="auto" w:sz="6" w:space="0"/>
              <w:right w:val="single" w:color="auto" w:sz="4" w:space="0"/>
            </w:tcBorders>
            <w:noWrap/>
            <w:vAlign w:val="center"/>
          </w:tcPr>
          <w:p w14:paraId="7CA58291">
            <w:pPr>
              <w:spacing w:line="360" w:lineRule="auto"/>
              <w:jc w:val="center"/>
              <w:rPr>
                <w:rFonts w:ascii="宋体" w:hAnsi="宋体"/>
                <w:szCs w:val="21"/>
              </w:rPr>
            </w:pPr>
            <w:r>
              <w:rPr>
                <w:rFonts w:hint="eastAsia" w:ascii="宋体" w:hAnsi="宋体"/>
                <w:szCs w:val="21"/>
              </w:rPr>
              <w:t>执业资格</w:t>
            </w:r>
          </w:p>
        </w:tc>
      </w:tr>
      <w:tr w14:paraId="4C3D4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699" w:type="dxa"/>
            <w:tcBorders>
              <w:top w:val="single" w:color="auto" w:sz="6" w:space="0"/>
              <w:left w:val="single" w:color="auto" w:sz="6" w:space="0"/>
              <w:bottom w:val="dotted" w:color="auto" w:sz="4" w:space="0"/>
              <w:right w:val="single" w:color="auto" w:sz="6" w:space="0"/>
            </w:tcBorders>
            <w:noWrap/>
            <w:vAlign w:val="center"/>
          </w:tcPr>
          <w:p w14:paraId="422ABD2C">
            <w:pPr>
              <w:jc w:val="center"/>
              <w:rPr>
                <w:rFonts w:ascii="宋体" w:hAnsi="宋体"/>
                <w:color w:val="000000"/>
                <w:szCs w:val="21"/>
              </w:rPr>
            </w:pPr>
            <w:r>
              <w:rPr>
                <w:rFonts w:ascii="宋体" w:hAnsi="宋体"/>
                <w:color w:val="000000"/>
                <w:szCs w:val="21"/>
              </w:rPr>
              <w:t>1</w:t>
            </w:r>
          </w:p>
        </w:tc>
        <w:tc>
          <w:tcPr>
            <w:tcW w:w="975" w:type="dxa"/>
            <w:tcBorders>
              <w:top w:val="single" w:color="auto" w:sz="6" w:space="0"/>
              <w:left w:val="single" w:color="auto" w:sz="6" w:space="0"/>
              <w:bottom w:val="dotted" w:color="auto" w:sz="4" w:space="0"/>
              <w:right w:val="single" w:color="auto" w:sz="6" w:space="0"/>
            </w:tcBorders>
            <w:noWrap/>
            <w:vAlign w:val="center"/>
          </w:tcPr>
          <w:p w14:paraId="417DCEBB">
            <w:pPr>
              <w:jc w:val="center"/>
              <w:rPr>
                <w:rFonts w:ascii="宋体" w:hAnsi="宋体"/>
                <w:color w:val="000000"/>
                <w:szCs w:val="21"/>
              </w:rPr>
            </w:pPr>
          </w:p>
        </w:tc>
        <w:tc>
          <w:tcPr>
            <w:tcW w:w="735" w:type="dxa"/>
            <w:tcBorders>
              <w:top w:val="single" w:color="auto" w:sz="6" w:space="0"/>
              <w:left w:val="single" w:color="auto" w:sz="6" w:space="0"/>
              <w:bottom w:val="dotted" w:color="auto" w:sz="4" w:space="0"/>
              <w:right w:val="single" w:color="auto" w:sz="6" w:space="0"/>
            </w:tcBorders>
            <w:noWrap/>
            <w:vAlign w:val="center"/>
          </w:tcPr>
          <w:p w14:paraId="4F6D58AE">
            <w:pPr>
              <w:jc w:val="center"/>
              <w:rPr>
                <w:rFonts w:ascii="宋体" w:hAnsi="宋体"/>
                <w:szCs w:val="21"/>
              </w:rPr>
            </w:pPr>
          </w:p>
        </w:tc>
        <w:tc>
          <w:tcPr>
            <w:tcW w:w="780" w:type="dxa"/>
            <w:tcBorders>
              <w:top w:val="single" w:color="auto" w:sz="6" w:space="0"/>
              <w:left w:val="single" w:color="auto" w:sz="6" w:space="0"/>
              <w:bottom w:val="dotted" w:color="auto" w:sz="4" w:space="0"/>
              <w:right w:val="single" w:color="auto" w:sz="6" w:space="0"/>
            </w:tcBorders>
            <w:noWrap/>
            <w:vAlign w:val="center"/>
          </w:tcPr>
          <w:p w14:paraId="517E0336">
            <w:pPr>
              <w:jc w:val="center"/>
              <w:rPr>
                <w:rFonts w:ascii="宋体" w:hAnsi="宋体"/>
                <w:szCs w:val="21"/>
              </w:rPr>
            </w:pPr>
          </w:p>
        </w:tc>
        <w:tc>
          <w:tcPr>
            <w:tcW w:w="750" w:type="dxa"/>
            <w:tcBorders>
              <w:top w:val="single" w:color="auto" w:sz="6" w:space="0"/>
              <w:left w:val="single" w:color="auto" w:sz="6" w:space="0"/>
              <w:bottom w:val="dotted" w:color="auto" w:sz="4" w:space="0"/>
              <w:right w:val="single" w:color="auto" w:sz="6" w:space="0"/>
            </w:tcBorders>
            <w:noWrap/>
            <w:vAlign w:val="center"/>
          </w:tcPr>
          <w:p w14:paraId="5CBFFE90">
            <w:pPr>
              <w:jc w:val="center"/>
              <w:rPr>
                <w:rFonts w:ascii="宋体" w:hAnsi="宋体"/>
                <w:color w:val="000000"/>
                <w:szCs w:val="21"/>
              </w:rPr>
            </w:pPr>
          </w:p>
        </w:tc>
        <w:tc>
          <w:tcPr>
            <w:tcW w:w="1305" w:type="dxa"/>
            <w:tcBorders>
              <w:top w:val="single" w:color="auto" w:sz="6" w:space="0"/>
              <w:left w:val="single" w:color="auto" w:sz="6" w:space="0"/>
              <w:bottom w:val="dotted" w:color="auto" w:sz="4" w:space="0"/>
              <w:right w:val="single" w:color="auto" w:sz="6" w:space="0"/>
            </w:tcBorders>
            <w:noWrap/>
            <w:vAlign w:val="center"/>
          </w:tcPr>
          <w:p w14:paraId="7446BA29">
            <w:pPr>
              <w:jc w:val="center"/>
              <w:rPr>
                <w:rFonts w:ascii="宋体" w:hAnsi="宋体"/>
                <w:color w:val="000000"/>
                <w:szCs w:val="21"/>
              </w:rPr>
            </w:pPr>
          </w:p>
        </w:tc>
        <w:tc>
          <w:tcPr>
            <w:tcW w:w="1710" w:type="dxa"/>
            <w:tcBorders>
              <w:top w:val="single" w:color="auto" w:sz="6" w:space="0"/>
              <w:left w:val="single" w:color="auto" w:sz="6" w:space="0"/>
              <w:bottom w:val="dotted" w:color="auto" w:sz="4" w:space="0"/>
              <w:right w:val="single" w:color="auto" w:sz="6" w:space="0"/>
            </w:tcBorders>
            <w:noWrap/>
            <w:vAlign w:val="center"/>
          </w:tcPr>
          <w:p w14:paraId="6B4DE2BF">
            <w:pPr>
              <w:jc w:val="center"/>
              <w:rPr>
                <w:rFonts w:ascii="宋体" w:hAnsi="宋体"/>
                <w:color w:val="000000"/>
                <w:szCs w:val="21"/>
              </w:rPr>
            </w:pPr>
          </w:p>
        </w:tc>
        <w:tc>
          <w:tcPr>
            <w:tcW w:w="2826" w:type="dxa"/>
            <w:tcBorders>
              <w:top w:val="single" w:color="auto" w:sz="6" w:space="0"/>
              <w:left w:val="single" w:color="auto" w:sz="6" w:space="0"/>
              <w:bottom w:val="dotted" w:color="auto" w:sz="4" w:space="0"/>
              <w:right w:val="single" w:color="auto" w:sz="6" w:space="0"/>
            </w:tcBorders>
            <w:noWrap/>
            <w:vAlign w:val="center"/>
          </w:tcPr>
          <w:p w14:paraId="37C92102">
            <w:pPr>
              <w:spacing w:line="240" w:lineRule="exact"/>
              <w:jc w:val="center"/>
              <w:rPr>
                <w:rFonts w:ascii="宋体" w:hAnsi="宋体"/>
                <w:color w:val="000000"/>
                <w:szCs w:val="21"/>
              </w:rPr>
            </w:pPr>
          </w:p>
        </w:tc>
      </w:tr>
      <w:tr w14:paraId="3C5B7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8" w:hRule="atLeast"/>
        </w:trPr>
        <w:tc>
          <w:tcPr>
            <w:tcW w:w="699" w:type="dxa"/>
            <w:tcBorders>
              <w:top w:val="dotted" w:color="auto" w:sz="4" w:space="0"/>
              <w:left w:val="single" w:color="auto" w:sz="6" w:space="0"/>
              <w:bottom w:val="dotted" w:color="auto" w:sz="4" w:space="0"/>
              <w:right w:val="single" w:color="auto" w:sz="6" w:space="0"/>
            </w:tcBorders>
            <w:noWrap/>
            <w:vAlign w:val="center"/>
          </w:tcPr>
          <w:p w14:paraId="614954E4">
            <w:pPr>
              <w:jc w:val="center"/>
              <w:rPr>
                <w:rFonts w:ascii="宋体" w:hAnsi="宋体"/>
                <w:color w:val="000000"/>
                <w:szCs w:val="21"/>
              </w:rPr>
            </w:pPr>
            <w:r>
              <w:rPr>
                <w:rFonts w:ascii="宋体" w:hAnsi="宋体"/>
                <w:color w:val="000000"/>
                <w:szCs w:val="21"/>
              </w:rPr>
              <w:t>2</w:t>
            </w:r>
          </w:p>
        </w:tc>
        <w:tc>
          <w:tcPr>
            <w:tcW w:w="975" w:type="dxa"/>
            <w:tcBorders>
              <w:top w:val="dotted" w:color="auto" w:sz="4" w:space="0"/>
              <w:left w:val="single" w:color="auto" w:sz="6" w:space="0"/>
              <w:bottom w:val="dotted" w:color="auto" w:sz="4" w:space="0"/>
              <w:right w:val="single" w:color="auto" w:sz="6" w:space="0"/>
            </w:tcBorders>
            <w:noWrap/>
            <w:vAlign w:val="center"/>
          </w:tcPr>
          <w:p w14:paraId="26BA1F92">
            <w:pPr>
              <w:jc w:val="center"/>
              <w:rPr>
                <w:rFonts w:ascii="宋体" w:hAnsi="宋体"/>
                <w:color w:val="000000"/>
                <w:szCs w:val="21"/>
              </w:rPr>
            </w:pPr>
          </w:p>
        </w:tc>
        <w:tc>
          <w:tcPr>
            <w:tcW w:w="735" w:type="dxa"/>
            <w:tcBorders>
              <w:top w:val="dotted" w:color="auto" w:sz="4" w:space="0"/>
              <w:left w:val="single" w:color="auto" w:sz="6" w:space="0"/>
              <w:bottom w:val="dotted" w:color="auto" w:sz="4" w:space="0"/>
              <w:right w:val="single" w:color="auto" w:sz="6" w:space="0"/>
            </w:tcBorders>
            <w:noWrap/>
            <w:vAlign w:val="center"/>
          </w:tcPr>
          <w:p w14:paraId="1DB50499">
            <w:pPr>
              <w:jc w:val="center"/>
              <w:rPr>
                <w:rFonts w:ascii="宋体" w:hAnsi="宋体"/>
                <w:szCs w:val="21"/>
              </w:rPr>
            </w:pPr>
          </w:p>
        </w:tc>
        <w:tc>
          <w:tcPr>
            <w:tcW w:w="780" w:type="dxa"/>
            <w:tcBorders>
              <w:top w:val="dotted" w:color="auto" w:sz="4" w:space="0"/>
              <w:left w:val="single" w:color="auto" w:sz="6" w:space="0"/>
              <w:bottom w:val="dotted" w:color="auto" w:sz="4" w:space="0"/>
              <w:right w:val="single" w:color="auto" w:sz="6" w:space="0"/>
            </w:tcBorders>
            <w:noWrap/>
            <w:vAlign w:val="center"/>
          </w:tcPr>
          <w:p w14:paraId="25540E7B">
            <w:pPr>
              <w:jc w:val="center"/>
              <w:rPr>
                <w:rFonts w:ascii="宋体" w:hAnsi="宋体"/>
                <w:szCs w:val="21"/>
              </w:rPr>
            </w:pPr>
          </w:p>
        </w:tc>
        <w:tc>
          <w:tcPr>
            <w:tcW w:w="750" w:type="dxa"/>
            <w:tcBorders>
              <w:top w:val="dotted" w:color="auto" w:sz="4" w:space="0"/>
              <w:left w:val="single" w:color="auto" w:sz="6" w:space="0"/>
              <w:bottom w:val="dotted" w:color="auto" w:sz="4" w:space="0"/>
              <w:right w:val="single" w:color="auto" w:sz="6" w:space="0"/>
            </w:tcBorders>
            <w:noWrap/>
            <w:vAlign w:val="center"/>
          </w:tcPr>
          <w:p w14:paraId="6ADA5BF4">
            <w:pPr>
              <w:jc w:val="center"/>
              <w:rPr>
                <w:rFonts w:ascii="宋体" w:hAnsi="宋体"/>
                <w:color w:val="000000"/>
                <w:szCs w:val="21"/>
              </w:rPr>
            </w:pPr>
          </w:p>
        </w:tc>
        <w:tc>
          <w:tcPr>
            <w:tcW w:w="1305" w:type="dxa"/>
            <w:tcBorders>
              <w:top w:val="dotted" w:color="auto" w:sz="4" w:space="0"/>
              <w:left w:val="single" w:color="auto" w:sz="6" w:space="0"/>
              <w:bottom w:val="dotted" w:color="auto" w:sz="4" w:space="0"/>
              <w:right w:val="single" w:color="auto" w:sz="6" w:space="0"/>
            </w:tcBorders>
            <w:noWrap/>
            <w:vAlign w:val="center"/>
          </w:tcPr>
          <w:p w14:paraId="1080B0D1">
            <w:pPr>
              <w:jc w:val="center"/>
              <w:rPr>
                <w:rFonts w:ascii="宋体" w:hAnsi="宋体"/>
                <w:color w:val="000000"/>
                <w:szCs w:val="21"/>
              </w:rPr>
            </w:pPr>
          </w:p>
        </w:tc>
        <w:tc>
          <w:tcPr>
            <w:tcW w:w="1710" w:type="dxa"/>
            <w:tcBorders>
              <w:top w:val="dotted" w:color="auto" w:sz="4" w:space="0"/>
              <w:left w:val="single" w:color="auto" w:sz="6" w:space="0"/>
              <w:bottom w:val="dotted" w:color="auto" w:sz="4" w:space="0"/>
              <w:right w:val="single" w:color="auto" w:sz="6" w:space="0"/>
            </w:tcBorders>
            <w:noWrap/>
            <w:vAlign w:val="center"/>
          </w:tcPr>
          <w:p w14:paraId="419F3F35">
            <w:pPr>
              <w:jc w:val="center"/>
              <w:rPr>
                <w:rFonts w:ascii="宋体" w:hAnsi="宋体"/>
                <w:color w:val="000000"/>
                <w:szCs w:val="21"/>
              </w:rPr>
            </w:pPr>
          </w:p>
        </w:tc>
        <w:tc>
          <w:tcPr>
            <w:tcW w:w="2826" w:type="dxa"/>
            <w:tcBorders>
              <w:top w:val="dotted" w:color="auto" w:sz="4" w:space="0"/>
              <w:left w:val="single" w:color="auto" w:sz="6" w:space="0"/>
              <w:bottom w:val="dotted" w:color="auto" w:sz="4" w:space="0"/>
              <w:right w:val="single" w:color="auto" w:sz="6" w:space="0"/>
            </w:tcBorders>
            <w:noWrap/>
            <w:vAlign w:val="center"/>
          </w:tcPr>
          <w:p w14:paraId="085BC476">
            <w:pPr>
              <w:spacing w:line="240" w:lineRule="exact"/>
              <w:jc w:val="center"/>
              <w:rPr>
                <w:rFonts w:ascii="宋体" w:hAnsi="宋体"/>
                <w:color w:val="000000"/>
                <w:szCs w:val="21"/>
              </w:rPr>
            </w:pPr>
          </w:p>
        </w:tc>
      </w:tr>
      <w:tr w14:paraId="045CE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699" w:type="dxa"/>
            <w:tcBorders>
              <w:top w:val="dotted" w:color="auto" w:sz="4" w:space="0"/>
              <w:left w:val="single" w:color="auto" w:sz="6" w:space="0"/>
              <w:bottom w:val="dotted" w:color="auto" w:sz="4" w:space="0"/>
              <w:right w:val="single" w:color="auto" w:sz="6" w:space="0"/>
            </w:tcBorders>
            <w:noWrap/>
            <w:vAlign w:val="center"/>
          </w:tcPr>
          <w:p w14:paraId="2A724785">
            <w:pPr>
              <w:jc w:val="center"/>
              <w:rPr>
                <w:rFonts w:ascii="宋体" w:hAnsi="宋体"/>
                <w:color w:val="000000"/>
                <w:szCs w:val="21"/>
              </w:rPr>
            </w:pPr>
            <w:r>
              <w:rPr>
                <w:rFonts w:ascii="宋体" w:hAnsi="宋体"/>
                <w:color w:val="000000"/>
                <w:szCs w:val="21"/>
              </w:rPr>
              <w:t>3</w:t>
            </w:r>
          </w:p>
        </w:tc>
        <w:tc>
          <w:tcPr>
            <w:tcW w:w="975" w:type="dxa"/>
            <w:tcBorders>
              <w:top w:val="dotted" w:color="auto" w:sz="4" w:space="0"/>
              <w:left w:val="single" w:color="auto" w:sz="6" w:space="0"/>
              <w:bottom w:val="dotted" w:color="auto" w:sz="4" w:space="0"/>
              <w:right w:val="single" w:color="auto" w:sz="6" w:space="0"/>
            </w:tcBorders>
            <w:noWrap/>
            <w:vAlign w:val="center"/>
          </w:tcPr>
          <w:p w14:paraId="32E6803C">
            <w:pPr>
              <w:jc w:val="center"/>
              <w:rPr>
                <w:rFonts w:ascii="宋体" w:hAnsi="宋体"/>
                <w:color w:val="000000"/>
                <w:szCs w:val="21"/>
              </w:rPr>
            </w:pPr>
          </w:p>
        </w:tc>
        <w:tc>
          <w:tcPr>
            <w:tcW w:w="735" w:type="dxa"/>
            <w:tcBorders>
              <w:top w:val="dotted" w:color="auto" w:sz="4" w:space="0"/>
              <w:left w:val="single" w:color="auto" w:sz="6" w:space="0"/>
              <w:bottom w:val="dotted" w:color="auto" w:sz="4" w:space="0"/>
              <w:right w:val="single" w:color="auto" w:sz="6" w:space="0"/>
            </w:tcBorders>
            <w:noWrap/>
            <w:vAlign w:val="center"/>
          </w:tcPr>
          <w:p w14:paraId="0A99E605">
            <w:pPr>
              <w:rPr>
                <w:rFonts w:ascii="宋体" w:hAnsi="宋体"/>
                <w:szCs w:val="21"/>
              </w:rPr>
            </w:pPr>
          </w:p>
        </w:tc>
        <w:tc>
          <w:tcPr>
            <w:tcW w:w="780" w:type="dxa"/>
            <w:tcBorders>
              <w:top w:val="dotted" w:color="auto" w:sz="4" w:space="0"/>
              <w:left w:val="single" w:color="auto" w:sz="6" w:space="0"/>
              <w:bottom w:val="dotted" w:color="auto" w:sz="4" w:space="0"/>
              <w:right w:val="single" w:color="auto" w:sz="6" w:space="0"/>
            </w:tcBorders>
            <w:noWrap/>
            <w:vAlign w:val="center"/>
          </w:tcPr>
          <w:p w14:paraId="4158FF22">
            <w:pPr>
              <w:jc w:val="center"/>
              <w:rPr>
                <w:rFonts w:ascii="宋体" w:hAnsi="宋体"/>
                <w:szCs w:val="21"/>
              </w:rPr>
            </w:pPr>
          </w:p>
        </w:tc>
        <w:tc>
          <w:tcPr>
            <w:tcW w:w="750" w:type="dxa"/>
            <w:tcBorders>
              <w:top w:val="dotted" w:color="auto" w:sz="4" w:space="0"/>
              <w:left w:val="single" w:color="auto" w:sz="6" w:space="0"/>
              <w:bottom w:val="dotted" w:color="auto" w:sz="4" w:space="0"/>
              <w:right w:val="single" w:color="auto" w:sz="6" w:space="0"/>
            </w:tcBorders>
            <w:noWrap/>
            <w:vAlign w:val="center"/>
          </w:tcPr>
          <w:p w14:paraId="61EB33BF">
            <w:pPr>
              <w:jc w:val="center"/>
              <w:rPr>
                <w:rFonts w:ascii="宋体" w:hAnsi="宋体"/>
                <w:color w:val="000000"/>
                <w:szCs w:val="21"/>
              </w:rPr>
            </w:pPr>
          </w:p>
        </w:tc>
        <w:tc>
          <w:tcPr>
            <w:tcW w:w="1305" w:type="dxa"/>
            <w:tcBorders>
              <w:top w:val="dotted" w:color="auto" w:sz="4" w:space="0"/>
              <w:left w:val="single" w:color="auto" w:sz="6" w:space="0"/>
              <w:bottom w:val="dotted" w:color="auto" w:sz="4" w:space="0"/>
              <w:right w:val="single" w:color="auto" w:sz="6" w:space="0"/>
            </w:tcBorders>
            <w:noWrap/>
            <w:vAlign w:val="center"/>
          </w:tcPr>
          <w:p w14:paraId="7D932F75">
            <w:pPr>
              <w:jc w:val="center"/>
              <w:rPr>
                <w:rFonts w:ascii="宋体" w:hAnsi="宋体"/>
                <w:color w:val="000000"/>
                <w:szCs w:val="21"/>
              </w:rPr>
            </w:pPr>
          </w:p>
        </w:tc>
        <w:tc>
          <w:tcPr>
            <w:tcW w:w="1710" w:type="dxa"/>
            <w:tcBorders>
              <w:top w:val="dotted" w:color="auto" w:sz="4" w:space="0"/>
              <w:left w:val="single" w:color="auto" w:sz="6" w:space="0"/>
              <w:bottom w:val="dotted" w:color="auto" w:sz="4" w:space="0"/>
              <w:right w:val="single" w:color="auto" w:sz="6" w:space="0"/>
            </w:tcBorders>
            <w:noWrap/>
            <w:vAlign w:val="center"/>
          </w:tcPr>
          <w:p w14:paraId="445010F5">
            <w:pPr>
              <w:jc w:val="center"/>
              <w:rPr>
                <w:rFonts w:ascii="宋体" w:hAnsi="宋体"/>
                <w:color w:val="000000"/>
                <w:szCs w:val="21"/>
              </w:rPr>
            </w:pPr>
          </w:p>
        </w:tc>
        <w:tc>
          <w:tcPr>
            <w:tcW w:w="2826" w:type="dxa"/>
            <w:tcBorders>
              <w:top w:val="dotted" w:color="auto" w:sz="4" w:space="0"/>
              <w:left w:val="single" w:color="auto" w:sz="6" w:space="0"/>
              <w:bottom w:val="dotted" w:color="auto" w:sz="4" w:space="0"/>
              <w:right w:val="single" w:color="auto" w:sz="6" w:space="0"/>
            </w:tcBorders>
            <w:noWrap/>
            <w:vAlign w:val="center"/>
          </w:tcPr>
          <w:p w14:paraId="6CEE327E">
            <w:pPr>
              <w:spacing w:line="240" w:lineRule="exact"/>
              <w:jc w:val="center"/>
              <w:rPr>
                <w:rFonts w:ascii="宋体" w:hAnsi="宋体"/>
                <w:color w:val="000000"/>
                <w:szCs w:val="21"/>
              </w:rPr>
            </w:pPr>
          </w:p>
        </w:tc>
      </w:tr>
      <w:tr w14:paraId="64BA2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699" w:type="dxa"/>
            <w:tcBorders>
              <w:top w:val="dotted" w:color="auto" w:sz="4" w:space="0"/>
              <w:left w:val="single" w:color="auto" w:sz="6" w:space="0"/>
              <w:bottom w:val="dotted" w:color="auto" w:sz="4" w:space="0"/>
              <w:right w:val="single" w:color="auto" w:sz="6" w:space="0"/>
            </w:tcBorders>
            <w:noWrap/>
            <w:vAlign w:val="center"/>
          </w:tcPr>
          <w:p w14:paraId="50A7B980">
            <w:pPr>
              <w:jc w:val="center"/>
              <w:rPr>
                <w:rFonts w:ascii="宋体" w:hAnsi="宋体"/>
                <w:color w:val="000000"/>
                <w:szCs w:val="21"/>
              </w:rPr>
            </w:pPr>
            <w:r>
              <w:rPr>
                <w:rFonts w:ascii="宋体" w:hAnsi="宋体"/>
                <w:color w:val="000000"/>
                <w:szCs w:val="21"/>
              </w:rPr>
              <w:t>4</w:t>
            </w:r>
          </w:p>
        </w:tc>
        <w:tc>
          <w:tcPr>
            <w:tcW w:w="975" w:type="dxa"/>
            <w:tcBorders>
              <w:top w:val="dotted" w:color="auto" w:sz="4" w:space="0"/>
              <w:left w:val="single" w:color="auto" w:sz="6" w:space="0"/>
              <w:bottom w:val="dotted" w:color="auto" w:sz="4" w:space="0"/>
              <w:right w:val="single" w:color="auto" w:sz="6" w:space="0"/>
            </w:tcBorders>
            <w:noWrap/>
            <w:vAlign w:val="center"/>
          </w:tcPr>
          <w:p w14:paraId="70587D08">
            <w:pPr>
              <w:jc w:val="center"/>
              <w:rPr>
                <w:rFonts w:ascii="宋体" w:hAnsi="宋体"/>
                <w:color w:val="000000"/>
                <w:szCs w:val="21"/>
              </w:rPr>
            </w:pPr>
          </w:p>
        </w:tc>
        <w:tc>
          <w:tcPr>
            <w:tcW w:w="735" w:type="dxa"/>
            <w:tcBorders>
              <w:top w:val="dotted" w:color="auto" w:sz="4" w:space="0"/>
              <w:left w:val="single" w:color="auto" w:sz="6" w:space="0"/>
              <w:bottom w:val="dotted" w:color="auto" w:sz="4" w:space="0"/>
              <w:right w:val="single" w:color="auto" w:sz="6" w:space="0"/>
            </w:tcBorders>
            <w:noWrap/>
            <w:vAlign w:val="center"/>
          </w:tcPr>
          <w:p w14:paraId="7078106E">
            <w:pPr>
              <w:jc w:val="center"/>
              <w:rPr>
                <w:rFonts w:ascii="宋体" w:hAnsi="宋体"/>
                <w:szCs w:val="21"/>
              </w:rPr>
            </w:pPr>
          </w:p>
        </w:tc>
        <w:tc>
          <w:tcPr>
            <w:tcW w:w="780" w:type="dxa"/>
            <w:tcBorders>
              <w:top w:val="dotted" w:color="auto" w:sz="4" w:space="0"/>
              <w:left w:val="single" w:color="auto" w:sz="6" w:space="0"/>
              <w:bottom w:val="dotted" w:color="auto" w:sz="4" w:space="0"/>
              <w:right w:val="single" w:color="auto" w:sz="6" w:space="0"/>
            </w:tcBorders>
            <w:noWrap/>
            <w:vAlign w:val="center"/>
          </w:tcPr>
          <w:p w14:paraId="0C80DBDA">
            <w:pPr>
              <w:jc w:val="center"/>
              <w:rPr>
                <w:rFonts w:ascii="宋体" w:hAnsi="宋体"/>
                <w:szCs w:val="21"/>
              </w:rPr>
            </w:pPr>
          </w:p>
        </w:tc>
        <w:tc>
          <w:tcPr>
            <w:tcW w:w="750" w:type="dxa"/>
            <w:tcBorders>
              <w:top w:val="dotted" w:color="auto" w:sz="4" w:space="0"/>
              <w:left w:val="single" w:color="auto" w:sz="6" w:space="0"/>
              <w:bottom w:val="dotted" w:color="auto" w:sz="4" w:space="0"/>
              <w:right w:val="single" w:color="auto" w:sz="6" w:space="0"/>
            </w:tcBorders>
            <w:noWrap/>
            <w:vAlign w:val="center"/>
          </w:tcPr>
          <w:p w14:paraId="781CC6C4">
            <w:pPr>
              <w:jc w:val="center"/>
              <w:rPr>
                <w:rFonts w:ascii="宋体" w:hAnsi="宋体"/>
                <w:color w:val="000000"/>
                <w:szCs w:val="21"/>
              </w:rPr>
            </w:pPr>
          </w:p>
        </w:tc>
        <w:tc>
          <w:tcPr>
            <w:tcW w:w="1305" w:type="dxa"/>
            <w:tcBorders>
              <w:top w:val="dotted" w:color="auto" w:sz="4" w:space="0"/>
              <w:left w:val="single" w:color="auto" w:sz="6" w:space="0"/>
              <w:bottom w:val="dotted" w:color="auto" w:sz="4" w:space="0"/>
              <w:right w:val="single" w:color="auto" w:sz="6" w:space="0"/>
            </w:tcBorders>
            <w:noWrap/>
            <w:vAlign w:val="center"/>
          </w:tcPr>
          <w:p w14:paraId="675099A2">
            <w:pPr>
              <w:jc w:val="center"/>
              <w:rPr>
                <w:rFonts w:ascii="宋体" w:hAnsi="宋体"/>
                <w:color w:val="000000"/>
                <w:szCs w:val="21"/>
              </w:rPr>
            </w:pPr>
          </w:p>
        </w:tc>
        <w:tc>
          <w:tcPr>
            <w:tcW w:w="1710" w:type="dxa"/>
            <w:tcBorders>
              <w:top w:val="dotted" w:color="auto" w:sz="4" w:space="0"/>
              <w:left w:val="single" w:color="auto" w:sz="6" w:space="0"/>
              <w:bottom w:val="dotted" w:color="auto" w:sz="4" w:space="0"/>
              <w:right w:val="single" w:color="auto" w:sz="6" w:space="0"/>
            </w:tcBorders>
            <w:noWrap/>
            <w:vAlign w:val="center"/>
          </w:tcPr>
          <w:p w14:paraId="45C7AEDB">
            <w:pPr>
              <w:jc w:val="center"/>
              <w:rPr>
                <w:rFonts w:ascii="宋体" w:hAnsi="宋体"/>
                <w:color w:val="000000"/>
                <w:szCs w:val="21"/>
              </w:rPr>
            </w:pPr>
          </w:p>
        </w:tc>
        <w:tc>
          <w:tcPr>
            <w:tcW w:w="2826" w:type="dxa"/>
            <w:tcBorders>
              <w:top w:val="dotted" w:color="auto" w:sz="4" w:space="0"/>
              <w:left w:val="single" w:color="auto" w:sz="6" w:space="0"/>
              <w:bottom w:val="dotted" w:color="auto" w:sz="4" w:space="0"/>
              <w:right w:val="single" w:color="auto" w:sz="6" w:space="0"/>
            </w:tcBorders>
            <w:noWrap/>
            <w:vAlign w:val="center"/>
          </w:tcPr>
          <w:p w14:paraId="1F855D06">
            <w:pPr>
              <w:spacing w:line="240" w:lineRule="exact"/>
              <w:jc w:val="center"/>
              <w:rPr>
                <w:rFonts w:ascii="宋体" w:hAnsi="宋体"/>
                <w:color w:val="000000"/>
                <w:szCs w:val="21"/>
              </w:rPr>
            </w:pPr>
          </w:p>
        </w:tc>
      </w:tr>
    </w:tbl>
    <w:p w14:paraId="547E0F80">
      <w:pPr>
        <w:adjustRightInd w:val="0"/>
        <w:snapToGrid w:val="0"/>
        <w:spacing w:beforeLines="50" w:line="600" w:lineRule="exact"/>
        <w:rPr>
          <w:rFonts w:ascii="方正仿宋_GBK" w:eastAsia="方正仿宋_GBK"/>
          <w:sz w:val="24"/>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E4E7E50F-D479-4861-B406-29850669E2A8}"/>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2" w:fontKey="{9BDA6C2F-D635-48FD-AD63-14908F8E6E30}"/>
  </w:font>
  <w:font w:name="方正楷体_GBK">
    <w:panose1 w:val="02000000000000000000"/>
    <w:charset w:val="86"/>
    <w:family w:val="script"/>
    <w:pitch w:val="default"/>
    <w:sig w:usb0="800002BF" w:usb1="38CF7CFA" w:usb2="00000016" w:usb3="00000000" w:csb0="00040000" w:csb1="00000000"/>
    <w:embedRegular r:id="rId3" w:fontKey="{B644933F-1AF9-4C66-ABE5-2C059C84FDBC}"/>
  </w:font>
  <w:font w:name="方正仿宋_GBK">
    <w:panose1 w:val="03000509000000000000"/>
    <w:charset w:val="86"/>
    <w:family w:val="script"/>
    <w:pitch w:val="default"/>
    <w:sig w:usb0="00000001" w:usb1="080E0000" w:usb2="00000000" w:usb3="00000000" w:csb0="00040000" w:csb1="00000000"/>
    <w:embedRegular r:id="rId4" w:fontKey="{BBCE85EB-4DCC-49E2-B0B6-4AFEB13039B3}"/>
  </w:font>
  <w:font w:name="方正黑体_GBK">
    <w:panose1 w:val="02010600010101010101"/>
    <w:charset w:val="86"/>
    <w:family w:val="script"/>
    <w:pitch w:val="default"/>
    <w:sig w:usb0="00000001" w:usb1="080E0000" w:usb2="00000000" w:usb3="00000000" w:csb0="00040000" w:csb1="00000000"/>
    <w:embedRegular r:id="rId5" w:fontKey="{A27B6DFE-DD70-47CC-B4C6-75B6AE8EA4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3320D">
    <w:pPr>
      <w:pStyle w:val="9"/>
      <w:framePr w:w="336" w:wrap="around" w:vAnchor="text" w:hAnchor="page" w:x="5509" w:y="135"/>
      <w:rPr>
        <w:rStyle w:val="15"/>
        <w:rFonts w:ascii="宋体" w:hAnsi="宋体"/>
        <w:sz w:val="21"/>
        <w:szCs w:val="21"/>
      </w:rPr>
    </w:pPr>
    <w:r>
      <w:rPr>
        <w:rFonts w:ascii="宋体" w:hAnsi="宋体"/>
        <w:sz w:val="21"/>
        <w:szCs w:val="21"/>
      </w:rPr>
      <w:fldChar w:fldCharType="begin"/>
    </w:r>
    <w:r>
      <w:rPr>
        <w:rStyle w:val="15"/>
        <w:rFonts w:ascii="宋体" w:hAnsi="宋体"/>
        <w:sz w:val="21"/>
        <w:szCs w:val="21"/>
      </w:rPr>
      <w:instrText xml:space="preserve">PAGE  </w:instrText>
    </w:r>
    <w:r>
      <w:rPr>
        <w:rFonts w:ascii="宋体" w:hAnsi="宋体"/>
        <w:sz w:val="21"/>
        <w:szCs w:val="21"/>
      </w:rPr>
      <w:fldChar w:fldCharType="separate"/>
    </w:r>
    <w:r>
      <w:rPr>
        <w:rStyle w:val="15"/>
        <w:rFonts w:ascii="宋体" w:hAnsi="宋体"/>
        <w:sz w:val="21"/>
        <w:szCs w:val="21"/>
      </w:rPr>
      <w:t>9</w:t>
    </w:r>
    <w:r>
      <w:rPr>
        <w:rFonts w:ascii="宋体" w:hAnsi="宋体"/>
        <w:sz w:val="21"/>
        <w:szCs w:val="21"/>
      </w:rPr>
      <w:fldChar w:fldCharType="end"/>
    </w:r>
  </w:p>
  <w:p w14:paraId="381A2048">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DA8AB">
    <w:pPr>
      <w:pStyle w:val="9"/>
      <w:framePr w:wrap="around" w:vAnchor="text" w:hAnchor="margin" w:xAlign="right" w:y="1"/>
      <w:rPr>
        <w:rStyle w:val="15"/>
      </w:rPr>
    </w:pPr>
    <w:r>
      <w:fldChar w:fldCharType="begin"/>
    </w:r>
    <w:r>
      <w:rPr>
        <w:rStyle w:val="15"/>
      </w:rPr>
      <w:instrText xml:space="preserve">PAGE  </w:instrText>
    </w:r>
    <w:r>
      <w:fldChar w:fldCharType="end"/>
    </w:r>
  </w:p>
  <w:p w14:paraId="556B1DD5">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EF58">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14:paraId="46B13368">
                <w:pPr>
                  <w:pStyle w:val="9"/>
                </w:pPr>
                <w:r>
                  <w:fldChar w:fldCharType="begin"/>
                </w:r>
                <w:r>
                  <w:instrText xml:space="preserve"> PAGE  \* MERGEFORMAT </w:instrText>
                </w:r>
                <w:r>
                  <w:fldChar w:fldCharType="separate"/>
                </w:r>
                <w:r>
                  <w:t>28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BE4FB">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462DA"/>
    <w:multiLevelType w:val="singleLevel"/>
    <w:tmpl w:val="CBD462DA"/>
    <w:lvl w:ilvl="0" w:tentative="0">
      <w:start w:val="1"/>
      <w:numFmt w:val="chineseCounting"/>
      <w:suff w:val="nothing"/>
      <w:lvlText w:val="%1、"/>
      <w:lvlJc w:val="left"/>
      <w:rPr>
        <w:rFonts w:hint="eastAsia"/>
      </w:rPr>
    </w:lvl>
  </w:abstractNum>
  <w:abstractNum w:abstractNumId="1">
    <w:nsid w:val="302F2CC3"/>
    <w:multiLevelType w:val="multilevel"/>
    <w:tmpl w:val="302F2CC3"/>
    <w:lvl w:ilvl="0" w:tentative="0">
      <w:start w:val="5"/>
      <w:numFmt w:val="japaneseCounting"/>
      <w:lvlText w:val="第%1条"/>
      <w:lvlJc w:val="left"/>
      <w:pPr>
        <w:tabs>
          <w:tab w:val="left" w:pos="1997"/>
        </w:tabs>
        <w:ind w:left="1997" w:hanging="720"/>
      </w:pPr>
      <w:rPr>
        <w:rFonts w:hint="default"/>
      </w:rPr>
    </w:lvl>
    <w:lvl w:ilvl="1" w:tentative="0">
      <w:start w:val="1"/>
      <w:numFmt w:val="lowerLetter"/>
      <w:lvlText w:val="%2)"/>
      <w:lvlJc w:val="left"/>
      <w:pPr>
        <w:tabs>
          <w:tab w:val="left" w:pos="2117"/>
        </w:tabs>
        <w:ind w:left="2117" w:hanging="420"/>
      </w:pPr>
    </w:lvl>
    <w:lvl w:ilvl="2" w:tentative="0">
      <w:start w:val="1"/>
      <w:numFmt w:val="lowerRoman"/>
      <w:lvlText w:val="%3."/>
      <w:lvlJc w:val="right"/>
      <w:pPr>
        <w:tabs>
          <w:tab w:val="left" w:pos="2537"/>
        </w:tabs>
        <w:ind w:left="2537" w:hanging="420"/>
      </w:pPr>
    </w:lvl>
    <w:lvl w:ilvl="3" w:tentative="0">
      <w:start w:val="1"/>
      <w:numFmt w:val="decimal"/>
      <w:lvlText w:val="%4."/>
      <w:lvlJc w:val="left"/>
      <w:pPr>
        <w:tabs>
          <w:tab w:val="left" w:pos="2957"/>
        </w:tabs>
        <w:ind w:left="2957" w:hanging="420"/>
      </w:pPr>
    </w:lvl>
    <w:lvl w:ilvl="4" w:tentative="0">
      <w:start w:val="1"/>
      <w:numFmt w:val="lowerLetter"/>
      <w:lvlText w:val="%5)"/>
      <w:lvlJc w:val="left"/>
      <w:pPr>
        <w:tabs>
          <w:tab w:val="left" w:pos="3377"/>
        </w:tabs>
        <w:ind w:left="3377" w:hanging="420"/>
      </w:pPr>
    </w:lvl>
    <w:lvl w:ilvl="5" w:tentative="0">
      <w:start w:val="1"/>
      <w:numFmt w:val="lowerRoman"/>
      <w:lvlText w:val="%6."/>
      <w:lvlJc w:val="right"/>
      <w:pPr>
        <w:tabs>
          <w:tab w:val="left" w:pos="3797"/>
        </w:tabs>
        <w:ind w:left="3797" w:hanging="420"/>
      </w:pPr>
    </w:lvl>
    <w:lvl w:ilvl="6" w:tentative="0">
      <w:start w:val="1"/>
      <w:numFmt w:val="decimal"/>
      <w:lvlText w:val="%7."/>
      <w:lvlJc w:val="left"/>
      <w:pPr>
        <w:tabs>
          <w:tab w:val="left" w:pos="4217"/>
        </w:tabs>
        <w:ind w:left="4217" w:hanging="420"/>
      </w:pPr>
    </w:lvl>
    <w:lvl w:ilvl="7" w:tentative="0">
      <w:start w:val="1"/>
      <w:numFmt w:val="lowerLetter"/>
      <w:lvlText w:val="%8)"/>
      <w:lvlJc w:val="left"/>
      <w:pPr>
        <w:tabs>
          <w:tab w:val="left" w:pos="4637"/>
        </w:tabs>
        <w:ind w:left="4637" w:hanging="420"/>
      </w:pPr>
    </w:lvl>
    <w:lvl w:ilvl="8" w:tentative="0">
      <w:start w:val="1"/>
      <w:numFmt w:val="lowerRoman"/>
      <w:lvlText w:val="%9."/>
      <w:lvlJc w:val="right"/>
      <w:pPr>
        <w:tabs>
          <w:tab w:val="left" w:pos="5057"/>
        </w:tabs>
        <w:ind w:left="505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RmYWUxOWJhMWE5OGFmZGQyNzA0NjBkZTNhOGRjMDEifQ=="/>
  </w:docVars>
  <w:rsids>
    <w:rsidRoot w:val="00D77BCC"/>
    <w:rsid w:val="00004869"/>
    <w:rsid w:val="00034591"/>
    <w:rsid w:val="0005447D"/>
    <w:rsid w:val="000618C5"/>
    <w:rsid w:val="00074EBD"/>
    <w:rsid w:val="00095F9B"/>
    <w:rsid w:val="000A6C0B"/>
    <w:rsid w:val="000E7DBB"/>
    <w:rsid w:val="000F5934"/>
    <w:rsid w:val="001011C1"/>
    <w:rsid w:val="0011506A"/>
    <w:rsid w:val="00134E5B"/>
    <w:rsid w:val="001464EF"/>
    <w:rsid w:val="00156BB9"/>
    <w:rsid w:val="00163C88"/>
    <w:rsid w:val="00174309"/>
    <w:rsid w:val="001836CD"/>
    <w:rsid w:val="001B3D66"/>
    <w:rsid w:val="001D6E2B"/>
    <w:rsid w:val="001D6FA3"/>
    <w:rsid w:val="001E0370"/>
    <w:rsid w:val="001E1EE2"/>
    <w:rsid w:val="001F16CA"/>
    <w:rsid w:val="001F783B"/>
    <w:rsid w:val="00224DC4"/>
    <w:rsid w:val="00226148"/>
    <w:rsid w:val="00236CF6"/>
    <w:rsid w:val="00245DEC"/>
    <w:rsid w:val="00255B3A"/>
    <w:rsid w:val="002565DF"/>
    <w:rsid w:val="00260796"/>
    <w:rsid w:val="00272ADA"/>
    <w:rsid w:val="002960EA"/>
    <w:rsid w:val="00296E73"/>
    <w:rsid w:val="002A1F6F"/>
    <w:rsid w:val="002A2934"/>
    <w:rsid w:val="002A5FE4"/>
    <w:rsid w:val="002B1117"/>
    <w:rsid w:val="002D0960"/>
    <w:rsid w:val="002D5AFD"/>
    <w:rsid w:val="00315BD4"/>
    <w:rsid w:val="00321150"/>
    <w:rsid w:val="003251ED"/>
    <w:rsid w:val="00347F04"/>
    <w:rsid w:val="00351B36"/>
    <w:rsid w:val="00357A7C"/>
    <w:rsid w:val="00394DD2"/>
    <w:rsid w:val="0039784E"/>
    <w:rsid w:val="003B1BA7"/>
    <w:rsid w:val="003B26A7"/>
    <w:rsid w:val="003B7EEA"/>
    <w:rsid w:val="003E0C42"/>
    <w:rsid w:val="003E439A"/>
    <w:rsid w:val="004028FE"/>
    <w:rsid w:val="0043642F"/>
    <w:rsid w:val="00441A43"/>
    <w:rsid w:val="00447F4B"/>
    <w:rsid w:val="0045136D"/>
    <w:rsid w:val="004570AB"/>
    <w:rsid w:val="0046560E"/>
    <w:rsid w:val="00472710"/>
    <w:rsid w:val="00485F04"/>
    <w:rsid w:val="00490463"/>
    <w:rsid w:val="00494559"/>
    <w:rsid w:val="004A174A"/>
    <w:rsid w:val="004A7E0D"/>
    <w:rsid w:val="004B4E8A"/>
    <w:rsid w:val="004D0423"/>
    <w:rsid w:val="004E6356"/>
    <w:rsid w:val="004F2A28"/>
    <w:rsid w:val="005128E2"/>
    <w:rsid w:val="00523ED7"/>
    <w:rsid w:val="005430C1"/>
    <w:rsid w:val="005641DE"/>
    <w:rsid w:val="005736B5"/>
    <w:rsid w:val="00586DF7"/>
    <w:rsid w:val="00595A77"/>
    <w:rsid w:val="005A5CFF"/>
    <w:rsid w:val="005F643B"/>
    <w:rsid w:val="00615A48"/>
    <w:rsid w:val="00621782"/>
    <w:rsid w:val="00631EEC"/>
    <w:rsid w:val="00651D2A"/>
    <w:rsid w:val="00653FB9"/>
    <w:rsid w:val="0066487B"/>
    <w:rsid w:val="006671D9"/>
    <w:rsid w:val="00672849"/>
    <w:rsid w:val="00684B1B"/>
    <w:rsid w:val="0068612D"/>
    <w:rsid w:val="00690497"/>
    <w:rsid w:val="006A2D2B"/>
    <w:rsid w:val="006A4B91"/>
    <w:rsid w:val="006B0440"/>
    <w:rsid w:val="006B1A7F"/>
    <w:rsid w:val="006C62B6"/>
    <w:rsid w:val="006D547E"/>
    <w:rsid w:val="006D7ABD"/>
    <w:rsid w:val="006E3F21"/>
    <w:rsid w:val="006F4B36"/>
    <w:rsid w:val="00705394"/>
    <w:rsid w:val="007063C8"/>
    <w:rsid w:val="00712E99"/>
    <w:rsid w:val="007168C4"/>
    <w:rsid w:val="00716F0D"/>
    <w:rsid w:val="0072663D"/>
    <w:rsid w:val="00730B6E"/>
    <w:rsid w:val="00733BB5"/>
    <w:rsid w:val="00734C89"/>
    <w:rsid w:val="0074045A"/>
    <w:rsid w:val="00742AF6"/>
    <w:rsid w:val="007504D3"/>
    <w:rsid w:val="00760488"/>
    <w:rsid w:val="00774869"/>
    <w:rsid w:val="00781850"/>
    <w:rsid w:val="00795AE4"/>
    <w:rsid w:val="007A1741"/>
    <w:rsid w:val="007A3F90"/>
    <w:rsid w:val="007A6814"/>
    <w:rsid w:val="007B562C"/>
    <w:rsid w:val="007B79A0"/>
    <w:rsid w:val="007C32B1"/>
    <w:rsid w:val="007F674F"/>
    <w:rsid w:val="008119C7"/>
    <w:rsid w:val="0081358F"/>
    <w:rsid w:val="00813BCD"/>
    <w:rsid w:val="00823024"/>
    <w:rsid w:val="0083434B"/>
    <w:rsid w:val="008348E4"/>
    <w:rsid w:val="00847E6E"/>
    <w:rsid w:val="00864517"/>
    <w:rsid w:val="00884FDC"/>
    <w:rsid w:val="0089607E"/>
    <w:rsid w:val="008A7F62"/>
    <w:rsid w:val="008B62F5"/>
    <w:rsid w:val="008D4791"/>
    <w:rsid w:val="008F049E"/>
    <w:rsid w:val="008F5F31"/>
    <w:rsid w:val="008F6EE6"/>
    <w:rsid w:val="009134BF"/>
    <w:rsid w:val="00926E7C"/>
    <w:rsid w:val="00941CA5"/>
    <w:rsid w:val="0095758C"/>
    <w:rsid w:val="009771C7"/>
    <w:rsid w:val="00980439"/>
    <w:rsid w:val="00992DCE"/>
    <w:rsid w:val="00994EF8"/>
    <w:rsid w:val="009B1F50"/>
    <w:rsid w:val="009B283B"/>
    <w:rsid w:val="009C54F3"/>
    <w:rsid w:val="009D689C"/>
    <w:rsid w:val="009F1A00"/>
    <w:rsid w:val="009F6D4A"/>
    <w:rsid w:val="00A01D2C"/>
    <w:rsid w:val="00A02D9C"/>
    <w:rsid w:val="00A12548"/>
    <w:rsid w:val="00A236FD"/>
    <w:rsid w:val="00A415AC"/>
    <w:rsid w:val="00A458D8"/>
    <w:rsid w:val="00A5273B"/>
    <w:rsid w:val="00A54634"/>
    <w:rsid w:val="00A806E7"/>
    <w:rsid w:val="00AA4114"/>
    <w:rsid w:val="00AA67CF"/>
    <w:rsid w:val="00AA73C4"/>
    <w:rsid w:val="00AE2A10"/>
    <w:rsid w:val="00AF4136"/>
    <w:rsid w:val="00B00ACA"/>
    <w:rsid w:val="00B0263D"/>
    <w:rsid w:val="00B11426"/>
    <w:rsid w:val="00B26637"/>
    <w:rsid w:val="00B268A7"/>
    <w:rsid w:val="00B26DA8"/>
    <w:rsid w:val="00B477D8"/>
    <w:rsid w:val="00B55EEE"/>
    <w:rsid w:val="00B60848"/>
    <w:rsid w:val="00B818D3"/>
    <w:rsid w:val="00B8734B"/>
    <w:rsid w:val="00B92A21"/>
    <w:rsid w:val="00B95825"/>
    <w:rsid w:val="00BB03A5"/>
    <w:rsid w:val="00BD41A2"/>
    <w:rsid w:val="00BD65F6"/>
    <w:rsid w:val="00BE4148"/>
    <w:rsid w:val="00BE4E08"/>
    <w:rsid w:val="00C16223"/>
    <w:rsid w:val="00C2646B"/>
    <w:rsid w:val="00C454A7"/>
    <w:rsid w:val="00C52F16"/>
    <w:rsid w:val="00C62717"/>
    <w:rsid w:val="00C638E6"/>
    <w:rsid w:val="00C65745"/>
    <w:rsid w:val="00C74F3F"/>
    <w:rsid w:val="00C75EB5"/>
    <w:rsid w:val="00C81775"/>
    <w:rsid w:val="00CB08E4"/>
    <w:rsid w:val="00CB17EF"/>
    <w:rsid w:val="00CB35FB"/>
    <w:rsid w:val="00CC06B2"/>
    <w:rsid w:val="00CC38B6"/>
    <w:rsid w:val="00CD38F5"/>
    <w:rsid w:val="00CE26D2"/>
    <w:rsid w:val="00CE3EB9"/>
    <w:rsid w:val="00CE3FA5"/>
    <w:rsid w:val="00CE6BD9"/>
    <w:rsid w:val="00D01366"/>
    <w:rsid w:val="00D02219"/>
    <w:rsid w:val="00D14F10"/>
    <w:rsid w:val="00D303D0"/>
    <w:rsid w:val="00D665A0"/>
    <w:rsid w:val="00D70D32"/>
    <w:rsid w:val="00D77BCC"/>
    <w:rsid w:val="00D85FE6"/>
    <w:rsid w:val="00D97EE6"/>
    <w:rsid w:val="00DB0144"/>
    <w:rsid w:val="00DC2FF3"/>
    <w:rsid w:val="00DD1CE6"/>
    <w:rsid w:val="00DD456F"/>
    <w:rsid w:val="00DF5BD3"/>
    <w:rsid w:val="00DF5FC4"/>
    <w:rsid w:val="00E34D80"/>
    <w:rsid w:val="00E52B90"/>
    <w:rsid w:val="00E61188"/>
    <w:rsid w:val="00E65A53"/>
    <w:rsid w:val="00E7296F"/>
    <w:rsid w:val="00E75EF3"/>
    <w:rsid w:val="00E77DDF"/>
    <w:rsid w:val="00E80FF1"/>
    <w:rsid w:val="00E817D7"/>
    <w:rsid w:val="00EA7077"/>
    <w:rsid w:val="00EB72A8"/>
    <w:rsid w:val="00EB737F"/>
    <w:rsid w:val="00ED0DF7"/>
    <w:rsid w:val="00ED6003"/>
    <w:rsid w:val="00EF799C"/>
    <w:rsid w:val="00F05D1E"/>
    <w:rsid w:val="00F14121"/>
    <w:rsid w:val="00F31EC6"/>
    <w:rsid w:val="00F332BB"/>
    <w:rsid w:val="00F3759E"/>
    <w:rsid w:val="00F86021"/>
    <w:rsid w:val="00F87ECD"/>
    <w:rsid w:val="00F922C8"/>
    <w:rsid w:val="00F95439"/>
    <w:rsid w:val="00FA1AAE"/>
    <w:rsid w:val="00FA3D3A"/>
    <w:rsid w:val="00FC447A"/>
    <w:rsid w:val="00FD6669"/>
    <w:rsid w:val="00FE5848"/>
    <w:rsid w:val="00FF43D5"/>
    <w:rsid w:val="00FF5D9F"/>
    <w:rsid w:val="02AF3736"/>
    <w:rsid w:val="030A299B"/>
    <w:rsid w:val="040F64ED"/>
    <w:rsid w:val="049701C6"/>
    <w:rsid w:val="04B23286"/>
    <w:rsid w:val="04DB3E9F"/>
    <w:rsid w:val="05BA1FA9"/>
    <w:rsid w:val="075E78A0"/>
    <w:rsid w:val="07F65812"/>
    <w:rsid w:val="08E225DB"/>
    <w:rsid w:val="094E46C5"/>
    <w:rsid w:val="09E25027"/>
    <w:rsid w:val="0A1A678B"/>
    <w:rsid w:val="0B410181"/>
    <w:rsid w:val="0BA42430"/>
    <w:rsid w:val="0E566871"/>
    <w:rsid w:val="0E762DC8"/>
    <w:rsid w:val="0F90684A"/>
    <w:rsid w:val="104E747B"/>
    <w:rsid w:val="11300D6F"/>
    <w:rsid w:val="11425013"/>
    <w:rsid w:val="11672130"/>
    <w:rsid w:val="12917331"/>
    <w:rsid w:val="141A541A"/>
    <w:rsid w:val="146B43CD"/>
    <w:rsid w:val="14D65B9B"/>
    <w:rsid w:val="15B849D6"/>
    <w:rsid w:val="18670E36"/>
    <w:rsid w:val="1A1026D9"/>
    <w:rsid w:val="1A2B1A92"/>
    <w:rsid w:val="1A621B11"/>
    <w:rsid w:val="1B9A04AA"/>
    <w:rsid w:val="1C177FF6"/>
    <w:rsid w:val="1DC55630"/>
    <w:rsid w:val="1EEEAB0C"/>
    <w:rsid w:val="1EFF0BF9"/>
    <w:rsid w:val="1FF05DFA"/>
    <w:rsid w:val="22363830"/>
    <w:rsid w:val="25BF5AD0"/>
    <w:rsid w:val="26DF0A60"/>
    <w:rsid w:val="27BFF689"/>
    <w:rsid w:val="2A217CBF"/>
    <w:rsid w:val="2B1B1072"/>
    <w:rsid w:val="2C904C96"/>
    <w:rsid w:val="2DCC0379"/>
    <w:rsid w:val="2DE041A8"/>
    <w:rsid w:val="2DEE420F"/>
    <w:rsid w:val="2E8F57D2"/>
    <w:rsid w:val="2F0D00F1"/>
    <w:rsid w:val="2F390D9B"/>
    <w:rsid w:val="316D380A"/>
    <w:rsid w:val="32BB017A"/>
    <w:rsid w:val="37595060"/>
    <w:rsid w:val="3874339B"/>
    <w:rsid w:val="38837B2E"/>
    <w:rsid w:val="389204F3"/>
    <w:rsid w:val="3AEE68F3"/>
    <w:rsid w:val="3BCC6EE4"/>
    <w:rsid w:val="3C89458D"/>
    <w:rsid w:val="3D8374F8"/>
    <w:rsid w:val="3D8B4F92"/>
    <w:rsid w:val="3E6C64CA"/>
    <w:rsid w:val="3EED79BC"/>
    <w:rsid w:val="3FEB6EE2"/>
    <w:rsid w:val="44CB12F6"/>
    <w:rsid w:val="46C503B4"/>
    <w:rsid w:val="476A2390"/>
    <w:rsid w:val="47745209"/>
    <w:rsid w:val="48FB289B"/>
    <w:rsid w:val="4A025121"/>
    <w:rsid w:val="4B3FA86B"/>
    <w:rsid w:val="4DEE283C"/>
    <w:rsid w:val="4E074613"/>
    <w:rsid w:val="4E5B0B18"/>
    <w:rsid w:val="4E9F23CE"/>
    <w:rsid w:val="50DE7C18"/>
    <w:rsid w:val="51A83590"/>
    <w:rsid w:val="51CB7306"/>
    <w:rsid w:val="51F26EB8"/>
    <w:rsid w:val="53EF77F1"/>
    <w:rsid w:val="544C250E"/>
    <w:rsid w:val="55402B76"/>
    <w:rsid w:val="55A1696C"/>
    <w:rsid w:val="565C35F0"/>
    <w:rsid w:val="56A67A79"/>
    <w:rsid w:val="57B52159"/>
    <w:rsid w:val="58666886"/>
    <w:rsid w:val="58794113"/>
    <w:rsid w:val="5AF37782"/>
    <w:rsid w:val="5B9C0287"/>
    <w:rsid w:val="5CF31BE5"/>
    <w:rsid w:val="5CFC2B5A"/>
    <w:rsid w:val="5D2B4F20"/>
    <w:rsid w:val="5F820DEF"/>
    <w:rsid w:val="60C46CDA"/>
    <w:rsid w:val="619A1AFA"/>
    <w:rsid w:val="61FD64B9"/>
    <w:rsid w:val="62100B07"/>
    <w:rsid w:val="62DA4838"/>
    <w:rsid w:val="63D39BB5"/>
    <w:rsid w:val="654B489A"/>
    <w:rsid w:val="655B1FC6"/>
    <w:rsid w:val="66A826A5"/>
    <w:rsid w:val="6A4E4EC9"/>
    <w:rsid w:val="6BEF7200"/>
    <w:rsid w:val="6C3E4999"/>
    <w:rsid w:val="6DCF103F"/>
    <w:rsid w:val="6DEA1814"/>
    <w:rsid w:val="6E0C0FBF"/>
    <w:rsid w:val="6F461FF2"/>
    <w:rsid w:val="6FB47734"/>
    <w:rsid w:val="6FEB6014"/>
    <w:rsid w:val="6FF92025"/>
    <w:rsid w:val="72683522"/>
    <w:rsid w:val="742EE251"/>
    <w:rsid w:val="754429A9"/>
    <w:rsid w:val="75623FDA"/>
    <w:rsid w:val="75EB759D"/>
    <w:rsid w:val="76C340B8"/>
    <w:rsid w:val="78FB6FC0"/>
    <w:rsid w:val="79836271"/>
    <w:rsid w:val="79DFD92F"/>
    <w:rsid w:val="7A385159"/>
    <w:rsid w:val="7A98647F"/>
    <w:rsid w:val="7AEB7B1F"/>
    <w:rsid w:val="7B7FC5B6"/>
    <w:rsid w:val="7FE36AFA"/>
    <w:rsid w:val="7FFBE55C"/>
    <w:rsid w:val="7FFD9924"/>
    <w:rsid w:val="7FFF3B28"/>
    <w:rsid w:val="A2F046F7"/>
    <w:rsid w:val="B6DD5D16"/>
    <w:rsid w:val="B73FED4D"/>
    <w:rsid w:val="CFBF0C1F"/>
    <w:rsid w:val="E5FB9160"/>
    <w:rsid w:val="EEFD2297"/>
    <w:rsid w:val="EFFF846F"/>
    <w:rsid w:val="F9FFA592"/>
    <w:rsid w:val="FB3FC574"/>
    <w:rsid w:val="FC7F1338"/>
    <w:rsid w:val="FDFC48E9"/>
    <w:rsid w:val="FFBF57D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8"/>
    <w:autoRedefine/>
    <w:qFormat/>
    <w:uiPriority w:val="99"/>
    <w:pPr>
      <w:keepNext/>
      <w:keepLines/>
      <w:adjustRightInd w:val="0"/>
      <w:snapToGrid w:val="0"/>
      <w:spacing w:line="360" w:lineRule="auto"/>
      <w:outlineLvl w:val="1"/>
    </w:pPr>
    <w:rPr>
      <w:rFonts w:ascii="宋体" w:hAnsi="宋体" w:eastAsia="宋体" w:cs="Times New Roman"/>
      <w:sz w:val="28"/>
      <w:szCs w:val="20"/>
    </w:rPr>
  </w:style>
  <w:style w:type="paragraph" w:styleId="2">
    <w:name w:val="heading 3"/>
    <w:basedOn w:val="1"/>
    <w:next w:val="1"/>
    <w:qFormat/>
    <w:uiPriority w:val="0"/>
    <w:pPr>
      <w:keepNext/>
      <w:keepLines/>
      <w:spacing w:before="260" w:after="260" w:line="415" w:lineRule="auto"/>
      <w:outlineLvl w:val="2"/>
    </w:pPr>
    <w:rPr>
      <w:b/>
      <w:bCs/>
      <w:sz w:val="32"/>
      <w:szCs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420"/>
    </w:pPr>
    <w:rPr>
      <w:rFonts w:ascii="Times New Roman" w:hAnsi="Times New Roman" w:eastAsia="宋体" w:cs="Times New Roman"/>
      <w:sz w:val="24"/>
      <w:szCs w:val="20"/>
    </w:rPr>
  </w:style>
  <w:style w:type="paragraph" w:styleId="5">
    <w:name w:val="Body Text"/>
    <w:basedOn w:val="1"/>
    <w:unhideWhenUsed/>
    <w:qFormat/>
    <w:uiPriority w:val="0"/>
    <w:pPr>
      <w:spacing w:after="120"/>
    </w:pPr>
  </w:style>
  <w:style w:type="paragraph" w:styleId="6">
    <w:name w:val="Body Text Indent"/>
    <w:basedOn w:val="1"/>
    <w:link w:val="19"/>
    <w:autoRedefine/>
    <w:qFormat/>
    <w:uiPriority w:val="0"/>
    <w:pPr>
      <w:spacing w:line="700" w:lineRule="exact"/>
      <w:ind w:left="960"/>
    </w:pPr>
    <w:rPr>
      <w:rFonts w:ascii="Times New Roman" w:hAnsi="Times New Roman" w:eastAsia="宋体" w:cs="Times New Roman"/>
      <w:sz w:val="44"/>
      <w:szCs w:val="20"/>
    </w:rPr>
  </w:style>
  <w:style w:type="paragraph" w:styleId="7">
    <w:name w:val="Date"/>
    <w:basedOn w:val="1"/>
    <w:next w:val="1"/>
    <w:link w:val="23"/>
    <w:qFormat/>
    <w:uiPriority w:val="0"/>
    <w:rPr>
      <w:sz w:val="28"/>
    </w:rPr>
  </w:style>
  <w:style w:type="paragraph" w:styleId="8">
    <w:name w:val="Balloon Text"/>
    <w:basedOn w:val="1"/>
    <w:link w:val="25"/>
    <w:semiHidden/>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rPr>
      <w:sz w:val="24"/>
    </w:rPr>
  </w:style>
  <w:style w:type="paragraph" w:styleId="12">
    <w:name w:val="Title"/>
    <w:basedOn w:val="1"/>
    <w:link w:val="21"/>
    <w:autoRedefine/>
    <w:qFormat/>
    <w:uiPriority w:val="0"/>
    <w:pPr>
      <w:widowControl/>
      <w:jc w:val="center"/>
    </w:pPr>
    <w:rPr>
      <w:szCs w:val="24"/>
      <w:u w:val="single"/>
      <w:lang w:eastAsia="en-US"/>
    </w:rPr>
  </w:style>
  <w:style w:type="character" w:styleId="15">
    <w:name w:val="page number"/>
    <w:autoRedefine/>
    <w:qFormat/>
    <w:uiPriority w:val="0"/>
  </w:style>
  <w:style w:type="character" w:customStyle="1" w:styleId="16">
    <w:name w:val="页眉 Char"/>
    <w:basedOn w:val="14"/>
    <w:link w:val="10"/>
    <w:qFormat/>
    <w:uiPriority w:val="99"/>
    <w:rPr>
      <w:sz w:val="18"/>
      <w:szCs w:val="18"/>
    </w:rPr>
  </w:style>
  <w:style w:type="character" w:customStyle="1" w:styleId="17">
    <w:name w:val="页脚 Char"/>
    <w:basedOn w:val="14"/>
    <w:link w:val="9"/>
    <w:qFormat/>
    <w:uiPriority w:val="99"/>
    <w:rPr>
      <w:sz w:val="18"/>
      <w:szCs w:val="18"/>
    </w:rPr>
  </w:style>
  <w:style w:type="character" w:customStyle="1" w:styleId="18">
    <w:name w:val="标题 2 Char"/>
    <w:basedOn w:val="14"/>
    <w:link w:val="3"/>
    <w:qFormat/>
    <w:uiPriority w:val="99"/>
    <w:rPr>
      <w:rFonts w:ascii="宋体" w:hAnsi="宋体" w:eastAsia="宋体" w:cs="Times New Roman"/>
      <w:sz w:val="28"/>
      <w:szCs w:val="20"/>
    </w:rPr>
  </w:style>
  <w:style w:type="character" w:customStyle="1" w:styleId="19">
    <w:name w:val="正文文本缩进 Char1"/>
    <w:basedOn w:val="14"/>
    <w:link w:val="6"/>
    <w:qFormat/>
    <w:uiPriority w:val="99"/>
    <w:rPr>
      <w:rFonts w:ascii="Times New Roman" w:hAnsi="Times New Roman" w:eastAsia="宋体" w:cs="Times New Roman"/>
      <w:sz w:val="44"/>
      <w:szCs w:val="20"/>
    </w:rPr>
  </w:style>
  <w:style w:type="paragraph" w:styleId="20">
    <w:name w:val="List Paragraph"/>
    <w:basedOn w:val="1"/>
    <w:qFormat/>
    <w:uiPriority w:val="34"/>
    <w:pPr>
      <w:ind w:firstLine="420" w:firstLineChars="200"/>
    </w:pPr>
  </w:style>
  <w:style w:type="character" w:customStyle="1" w:styleId="21">
    <w:name w:val="标题 Char1"/>
    <w:link w:val="12"/>
    <w:autoRedefine/>
    <w:qFormat/>
    <w:uiPriority w:val="0"/>
    <w:rPr>
      <w:szCs w:val="24"/>
      <w:u w:val="single"/>
      <w:lang w:eastAsia="en-US"/>
    </w:rPr>
  </w:style>
  <w:style w:type="character" w:customStyle="1" w:styleId="22">
    <w:name w:val="标题 Char"/>
    <w:basedOn w:val="14"/>
    <w:qFormat/>
    <w:uiPriority w:val="10"/>
    <w:rPr>
      <w:rFonts w:eastAsia="宋体" w:asciiTheme="majorHAnsi" w:hAnsiTheme="majorHAnsi" w:cstheme="majorBidi"/>
      <w:b/>
      <w:bCs/>
      <w:sz w:val="32"/>
      <w:szCs w:val="32"/>
    </w:rPr>
  </w:style>
  <w:style w:type="character" w:customStyle="1" w:styleId="23">
    <w:name w:val="日期 Char"/>
    <w:link w:val="7"/>
    <w:autoRedefine/>
    <w:qFormat/>
    <w:uiPriority w:val="0"/>
    <w:rPr>
      <w:sz w:val="28"/>
    </w:rPr>
  </w:style>
  <w:style w:type="character" w:customStyle="1" w:styleId="24">
    <w:name w:val="日期 Char1"/>
    <w:basedOn w:val="14"/>
    <w:semiHidden/>
    <w:qFormat/>
    <w:uiPriority w:val="99"/>
  </w:style>
  <w:style w:type="character" w:customStyle="1" w:styleId="25">
    <w:name w:val="批注框文本 Char"/>
    <w:basedOn w:val="14"/>
    <w:link w:val="8"/>
    <w:semiHidden/>
    <w:qFormat/>
    <w:uiPriority w:val="99"/>
    <w:rPr>
      <w:sz w:val="18"/>
      <w:szCs w:val="18"/>
    </w:rPr>
  </w:style>
  <w:style w:type="character" w:customStyle="1" w:styleId="26">
    <w:name w:val="15"/>
    <w:basedOn w:val="14"/>
    <w:qFormat/>
    <w:uiPriority w:val="0"/>
    <w:rPr>
      <w:rFonts w:hint="default" w:ascii="Calibri" w:hAnsi="Calibri" w:cs="Calibri"/>
    </w:rPr>
  </w:style>
  <w:style w:type="character" w:customStyle="1" w:styleId="27">
    <w:name w:val="10"/>
    <w:basedOn w:val="14"/>
    <w:qFormat/>
    <w:uiPriority w:val="0"/>
    <w:rPr>
      <w:rFonts w:hint="default" w:ascii="Calibri" w:hAnsi="Calibri" w:cs="Calibri"/>
    </w:rPr>
  </w:style>
  <w:style w:type="character" w:customStyle="1" w:styleId="28">
    <w:name w:val="正文文本缩进 Char"/>
    <w:qFormat/>
    <w:uiPriority w:val="0"/>
    <w:rPr>
      <w:kern w:val="2"/>
      <w:sz w:val="44"/>
    </w:rPr>
  </w:style>
  <w:style w:type="paragraph" w:customStyle="1" w:styleId="2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0">
    <w:name w:val="列出段落1"/>
    <w:basedOn w:val="1"/>
    <w:qFormat/>
    <w:uiPriority w:val="34"/>
    <w:pPr>
      <w:ind w:firstLine="420" w:firstLineChars="200"/>
    </w:pPr>
    <w:rPr>
      <w:rFonts w:ascii="等线" w:hAnsi="等线" w:eastAsia="等线" w:cs="黑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29</Pages>
  <Words>16011</Words>
  <Characters>16474</Characters>
  <Lines>14</Lines>
  <Paragraphs>35</Paragraphs>
  <TotalTime>488</TotalTime>
  <ScaleCrop>false</ScaleCrop>
  <LinksUpToDate>false</LinksUpToDate>
  <CharactersWithSpaces>16943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2019-06-23T17:58:00Z</dcterms:created>
  <dc:creator>熊文</dc:creator>
  <cp:lastModifiedBy>silence</cp:lastModifiedBy>
  <cp:lastPrinted>2021-07-01T00:57:00Z</cp:lastPrinted>
  <dcterms:modified xsi:type="dcterms:W3CDTF">2025-03-07T02:42:03Z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27B14463BFFB465CA662BE3584BE3692</vt:lpwstr>
  </property>
  <property fmtid="{D5CDD505-2E9C-101B-9397-08002B2CF9AE}" pid="4" name="KSOTemplateDocerSaveRecord">
    <vt:lpwstr>eyJoZGlkIjoiZjRmYWUxOWJhMWE5OGFmZGQyNzA0NjBkZTNhOGRjMDEiLCJ1c2VySWQiOiIyNDg4ODMzNzUifQ==</vt:lpwstr>
  </property>
</Properties>
</file>