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C2F238">
      <w:pPr>
        <w:shd w:val="solid" w:color="FFFFFF" w:fill="auto"/>
        <w:autoSpaceDE w:val="0"/>
        <w:spacing w:beforeAutospacing="1" w:afterAutospacing="1" w:line="500" w:lineRule="exact"/>
        <w:ind w:firstLine="720" w:firstLineChars="200"/>
        <w:jc w:val="center"/>
      </w:pPr>
      <w:bookmarkStart w:id="0" w:name="_GoBack"/>
      <w:bookmarkEnd w:id="0"/>
      <w:r>
        <w:rPr>
          <w:rFonts w:hint="eastAsia" w:ascii="方正小标宋_GBK" w:hAnsi="方正小标宋_GBK" w:eastAsia="方正小标宋_GBK" w:cs="方正小标宋_GBK"/>
          <w:sz w:val="36"/>
          <w:szCs w:val="36"/>
          <w:lang w:val="zh-CN"/>
        </w:rPr>
        <w:t>重庆市九龙坡区教育系统</w:t>
      </w:r>
      <w:r>
        <w:rPr>
          <w:rFonts w:hint="eastAsia" w:ascii="方正小标宋_GBK" w:hAnsi="方正小标宋_GBK" w:eastAsia="方正小标宋_GBK" w:cs="方正小标宋_GBK"/>
          <w:sz w:val="36"/>
          <w:szCs w:val="36"/>
        </w:rPr>
        <w:t>2021年集中实施的小型基建维修工程（</w:t>
      </w:r>
      <w:r>
        <w:rPr>
          <w:rFonts w:hint="eastAsia" w:ascii="方正小标宋_GBK" w:hAnsi="方正小标宋_GBK" w:eastAsia="方正小标宋_GBK" w:cs="方正小标宋_GBK"/>
          <w:sz w:val="36"/>
          <w:szCs w:val="36"/>
          <w:lang w:val="zh-CN"/>
        </w:rPr>
        <w:t>限下项目，玉清寺小学运动场、渝西中学运动场</w:t>
      </w:r>
      <w:r>
        <w:rPr>
          <w:rFonts w:hint="eastAsia" w:ascii="方正小标宋_GBK" w:hAnsi="方正小标宋_GBK" w:eastAsia="方正小标宋_GBK" w:cs="方正小标宋_GBK"/>
          <w:sz w:val="36"/>
          <w:szCs w:val="36"/>
        </w:rPr>
        <w:t>）竞争性比选公告</w:t>
      </w:r>
    </w:p>
    <w:p w14:paraId="10C8B8FE">
      <w:pPr>
        <w:numPr>
          <w:ilvl w:val="0"/>
          <w:numId w:val="1"/>
        </w:numPr>
        <w:spacing w:line="54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项目名称：2021年全区中小学小型基建及维修项目---玉清寺小学运动场维修改造工程、2021年全区中小学小型基建及维修项目---渝西中学高中部运动场维修改造工程</w:t>
      </w:r>
    </w:p>
    <w:p w14:paraId="42D10F5F">
      <w:pPr>
        <w:numPr>
          <w:ilvl w:val="0"/>
          <w:numId w:val="1"/>
        </w:numPr>
        <w:spacing w:line="54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本竞争性比选项目已由重庆市九龙坡区发展和改革委员会批准建设，项目资金由区财政筹措解决。</w:t>
      </w:r>
    </w:p>
    <w:p w14:paraId="74AF7CD5">
      <w:pPr>
        <w:spacing w:line="54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三、发包方式：竞争性比选</w:t>
      </w:r>
    </w:p>
    <w:p w14:paraId="1FC50FD3">
      <w:pPr>
        <w:spacing w:line="54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四、实施项目内容分包情况、承包范围、最高限价、工期要求</w:t>
      </w:r>
    </w:p>
    <w:tbl>
      <w:tblPr>
        <w:tblStyle w:val="3"/>
        <w:tblpPr w:leftFromText="180" w:rightFromText="180" w:vertAnchor="text" w:horzAnchor="margin" w:tblpXSpec="center" w:tblpY="448"/>
        <w:tblOverlap w:val="never"/>
        <w:tblW w:w="96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985"/>
        <w:gridCol w:w="1417"/>
        <w:gridCol w:w="1560"/>
        <w:gridCol w:w="1134"/>
        <w:gridCol w:w="1134"/>
        <w:gridCol w:w="850"/>
        <w:gridCol w:w="850"/>
      </w:tblGrid>
      <w:tr w14:paraId="2E710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75" w:type="dxa"/>
            <w:tcBorders>
              <w:top w:val="single" w:color="auto" w:sz="4" w:space="0"/>
              <w:left w:val="single" w:color="auto" w:sz="4" w:space="0"/>
              <w:bottom w:val="single" w:color="auto" w:sz="4" w:space="0"/>
              <w:right w:val="single" w:color="auto" w:sz="4" w:space="0"/>
            </w:tcBorders>
            <w:vAlign w:val="center"/>
          </w:tcPr>
          <w:p w14:paraId="7FAE66DF">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包号</w:t>
            </w:r>
          </w:p>
        </w:tc>
        <w:tc>
          <w:tcPr>
            <w:tcW w:w="1985" w:type="dxa"/>
            <w:tcBorders>
              <w:top w:val="single" w:color="auto" w:sz="4" w:space="0"/>
              <w:left w:val="single" w:color="auto" w:sz="4" w:space="0"/>
              <w:bottom w:val="single" w:color="auto" w:sz="4" w:space="0"/>
              <w:right w:val="single" w:color="auto" w:sz="4" w:space="0"/>
            </w:tcBorders>
            <w:vAlign w:val="center"/>
          </w:tcPr>
          <w:p w14:paraId="6C53959A">
            <w:pPr>
              <w:adjustRightInd w:val="0"/>
              <w:snapToGrid w:val="0"/>
              <w:jc w:val="left"/>
              <w:rPr>
                <w:rFonts w:ascii="方正楷体_GBK" w:hAnsi="方正楷体_GBK" w:eastAsia="方正楷体_GBK" w:cs="方正楷体_GBK"/>
                <w:szCs w:val="21"/>
                <w:shd w:val="clear" w:color="auto" w:fill="FFFFFF"/>
              </w:rPr>
            </w:pPr>
            <w:r>
              <w:rPr>
                <w:rFonts w:ascii="方正楷体_GBK" w:hAnsi="方正楷体_GBK" w:eastAsia="方正楷体_GBK" w:cs="方正楷体_GBK"/>
                <w:szCs w:val="21"/>
                <w:shd w:val="clear" w:color="auto" w:fill="FFFFFF"/>
              </w:rPr>
              <w:t>项目名称</w:t>
            </w:r>
          </w:p>
        </w:tc>
        <w:tc>
          <w:tcPr>
            <w:tcW w:w="1417" w:type="dxa"/>
            <w:tcBorders>
              <w:top w:val="single" w:color="auto" w:sz="4" w:space="0"/>
              <w:left w:val="nil"/>
              <w:bottom w:val="single" w:color="auto" w:sz="4" w:space="0"/>
              <w:right w:val="single" w:color="auto" w:sz="4" w:space="0"/>
            </w:tcBorders>
            <w:vAlign w:val="center"/>
          </w:tcPr>
          <w:p w14:paraId="05EB688D">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项目业主</w:t>
            </w:r>
          </w:p>
        </w:tc>
        <w:tc>
          <w:tcPr>
            <w:tcW w:w="1560" w:type="dxa"/>
            <w:tcBorders>
              <w:top w:val="single" w:color="auto" w:sz="4" w:space="0"/>
              <w:left w:val="nil"/>
              <w:bottom w:val="single" w:color="auto" w:sz="4" w:space="0"/>
              <w:right w:val="single" w:color="auto" w:sz="4" w:space="0"/>
            </w:tcBorders>
            <w:vAlign w:val="center"/>
          </w:tcPr>
          <w:p w14:paraId="013C0D64">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项目概况及建设规模</w:t>
            </w:r>
          </w:p>
        </w:tc>
        <w:tc>
          <w:tcPr>
            <w:tcW w:w="1134" w:type="dxa"/>
            <w:tcBorders>
              <w:top w:val="single" w:color="auto" w:sz="4" w:space="0"/>
              <w:left w:val="nil"/>
              <w:bottom w:val="single" w:color="auto" w:sz="4" w:space="0"/>
              <w:right w:val="single" w:color="auto" w:sz="4" w:space="0"/>
            </w:tcBorders>
            <w:vAlign w:val="center"/>
          </w:tcPr>
          <w:p w14:paraId="337135ED">
            <w:pPr>
              <w:adjustRightInd w:val="0"/>
              <w:snapToGrid w:val="0"/>
              <w:jc w:val="left"/>
              <w:rPr>
                <w:rFonts w:ascii="方正楷体_GBK" w:hAnsi="方正楷体_GBK" w:eastAsia="方正楷体_GBK" w:cs="方正楷体_GBK"/>
                <w:szCs w:val="21"/>
                <w:shd w:val="clear" w:color="auto" w:fill="FFFFFF"/>
              </w:rPr>
            </w:pPr>
            <w:r>
              <w:rPr>
                <w:rFonts w:ascii="方正楷体_GBK" w:hAnsi="方正楷体_GBK" w:eastAsia="方正楷体_GBK" w:cs="方正楷体_GBK"/>
                <w:szCs w:val="21"/>
                <w:shd w:val="clear" w:color="auto" w:fill="FFFFFF"/>
              </w:rPr>
              <w:t>最高限价（万元）</w:t>
            </w:r>
          </w:p>
        </w:tc>
        <w:tc>
          <w:tcPr>
            <w:tcW w:w="1134" w:type="dxa"/>
            <w:tcBorders>
              <w:top w:val="single" w:color="auto" w:sz="4" w:space="0"/>
              <w:left w:val="nil"/>
              <w:bottom w:val="single" w:color="auto" w:sz="4" w:space="0"/>
              <w:right w:val="single" w:color="auto" w:sz="4" w:space="0"/>
            </w:tcBorders>
          </w:tcPr>
          <w:p w14:paraId="27806436">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最高限价合计（万元）</w:t>
            </w:r>
          </w:p>
        </w:tc>
        <w:tc>
          <w:tcPr>
            <w:tcW w:w="850" w:type="dxa"/>
            <w:tcBorders>
              <w:top w:val="single" w:color="auto" w:sz="4" w:space="0"/>
              <w:left w:val="single" w:color="auto" w:sz="4" w:space="0"/>
              <w:bottom w:val="single" w:color="auto" w:sz="4" w:space="0"/>
              <w:right w:val="single" w:color="auto" w:sz="4" w:space="0"/>
            </w:tcBorders>
            <w:vAlign w:val="center"/>
          </w:tcPr>
          <w:p w14:paraId="0E09ABDB">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工期（天）</w:t>
            </w:r>
          </w:p>
        </w:tc>
        <w:tc>
          <w:tcPr>
            <w:tcW w:w="850" w:type="dxa"/>
            <w:tcBorders>
              <w:top w:val="single" w:color="auto" w:sz="4" w:space="0"/>
              <w:left w:val="single" w:color="auto" w:sz="4" w:space="0"/>
              <w:bottom w:val="single" w:color="auto" w:sz="4" w:space="0"/>
              <w:right w:val="single" w:color="auto" w:sz="4" w:space="0"/>
            </w:tcBorders>
          </w:tcPr>
          <w:p w14:paraId="7676DCF7">
            <w:pPr>
              <w:adjustRightInd w:val="0"/>
              <w:snapToGrid w:val="0"/>
              <w:jc w:val="left"/>
              <w:rPr>
                <w:rFonts w:ascii="方正楷体_GBK" w:hAnsi="方正楷体_GBK" w:eastAsia="方正楷体_GBK" w:cs="方正楷体_GBK"/>
                <w:szCs w:val="21"/>
                <w:shd w:val="clear" w:color="auto" w:fill="FFFFFF"/>
              </w:rPr>
            </w:pPr>
          </w:p>
          <w:p w14:paraId="0163A8CB">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备注</w:t>
            </w:r>
          </w:p>
        </w:tc>
      </w:tr>
      <w:tr w14:paraId="3237C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675" w:type="dxa"/>
            <w:vMerge w:val="restart"/>
            <w:tcBorders>
              <w:top w:val="single" w:color="auto" w:sz="4" w:space="0"/>
              <w:left w:val="single" w:color="auto" w:sz="4" w:space="0"/>
              <w:right w:val="single" w:color="auto" w:sz="4" w:space="0"/>
            </w:tcBorders>
            <w:vAlign w:val="center"/>
          </w:tcPr>
          <w:p w14:paraId="7717BD31">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ascii="方正楷体_GBK" w:hAnsi="方正楷体_GBK" w:eastAsia="方正楷体_GBK" w:cs="方正楷体_GBK"/>
                <w:szCs w:val="21"/>
                <w:shd w:val="clear" w:color="auto" w:fill="FFFFFF"/>
              </w:rPr>
              <w:t>1</w:t>
            </w:r>
          </w:p>
        </w:tc>
        <w:tc>
          <w:tcPr>
            <w:tcW w:w="1985" w:type="dxa"/>
            <w:tcBorders>
              <w:top w:val="nil"/>
              <w:left w:val="single" w:color="auto" w:sz="4" w:space="0"/>
              <w:bottom w:val="single" w:color="auto" w:sz="4" w:space="0"/>
              <w:right w:val="single" w:color="auto" w:sz="4" w:space="0"/>
            </w:tcBorders>
            <w:vAlign w:val="center"/>
          </w:tcPr>
          <w:p w14:paraId="15E2AFB2">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2021年全区中小学小型基建及维修项目---玉清寺小学运动场维修改造工程</w:t>
            </w:r>
          </w:p>
        </w:tc>
        <w:tc>
          <w:tcPr>
            <w:tcW w:w="1417" w:type="dxa"/>
            <w:tcBorders>
              <w:top w:val="single" w:color="auto" w:sz="4" w:space="0"/>
              <w:left w:val="nil"/>
              <w:bottom w:val="single" w:color="auto" w:sz="4" w:space="0"/>
              <w:right w:val="single" w:color="auto" w:sz="4" w:space="0"/>
            </w:tcBorders>
            <w:vAlign w:val="center"/>
          </w:tcPr>
          <w:p w14:paraId="00121FAB">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玉清寺小学</w:t>
            </w:r>
          </w:p>
        </w:tc>
        <w:tc>
          <w:tcPr>
            <w:tcW w:w="1560" w:type="dxa"/>
            <w:tcBorders>
              <w:top w:val="single" w:color="auto" w:sz="4" w:space="0"/>
              <w:left w:val="nil"/>
              <w:bottom w:val="single" w:color="auto" w:sz="4" w:space="0"/>
              <w:right w:val="single" w:color="auto" w:sz="4" w:space="0"/>
            </w:tcBorders>
            <w:vAlign w:val="center"/>
          </w:tcPr>
          <w:p w14:paraId="03EC9C41">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维修改造运动场，重新铺设草皮，重做塑胶面层、排水沟等</w:t>
            </w:r>
          </w:p>
        </w:tc>
        <w:tc>
          <w:tcPr>
            <w:tcW w:w="1134" w:type="dxa"/>
            <w:tcBorders>
              <w:top w:val="single" w:color="auto" w:sz="4" w:space="0"/>
              <w:left w:val="nil"/>
              <w:bottom w:val="single" w:color="auto" w:sz="4" w:space="0"/>
              <w:right w:val="single" w:color="auto" w:sz="4" w:space="0"/>
            </w:tcBorders>
            <w:vAlign w:val="center"/>
          </w:tcPr>
          <w:p w14:paraId="614D4C12">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69.45</w:t>
            </w:r>
          </w:p>
        </w:tc>
        <w:tc>
          <w:tcPr>
            <w:tcW w:w="1134" w:type="dxa"/>
            <w:vMerge w:val="restart"/>
            <w:tcBorders>
              <w:top w:val="single" w:color="auto" w:sz="4" w:space="0"/>
              <w:left w:val="nil"/>
              <w:right w:val="single" w:color="auto" w:sz="4" w:space="0"/>
            </w:tcBorders>
          </w:tcPr>
          <w:p w14:paraId="3963760A">
            <w:pPr>
              <w:adjustRightInd w:val="0"/>
              <w:snapToGrid w:val="0"/>
              <w:jc w:val="left"/>
              <w:rPr>
                <w:rFonts w:ascii="方正楷体_GBK" w:hAnsi="方正楷体_GBK" w:eastAsia="方正楷体_GBK" w:cs="方正楷体_GBK"/>
                <w:szCs w:val="21"/>
                <w:shd w:val="clear" w:color="auto" w:fill="FFFFFF"/>
              </w:rPr>
            </w:pPr>
          </w:p>
          <w:p w14:paraId="0C3F7F44">
            <w:pPr>
              <w:pStyle w:val="2"/>
              <w:rPr>
                <w:rFonts w:ascii="方正楷体_GBK" w:hAnsi="方正楷体_GBK" w:eastAsia="方正楷体_GBK" w:cs="方正楷体_GBK"/>
                <w:b w:val="0"/>
                <w:bCs w:val="0"/>
                <w:sz w:val="21"/>
                <w:szCs w:val="21"/>
                <w:shd w:val="clear" w:color="auto" w:fill="FFFFFF"/>
              </w:rPr>
            </w:pPr>
            <w:r>
              <w:rPr>
                <w:rFonts w:hint="eastAsia" w:ascii="方正楷体_GBK" w:hAnsi="方正楷体_GBK" w:eastAsia="方正楷体_GBK" w:cs="方正楷体_GBK"/>
                <w:b w:val="0"/>
                <w:bCs w:val="0"/>
                <w:sz w:val="21"/>
                <w:szCs w:val="21"/>
                <w:shd w:val="clear" w:color="auto" w:fill="FFFFFF"/>
              </w:rPr>
              <w:t>239.67</w:t>
            </w:r>
          </w:p>
          <w:p w14:paraId="3255028E">
            <w:pPr>
              <w:rPr>
                <w:rFonts w:ascii="方正楷体_GBK" w:hAnsi="方正楷体_GBK" w:eastAsia="方正楷体_GBK" w:cs="方正楷体_GBK"/>
                <w:b/>
                <w:bCs/>
                <w:szCs w:val="21"/>
                <w:shd w:val="clear" w:color="auto" w:fill="FFFFFF"/>
              </w:rPr>
            </w:pPr>
          </w:p>
        </w:tc>
        <w:tc>
          <w:tcPr>
            <w:tcW w:w="850" w:type="dxa"/>
            <w:tcBorders>
              <w:top w:val="single" w:color="auto" w:sz="4" w:space="0"/>
              <w:left w:val="single" w:color="auto" w:sz="4" w:space="0"/>
              <w:bottom w:val="single" w:color="auto" w:sz="4" w:space="0"/>
              <w:right w:val="single" w:color="auto" w:sz="4" w:space="0"/>
            </w:tcBorders>
            <w:vAlign w:val="center"/>
          </w:tcPr>
          <w:p w14:paraId="477A8EFF">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35</w:t>
            </w:r>
          </w:p>
        </w:tc>
        <w:tc>
          <w:tcPr>
            <w:tcW w:w="850" w:type="dxa"/>
            <w:tcBorders>
              <w:top w:val="single" w:color="auto" w:sz="4" w:space="0"/>
              <w:left w:val="single" w:color="auto" w:sz="4" w:space="0"/>
              <w:bottom w:val="single" w:color="auto" w:sz="4" w:space="0"/>
              <w:right w:val="single" w:color="auto" w:sz="4" w:space="0"/>
            </w:tcBorders>
          </w:tcPr>
          <w:p w14:paraId="3BC1D8F6">
            <w:pPr>
              <w:adjustRightInd w:val="0"/>
              <w:snapToGrid w:val="0"/>
              <w:jc w:val="left"/>
              <w:rPr>
                <w:rFonts w:ascii="方正楷体_GBK" w:hAnsi="方正楷体_GBK" w:eastAsia="方正楷体_GBK" w:cs="方正楷体_GBK"/>
                <w:szCs w:val="21"/>
                <w:shd w:val="clear" w:color="auto" w:fill="FFFFFF"/>
              </w:rPr>
            </w:pPr>
          </w:p>
        </w:tc>
      </w:tr>
      <w:tr w14:paraId="3FD5B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675" w:type="dxa"/>
            <w:vMerge w:val="continue"/>
            <w:tcBorders>
              <w:left w:val="single" w:color="auto" w:sz="4" w:space="0"/>
              <w:right w:val="single" w:color="auto" w:sz="4" w:space="0"/>
            </w:tcBorders>
            <w:vAlign w:val="center"/>
          </w:tcPr>
          <w:p w14:paraId="10851FCE">
            <w:pPr>
              <w:adjustRightInd w:val="0"/>
              <w:snapToGrid w:val="0"/>
              <w:jc w:val="left"/>
              <w:rPr>
                <w:rFonts w:ascii="方正楷体_GBK" w:hAnsi="方正楷体_GBK" w:eastAsia="方正楷体_GBK" w:cs="方正楷体_GBK"/>
                <w:szCs w:val="21"/>
                <w:shd w:val="clear" w:color="auto" w:fill="FFFFFF"/>
              </w:rPr>
            </w:pPr>
          </w:p>
        </w:tc>
        <w:tc>
          <w:tcPr>
            <w:tcW w:w="1985" w:type="dxa"/>
            <w:tcBorders>
              <w:top w:val="single" w:color="auto" w:sz="4" w:space="0"/>
              <w:left w:val="single" w:color="auto" w:sz="4" w:space="0"/>
              <w:bottom w:val="single" w:color="auto" w:sz="4" w:space="0"/>
              <w:right w:val="single" w:color="auto" w:sz="4" w:space="0"/>
            </w:tcBorders>
            <w:vAlign w:val="center"/>
          </w:tcPr>
          <w:p w14:paraId="5A1DE76D">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2021年全区中小学小型基建及维修项目---渝西中学高中部运动场维修改造工程</w:t>
            </w:r>
          </w:p>
        </w:tc>
        <w:tc>
          <w:tcPr>
            <w:tcW w:w="1417" w:type="dxa"/>
            <w:tcBorders>
              <w:top w:val="single" w:color="auto" w:sz="4" w:space="0"/>
              <w:left w:val="nil"/>
              <w:bottom w:val="single" w:color="auto" w:sz="4" w:space="0"/>
              <w:right w:val="single" w:color="auto" w:sz="4" w:space="0"/>
            </w:tcBorders>
            <w:vAlign w:val="center"/>
          </w:tcPr>
          <w:p w14:paraId="630DD3F7">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渝西中学</w:t>
            </w:r>
          </w:p>
        </w:tc>
        <w:tc>
          <w:tcPr>
            <w:tcW w:w="1560" w:type="dxa"/>
            <w:tcBorders>
              <w:top w:val="single" w:color="auto" w:sz="4" w:space="0"/>
              <w:left w:val="nil"/>
              <w:bottom w:val="single" w:color="auto" w:sz="4" w:space="0"/>
              <w:right w:val="single" w:color="auto" w:sz="4" w:space="0"/>
            </w:tcBorders>
            <w:vAlign w:val="center"/>
          </w:tcPr>
          <w:p w14:paraId="2C34D519">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运动场改为混凝土，铺设塑胶跑道面层等</w:t>
            </w:r>
          </w:p>
        </w:tc>
        <w:tc>
          <w:tcPr>
            <w:tcW w:w="1134" w:type="dxa"/>
            <w:tcBorders>
              <w:top w:val="single" w:color="auto" w:sz="4" w:space="0"/>
              <w:left w:val="nil"/>
              <w:bottom w:val="single" w:color="auto" w:sz="4" w:space="0"/>
              <w:right w:val="single" w:color="auto" w:sz="4" w:space="0"/>
            </w:tcBorders>
            <w:vAlign w:val="center"/>
          </w:tcPr>
          <w:p w14:paraId="3456BFF1">
            <w:pPr>
              <w:adjustRightInd w:val="0"/>
              <w:snapToGrid w:val="0"/>
              <w:jc w:val="left"/>
              <w:rPr>
                <w:rFonts w:ascii="方正楷体_GBK" w:hAnsi="方正楷体_GBK" w:eastAsia="方正楷体_GBK" w:cs="方正楷体_GBK"/>
                <w:szCs w:val="21"/>
                <w:shd w:val="clear" w:color="auto" w:fill="FFFFFF"/>
              </w:rPr>
            </w:pPr>
            <w:r>
              <w:rPr>
                <w:rFonts w:ascii="方正楷体_GBK" w:hAnsi="方正楷体_GBK" w:eastAsia="方正楷体_GBK" w:cs="方正楷体_GBK"/>
                <w:szCs w:val="21"/>
                <w:shd w:val="clear" w:color="auto" w:fill="FFFFFF"/>
              </w:rPr>
              <w:t>170</w:t>
            </w:r>
            <w:r>
              <w:rPr>
                <w:rFonts w:hint="eastAsia" w:ascii="方正楷体_GBK" w:hAnsi="方正楷体_GBK" w:eastAsia="方正楷体_GBK" w:cs="方正楷体_GBK"/>
                <w:szCs w:val="21"/>
                <w:shd w:val="clear" w:color="auto" w:fill="FFFFFF"/>
              </w:rPr>
              <w:t>.</w:t>
            </w:r>
            <w:r>
              <w:rPr>
                <w:rFonts w:ascii="方正楷体_GBK" w:hAnsi="方正楷体_GBK" w:eastAsia="方正楷体_GBK" w:cs="方正楷体_GBK"/>
                <w:szCs w:val="21"/>
                <w:shd w:val="clear" w:color="auto" w:fill="FFFFFF"/>
              </w:rPr>
              <w:t>22</w:t>
            </w:r>
          </w:p>
        </w:tc>
        <w:tc>
          <w:tcPr>
            <w:tcW w:w="1134" w:type="dxa"/>
            <w:vMerge w:val="continue"/>
            <w:tcBorders>
              <w:left w:val="nil"/>
              <w:right w:val="single" w:color="auto" w:sz="4" w:space="0"/>
            </w:tcBorders>
          </w:tcPr>
          <w:p w14:paraId="133B232F">
            <w:pPr>
              <w:adjustRightInd w:val="0"/>
              <w:snapToGrid w:val="0"/>
              <w:jc w:val="left"/>
              <w:rPr>
                <w:rFonts w:ascii="方正楷体_GBK" w:hAnsi="方正楷体_GBK" w:eastAsia="方正楷体_GBK" w:cs="方正楷体_GBK"/>
                <w:szCs w:val="21"/>
                <w:highlight w:val="yellow"/>
                <w:shd w:val="clear" w:color="auto" w:fill="FFFFFF"/>
              </w:rPr>
            </w:pPr>
          </w:p>
        </w:tc>
        <w:tc>
          <w:tcPr>
            <w:tcW w:w="850" w:type="dxa"/>
            <w:tcBorders>
              <w:top w:val="single" w:color="auto" w:sz="4" w:space="0"/>
              <w:left w:val="single" w:color="auto" w:sz="4" w:space="0"/>
              <w:bottom w:val="single" w:color="auto" w:sz="4" w:space="0"/>
              <w:right w:val="single" w:color="auto" w:sz="4" w:space="0"/>
            </w:tcBorders>
            <w:vAlign w:val="center"/>
          </w:tcPr>
          <w:p w14:paraId="40CFCEC7">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45</w:t>
            </w:r>
          </w:p>
        </w:tc>
        <w:tc>
          <w:tcPr>
            <w:tcW w:w="850" w:type="dxa"/>
            <w:tcBorders>
              <w:top w:val="single" w:color="auto" w:sz="4" w:space="0"/>
              <w:left w:val="single" w:color="auto" w:sz="4" w:space="0"/>
              <w:bottom w:val="single" w:color="auto" w:sz="4" w:space="0"/>
              <w:right w:val="single" w:color="auto" w:sz="4" w:space="0"/>
            </w:tcBorders>
          </w:tcPr>
          <w:p w14:paraId="6DD89E74">
            <w:pPr>
              <w:adjustRightInd w:val="0"/>
              <w:snapToGrid w:val="0"/>
              <w:jc w:val="left"/>
              <w:rPr>
                <w:rFonts w:ascii="方正楷体_GBK" w:hAnsi="方正楷体_GBK" w:eastAsia="方正楷体_GBK" w:cs="方正楷体_GBK"/>
                <w:szCs w:val="21"/>
                <w:shd w:val="clear" w:color="auto" w:fill="FFFFFF"/>
              </w:rPr>
            </w:pPr>
          </w:p>
          <w:p w14:paraId="2892122E">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highlight w:val="yellow"/>
                <w:shd w:val="clear" w:color="auto" w:fill="FFFFFF"/>
              </w:rPr>
              <w:t>须办理施工许可证</w:t>
            </w:r>
          </w:p>
        </w:tc>
      </w:tr>
    </w:tbl>
    <w:p w14:paraId="0C25E693">
      <w:pPr>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承包范围：详见施工图图纸图说资料和工程量清单。</w:t>
      </w:r>
    </w:p>
    <w:p w14:paraId="3B398E40">
      <w:pPr>
        <w:numPr>
          <w:ilvl w:val="0"/>
          <w:numId w:val="2"/>
        </w:num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投标人投标资格：</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 xml:space="preserve">    1.必须具备建设行政主管部门颁发的房屋工程总承包叁级及以上资质或市政工程施工总承包叁级及以上资质（须提供有效的营业执照、资质证书复印件，原件备查）。</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 xml:space="preserve">    2.必须具备建设行政主管部门颁发的有效的安全生产许可证（须提供有效的安全生产许可证复印件，原件备查）。</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 xml:space="preserve">    3.</w:t>
      </w:r>
      <w:r>
        <w:rPr>
          <w:rFonts w:hint="eastAsia" w:ascii="方正楷体_GBK" w:hAnsi="方正楷体_GBK" w:eastAsia="方正楷体_GBK" w:cs="方正楷体_GBK"/>
          <w:sz w:val="28"/>
          <w:szCs w:val="28"/>
          <w:highlight w:val="yellow"/>
          <w:shd w:val="clear" w:color="auto" w:fill="FFFFFF"/>
        </w:rPr>
        <w:t>投标人负责该工程的项目经理需具备房屋建筑工程类专业贰级及以上注册建造师执业资格或市政工程贰级及以上注册建造师执业资格，技术负责人需具备建筑工程类或市政工程类中级及以上工程师职称，安全员持有有效证件。</w:t>
      </w:r>
      <w:r>
        <w:rPr>
          <w:rFonts w:hint="eastAsia" w:ascii="方正楷体_GBK" w:hAnsi="方正楷体_GBK" w:eastAsia="方正楷体_GBK" w:cs="方正楷体_GBK"/>
          <w:sz w:val="28"/>
          <w:szCs w:val="28"/>
          <w:shd w:val="clear" w:color="auto" w:fill="FFFFFF"/>
        </w:rPr>
        <w:t>提供项目经理、技术负责人、安全员证书复印件（加盖鲜章，若提交虚假证件，一经发现，取消中选资格且比选保证金不予退还）。项目经理、技术负责人、安全员、比选申请人投标时的授权委托人须为投标人本企业员工，并提供2021年3月-5月的为其缴纳的社保证明。</w:t>
      </w:r>
    </w:p>
    <w:p w14:paraId="0E30E164">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highlight w:val="yellow"/>
          <w:shd w:val="clear" w:color="auto" w:fill="FFFFFF"/>
        </w:rPr>
        <w:t>4. 业绩要求</w:t>
      </w:r>
      <w:r>
        <w:rPr>
          <w:rFonts w:ascii="方正楷体_GBK" w:hAnsi="方正楷体_GBK" w:eastAsia="方正楷体_GBK" w:cs="方正楷体_GBK"/>
          <w:sz w:val="28"/>
          <w:szCs w:val="28"/>
          <w:highlight w:val="yellow"/>
          <w:shd w:val="clear" w:color="auto" w:fill="FFFFFF"/>
        </w:rPr>
        <w:t>：竞选</w:t>
      </w:r>
      <w:r>
        <w:rPr>
          <w:rFonts w:hint="eastAsia" w:ascii="方正楷体_GBK" w:hAnsi="方正楷体_GBK" w:eastAsia="方正楷体_GBK" w:cs="方正楷体_GBK"/>
          <w:sz w:val="28"/>
          <w:szCs w:val="28"/>
          <w:highlight w:val="yellow"/>
          <w:shd w:val="clear" w:color="auto" w:fill="FFFFFF"/>
        </w:rPr>
        <w:t>人自 2018年 1 月 1 日起至投标截止日止（以竣工时间为准）至少完成过1个单项合同金额不少于人民币100万元</w:t>
      </w:r>
      <w:r>
        <w:rPr>
          <w:rFonts w:ascii="方正楷体_GBK" w:hAnsi="方正楷体_GBK" w:eastAsia="方正楷体_GBK" w:cs="方正楷体_GBK"/>
          <w:sz w:val="28"/>
          <w:szCs w:val="28"/>
          <w:highlight w:val="yellow"/>
          <w:shd w:val="clear" w:color="auto" w:fill="FFFFFF"/>
        </w:rPr>
        <w:t>及以上</w:t>
      </w:r>
      <w:r>
        <w:rPr>
          <w:rFonts w:hint="eastAsia" w:ascii="方正楷体_GBK" w:hAnsi="方正楷体_GBK" w:eastAsia="方正楷体_GBK" w:cs="方正楷体_GBK"/>
          <w:sz w:val="28"/>
          <w:szCs w:val="28"/>
          <w:highlight w:val="yellow"/>
          <w:shd w:val="clear" w:color="auto" w:fill="FFFFFF"/>
        </w:rPr>
        <w:t>的</w:t>
      </w:r>
      <w:r>
        <w:rPr>
          <w:rFonts w:ascii="方正楷体_GBK" w:hAnsi="方正楷体_GBK" w:eastAsia="方正楷体_GBK" w:cs="方正楷体_GBK"/>
          <w:sz w:val="28"/>
          <w:szCs w:val="28"/>
          <w:highlight w:val="yellow"/>
          <w:shd w:val="clear" w:color="auto" w:fill="FFFFFF"/>
        </w:rPr>
        <w:t>学校</w:t>
      </w:r>
      <w:r>
        <w:rPr>
          <w:rFonts w:hint="eastAsia" w:ascii="方正楷体_GBK" w:hAnsi="方正楷体_GBK" w:eastAsia="方正楷体_GBK" w:cs="方正楷体_GBK"/>
          <w:sz w:val="28"/>
          <w:szCs w:val="28"/>
          <w:highlight w:val="yellow"/>
          <w:shd w:val="clear" w:color="auto" w:fill="FFFFFF"/>
        </w:rPr>
        <w:t>运动场</w:t>
      </w:r>
      <w:r>
        <w:rPr>
          <w:rFonts w:ascii="方正楷体_GBK" w:hAnsi="方正楷体_GBK" w:eastAsia="方正楷体_GBK" w:cs="方正楷体_GBK"/>
          <w:sz w:val="28"/>
          <w:szCs w:val="28"/>
          <w:highlight w:val="yellow"/>
          <w:shd w:val="clear" w:color="auto" w:fill="FFFFFF"/>
        </w:rPr>
        <w:t>的修建或</w:t>
      </w:r>
      <w:r>
        <w:rPr>
          <w:rFonts w:hint="eastAsia" w:ascii="方正楷体_GBK" w:hAnsi="方正楷体_GBK" w:eastAsia="方正楷体_GBK" w:cs="方正楷体_GBK"/>
          <w:sz w:val="28"/>
          <w:szCs w:val="28"/>
          <w:highlight w:val="yellow"/>
          <w:shd w:val="clear" w:color="auto" w:fill="FFFFFF"/>
        </w:rPr>
        <w:t>改造</w:t>
      </w:r>
      <w:r>
        <w:rPr>
          <w:rFonts w:ascii="方正楷体_GBK" w:hAnsi="方正楷体_GBK" w:eastAsia="方正楷体_GBK" w:cs="方正楷体_GBK"/>
          <w:sz w:val="28"/>
          <w:szCs w:val="28"/>
          <w:highlight w:val="yellow"/>
          <w:shd w:val="clear" w:color="auto" w:fill="FFFFFF"/>
        </w:rPr>
        <w:t>项目</w:t>
      </w:r>
      <w:r>
        <w:rPr>
          <w:rFonts w:hint="eastAsia" w:ascii="方正楷体_GBK" w:hAnsi="方正楷体_GBK" w:eastAsia="方正楷体_GBK" w:cs="方正楷体_GBK"/>
          <w:sz w:val="28"/>
          <w:szCs w:val="28"/>
          <w:highlight w:val="yellow"/>
          <w:shd w:val="clear" w:color="auto" w:fill="FFFFFF"/>
        </w:rPr>
        <w:t>（业绩必须为运动场整体建设项目，不能是单项分部工程或在建项目）。须提供业绩的中标通知书、合同协议书和竣工验收证明材料复印件，加盖投标单位鲜章.</w:t>
      </w:r>
    </w:p>
    <w:p w14:paraId="70085375">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5.重庆市外企业参与投标的需自行承诺根据符合重庆市建委《市外建筑施工企业入渝信息报送管理办法》的相关规定，已办理相关手续。否则，视为虚假应标，自行承担相应后果。（格式自拟加盖投标人公章，法人代表或授权代表签字） 。</w:t>
      </w:r>
    </w:p>
    <w:p w14:paraId="3052A754">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六、报价要求</w:t>
      </w:r>
    </w:p>
    <w:p w14:paraId="24A2097C">
      <w:pPr>
        <w:adjustRightInd w:val="0"/>
        <w:snapToGrid w:val="0"/>
        <w:spacing w:line="600" w:lineRule="exact"/>
        <w:ind w:left="63" w:leftChars="3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1. 比选申请人在报名时，将报价用信封单独密封盖章后装入资料审查文件包一并提交。竞争性比选现场启封后，以下浮比例最高的确定为拟中选承包商的中选下浮比例。如果比选申请人的报价中，最高下浮比例出现相同的，则当众抽签确定拟中选承包商。</w:t>
      </w:r>
    </w:p>
    <w:p w14:paraId="26982557">
      <w:pPr>
        <w:adjustRightInd w:val="0"/>
        <w:snapToGrid w:val="0"/>
        <w:spacing w:line="600" w:lineRule="exact"/>
        <w:ind w:left="63" w:leftChars="30" w:firstLine="700" w:firstLineChars="25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由于暑期维修项目具有时间短、项目分散的特殊性，为保证如期完工开学，因此在2021年6月-9月参与“2021年集中实施的小型基建维修工程竞争性比选”已中选或在中选结果公示期的单位，不得再次参与区教育系统2021年暑期6月-9月集中招标的“2021年集中实施的小型基建维修工程竞争性比选”项目投标，否则视为无效投标。</w:t>
      </w:r>
    </w:p>
    <w:p w14:paraId="0F37FC6A">
      <w:pPr>
        <w:adjustRightInd w:val="0"/>
        <w:snapToGrid w:val="0"/>
        <w:spacing w:line="600" w:lineRule="exact"/>
        <w:ind w:left="63" w:leftChars="3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2.低价风险担保</w:t>
      </w:r>
    </w:p>
    <w:p w14:paraId="60F2C371">
      <w:pPr>
        <w:adjustRightInd w:val="0"/>
        <w:snapToGrid w:val="0"/>
        <w:spacing w:line="600" w:lineRule="exact"/>
        <w:ind w:left="63" w:leftChars="3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（1）低价风险担保：若中选价低于最高限价的85%时（下浮比例与发布的暂定最高限价相乘），需提供低价风险担保金。</w:t>
      </w:r>
    </w:p>
    <w:p w14:paraId="63AF8411">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（2）中选人提供低价风险担保的形式、金额及期限：</w:t>
      </w:r>
    </w:p>
    <w:p w14:paraId="19F9829C">
      <w:pPr>
        <w:adjustRightInd w:val="0"/>
        <w:snapToGrid w:val="0"/>
        <w:spacing w:line="600" w:lineRule="exact"/>
        <w:ind w:firstLine="280" w:firstLineChars="100"/>
        <w:jc w:val="left"/>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①</w:t>
      </w:r>
      <w:r>
        <w:rPr>
          <w:rFonts w:hint="eastAsia" w:ascii="方正楷体_GBK" w:hAnsi="方正楷体_GBK" w:eastAsia="方正楷体_GBK" w:cs="方正楷体_GBK"/>
          <w:sz w:val="28"/>
          <w:szCs w:val="28"/>
          <w:shd w:val="clear" w:color="auto" w:fill="FFFFFF"/>
        </w:rPr>
        <w:t>低价风险担保的形式：现金；</w:t>
      </w:r>
    </w:p>
    <w:p w14:paraId="11358A55">
      <w:pPr>
        <w:adjustRightInd w:val="0"/>
        <w:snapToGrid w:val="0"/>
        <w:spacing w:line="600" w:lineRule="exact"/>
        <w:ind w:firstLine="280" w:firstLineChars="100"/>
        <w:jc w:val="left"/>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②</w:t>
      </w:r>
      <w:r>
        <w:rPr>
          <w:rFonts w:hint="eastAsia" w:ascii="方正楷体_GBK" w:hAnsi="方正楷体_GBK" w:eastAsia="方正楷体_GBK" w:cs="方正楷体_GBK"/>
          <w:sz w:val="28"/>
          <w:szCs w:val="28"/>
          <w:shd w:val="clear" w:color="auto" w:fill="FFFFFF"/>
        </w:rPr>
        <w:t>低价风险担保的金额：（最高限价×85%-中选价）×□1□2</w:t>
      </w:r>
      <w:r>
        <w:rPr>
          <w:rFonts w:hint="eastAsia" w:ascii="MS Mincho" w:hAnsi="MS Mincho" w:eastAsia="MS Mincho" w:cs="MS Mincho"/>
          <w:sz w:val="28"/>
          <w:szCs w:val="28"/>
          <w:shd w:val="clear" w:color="auto" w:fill="FFFFFF"/>
        </w:rPr>
        <w:t>☑</w:t>
      </w:r>
      <w:r>
        <w:rPr>
          <w:rFonts w:hint="eastAsia" w:ascii="方正楷体_GBK" w:hAnsi="方正楷体_GBK" w:eastAsia="方正楷体_GBK" w:cs="方正楷体_GBK"/>
          <w:sz w:val="28"/>
          <w:szCs w:val="28"/>
          <w:shd w:val="clear" w:color="auto" w:fill="FFFFFF"/>
        </w:rPr>
        <w:t>3）；</w:t>
      </w:r>
    </w:p>
    <w:p w14:paraId="66168BC0">
      <w:pPr>
        <w:adjustRightInd w:val="0"/>
        <w:snapToGrid w:val="0"/>
        <w:spacing w:line="600" w:lineRule="exact"/>
        <w:ind w:firstLine="280" w:firstLineChars="100"/>
        <w:jc w:val="left"/>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③</w:t>
      </w:r>
      <w:r>
        <w:rPr>
          <w:rFonts w:hint="eastAsia" w:ascii="方正楷体_GBK" w:hAnsi="方正楷体_GBK" w:eastAsia="方正楷体_GBK" w:cs="方正楷体_GBK"/>
          <w:sz w:val="28"/>
          <w:szCs w:val="28"/>
          <w:shd w:val="clear" w:color="auto" w:fill="FFFFFF"/>
        </w:rPr>
        <w:t>低价风险担保的提交时间：中标候选人公示结束后5个工作日内，中选人按担保金额向比选人提交低价风险担保；如不按时足额提供，视为中选人放弃中选，比选人有权不退还其比选保证金。</w:t>
      </w:r>
    </w:p>
    <w:p w14:paraId="509E7B3D">
      <w:pPr>
        <w:adjustRightInd w:val="0"/>
        <w:snapToGrid w:val="0"/>
        <w:spacing w:line="600" w:lineRule="exact"/>
        <w:ind w:firstLine="280" w:firstLineChars="1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④中选人因自身原因未按中选通知书规定的时限与比选人签订合同的，比选人有权扣除其低价风险担保并取消中选资格。</w:t>
      </w:r>
    </w:p>
    <w:p w14:paraId="1CBA6999">
      <w:pPr>
        <w:adjustRightInd w:val="0"/>
        <w:snapToGrid w:val="0"/>
        <w:spacing w:line="600" w:lineRule="exact"/>
        <w:ind w:firstLine="280" w:firstLineChars="1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⑤低价风险担保的期限：自提交低价风险担保之日起至竣工验收合格之日止。</w:t>
      </w:r>
    </w:p>
    <w:p w14:paraId="2A176B4D">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（3）低价风险担保的退还时间：竣工验收合格后退还。</w:t>
      </w:r>
    </w:p>
    <w:p w14:paraId="34FA32D1">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3.如果中选人未按时足额提交低价风险担保金或中选人因自身原因未按中选通知书规定的时限与比选人签订合同的，视为中选人恶意放弃中选机会。该中选人三年内不得参加九龙坡区教育系统小型基建维修工程项目的竞争性比选。比选人将重新招标。</w:t>
      </w:r>
    </w:p>
    <w:p w14:paraId="058488B8">
      <w:pPr>
        <w:pStyle w:val="6"/>
        <w:adjustRightInd w:val="0"/>
        <w:snapToGrid w:val="0"/>
        <w:spacing w:line="600" w:lineRule="exact"/>
        <w:ind w:firstLine="140" w:firstLineChars="5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（4）低价风险担保的收款信息</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收款单位：重庆市九龙坡区财政局</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lang w:eastAsia="zh-CN"/>
        </w:rPr>
        <w:t>账号</w:t>
      </w:r>
      <w:r>
        <w:rPr>
          <w:rFonts w:hint="eastAsia" w:ascii="方正楷体_GBK" w:hAnsi="方正楷体_GBK" w:eastAsia="方正楷体_GBK" w:cs="方正楷体_GBK"/>
          <w:sz w:val="28"/>
          <w:szCs w:val="28"/>
          <w:shd w:val="clear" w:color="auto" w:fill="FFFFFF"/>
        </w:rPr>
        <w:t>：50001034100050005078-00254</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开户银行：建行西郊支行</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务必在进帐单备注栏上填：050900206</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用途栏：填写项目名称及项目编号</w:t>
      </w:r>
    </w:p>
    <w:p w14:paraId="4EF7588F">
      <w:pPr>
        <w:pStyle w:val="6"/>
        <w:adjustRightInd w:val="0"/>
        <w:snapToGrid w:val="0"/>
        <w:spacing w:line="600" w:lineRule="exact"/>
        <w:ind w:firstLine="0" w:firstLineChars="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低价风险担保须从中选的单位账户转出</w:t>
      </w:r>
    </w:p>
    <w:p w14:paraId="76A5D1C4">
      <w:pPr>
        <w:pStyle w:val="6"/>
        <w:adjustRightInd w:val="0"/>
        <w:snapToGrid w:val="0"/>
        <w:spacing w:line="600" w:lineRule="exact"/>
        <w:ind w:firstLine="0" w:firstLineChars="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七</w:t>
      </w:r>
      <w:r>
        <w:rPr>
          <w:rFonts w:ascii="方正楷体_GBK" w:hAnsi="方正楷体_GBK" w:eastAsia="方正楷体_GBK" w:cs="方正楷体_GBK"/>
          <w:sz w:val="28"/>
          <w:szCs w:val="28"/>
          <w:shd w:val="clear" w:color="auto" w:fill="FFFFFF"/>
        </w:rPr>
        <w:t>、比选保证金</w:t>
      </w:r>
    </w:p>
    <w:p w14:paraId="774C6972">
      <w:pPr>
        <w:pStyle w:val="6"/>
        <w:adjustRightInd w:val="0"/>
        <w:snapToGrid w:val="0"/>
        <w:spacing w:line="600" w:lineRule="exact"/>
        <w:ind w:firstLine="140" w:firstLineChars="50"/>
        <w:jc w:val="left"/>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1、保证金为</w:t>
      </w:r>
      <w:r>
        <w:rPr>
          <w:rFonts w:hint="eastAsia" w:ascii="方正楷体_GBK" w:hAnsi="方正楷体_GBK" w:eastAsia="方正楷体_GBK" w:cs="方正楷体_GBK"/>
          <w:sz w:val="28"/>
          <w:szCs w:val="28"/>
          <w:shd w:val="clear" w:color="auto" w:fill="FFFFFF"/>
        </w:rPr>
        <w:t>：48000</w:t>
      </w:r>
      <w:r>
        <w:rPr>
          <w:rFonts w:ascii="方正楷体_GBK" w:hAnsi="方正楷体_GBK" w:eastAsia="方正楷体_GBK" w:cs="方正楷体_GBK"/>
          <w:sz w:val="28"/>
          <w:szCs w:val="28"/>
          <w:shd w:val="clear" w:color="auto" w:fill="FFFFFF"/>
        </w:rPr>
        <w:t>元人民币</w:t>
      </w:r>
      <w:r>
        <w:rPr>
          <w:rFonts w:hint="eastAsia" w:ascii="方正楷体_GBK" w:hAnsi="方正楷体_GBK" w:eastAsia="方正楷体_GBK" w:cs="方正楷体_GBK"/>
          <w:sz w:val="28"/>
          <w:szCs w:val="28"/>
          <w:shd w:val="clear" w:color="auto" w:fill="FFFFFF"/>
        </w:rPr>
        <w:t>；</w:t>
      </w:r>
    </w:p>
    <w:p w14:paraId="328DAC7C">
      <w:pPr>
        <w:pStyle w:val="6"/>
        <w:adjustRightInd w:val="0"/>
        <w:snapToGrid w:val="0"/>
        <w:spacing w:line="600" w:lineRule="exact"/>
        <w:ind w:firstLine="140" w:firstLineChars="50"/>
        <w:jc w:val="left"/>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2、提交时间：报名时现场</w:t>
      </w:r>
      <w:r>
        <w:rPr>
          <w:rFonts w:hint="eastAsia" w:ascii="方正楷体_GBK" w:hAnsi="方正楷体_GBK" w:eastAsia="方正楷体_GBK" w:cs="方正楷体_GBK"/>
          <w:sz w:val="28"/>
          <w:szCs w:val="28"/>
          <w:shd w:val="clear" w:color="auto" w:fill="FFFFFF"/>
        </w:rPr>
        <w:t>提交。</w:t>
      </w:r>
    </w:p>
    <w:p w14:paraId="40F2CAB0">
      <w:pPr>
        <w:pStyle w:val="6"/>
        <w:adjustRightInd w:val="0"/>
        <w:snapToGrid w:val="0"/>
        <w:spacing w:line="600" w:lineRule="exact"/>
        <w:ind w:firstLine="140" w:firstLineChars="5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3、提交方式：现金或者银行保函。现金方式须现场</w:t>
      </w:r>
      <w:r>
        <w:rPr>
          <w:rFonts w:ascii="方正楷体_GBK" w:hAnsi="方正楷体_GBK" w:eastAsia="方正楷体_GBK" w:cs="方正楷体_GBK"/>
          <w:sz w:val="28"/>
          <w:szCs w:val="28"/>
          <w:shd w:val="clear" w:color="auto" w:fill="FFFFFF"/>
        </w:rPr>
        <w:t>刷POSS机提交（法人或法人授权代表刷卡）</w:t>
      </w:r>
      <w:r>
        <w:rPr>
          <w:rFonts w:hint="eastAsia" w:ascii="方正楷体_GBK" w:hAnsi="方正楷体_GBK" w:eastAsia="方正楷体_GBK" w:cs="方正楷体_GBK"/>
          <w:sz w:val="28"/>
          <w:szCs w:val="28"/>
          <w:shd w:val="clear" w:color="auto" w:fill="FFFFFF"/>
        </w:rPr>
        <w:t>；银行保函方式须报名现场提交银行保 函原件，保函必须不可撤销且见索即付。</w:t>
      </w:r>
    </w:p>
    <w:p w14:paraId="227E1946">
      <w:pPr>
        <w:pStyle w:val="6"/>
        <w:adjustRightInd w:val="0"/>
        <w:snapToGrid w:val="0"/>
        <w:spacing w:line="600" w:lineRule="exact"/>
        <w:ind w:firstLine="140" w:firstLineChars="5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4</w:t>
      </w:r>
      <w:r>
        <w:rPr>
          <w:rFonts w:ascii="方正楷体_GBK" w:hAnsi="方正楷体_GBK" w:eastAsia="方正楷体_GBK" w:cs="方正楷体_GBK"/>
          <w:sz w:val="28"/>
          <w:szCs w:val="28"/>
          <w:shd w:val="clear" w:color="auto" w:fill="FFFFFF"/>
        </w:rPr>
        <w:t>、退还时间：在开标公布中选人后未中选人当天退还。中选人的比选保证金转为履约保证金</w:t>
      </w:r>
      <w:r>
        <w:rPr>
          <w:rFonts w:hint="eastAsia" w:ascii="方正楷体_GBK" w:hAnsi="方正楷体_GBK" w:eastAsia="方正楷体_GBK" w:cs="方正楷体_GBK"/>
          <w:sz w:val="28"/>
          <w:szCs w:val="28"/>
          <w:highlight w:val="yellow"/>
          <w:shd w:val="clear" w:color="auto" w:fill="FFFFFF"/>
        </w:rPr>
        <w:t>，若中选人报名时提供的比选保证金为银行保函，中选人必须现场</w:t>
      </w:r>
      <w:r>
        <w:rPr>
          <w:rFonts w:ascii="方正楷体_GBK" w:hAnsi="方正楷体_GBK" w:eastAsia="方正楷体_GBK" w:cs="方正楷体_GBK"/>
          <w:sz w:val="28"/>
          <w:szCs w:val="28"/>
          <w:highlight w:val="yellow"/>
          <w:shd w:val="clear" w:color="auto" w:fill="FFFFFF"/>
        </w:rPr>
        <w:t>刷POSS机提交</w:t>
      </w:r>
      <w:r>
        <w:rPr>
          <w:rFonts w:hint="eastAsia" w:ascii="方正楷体_GBK" w:hAnsi="方正楷体_GBK" w:eastAsia="方正楷体_GBK" w:cs="方正楷体_GBK"/>
          <w:sz w:val="28"/>
          <w:szCs w:val="28"/>
          <w:highlight w:val="yellow"/>
          <w:shd w:val="clear" w:color="auto" w:fill="FFFFFF"/>
        </w:rPr>
        <w:t>履约保证金</w:t>
      </w:r>
      <w:r>
        <w:rPr>
          <w:rFonts w:ascii="方正楷体_GBK" w:hAnsi="方正楷体_GBK" w:eastAsia="方正楷体_GBK" w:cs="方正楷体_GBK"/>
          <w:sz w:val="28"/>
          <w:szCs w:val="28"/>
          <w:highlight w:val="yellow"/>
          <w:shd w:val="clear" w:color="auto" w:fill="FFFFFF"/>
        </w:rPr>
        <w:t>（法人或法人授权代表刷卡）。</w:t>
      </w:r>
    </w:p>
    <w:p w14:paraId="7A28DD65">
      <w:pPr>
        <w:pStyle w:val="6"/>
        <w:adjustRightInd w:val="0"/>
        <w:snapToGrid w:val="0"/>
        <w:spacing w:line="600" w:lineRule="exact"/>
        <w:ind w:firstLine="140" w:firstLineChars="5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5</w:t>
      </w:r>
      <w:r>
        <w:rPr>
          <w:rFonts w:ascii="方正楷体_GBK" w:hAnsi="方正楷体_GBK" w:eastAsia="方正楷体_GBK" w:cs="方正楷体_GBK"/>
          <w:sz w:val="28"/>
          <w:szCs w:val="28"/>
          <w:shd w:val="clear" w:color="auto" w:fill="FFFFFF"/>
        </w:rPr>
        <w:t>、下列任何情况发生时，竞选保证金不予退还：</w:t>
      </w:r>
    </w:p>
    <w:p w14:paraId="2C8AADBE">
      <w:pPr>
        <w:pStyle w:val="6"/>
        <w:adjustRightInd w:val="0"/>
        <w:snapToGrid w:val="0"/>
        <w:spacing w:line="600" w:lineRule="exact"/>
        <w:ind w:firstLine="140" w:firstLineChars="50"/>
        <w:jc w:val="left"/>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（1）中选通知书发出后</w:t>
      </w:r>
      <w:r>
        <w:rPr>
          <w:rFonts w:hint="eastAsia" w:ascii="方正楷体_GBK" w:hAnsi="方正楷体_GBK" w:eastAsia="方正楷体_GBK" w:cs="方正楷体_GBK"/>
          <w:sz w:val="28"/>
          <w:szCs w:val="28"/>
          <w:shd w:val="clear" w:color="auto" w:fill="FFFFFF"/>
        </w:rPr>
        <w:t>5个工作日</w:t>
      </w:r>
      <w:r>
        <w:rPr>
          <w:rFonts w:ascii="方正楷体_GBK" w:hAnsi="方正楷体_GBK" w:eastAsia="方正楷体_GBK" w:cs="方正楷体_GBK"/>
          <w:sz w:val="28"/>
          <w:szCs w:val="28"/>
          <w:shd w:val="clear" w:color="auto" w:fill="FFFFFF"/>
        </w:rPr>
        <w:t>内，中选人未与中选的项目学校签订合同的；</w:t>
      </w:r>
    </w:p>
    <w:p w14:paraId="6C16F7AF">
      <w:pPr>
        <w:pStyle w:val="6"/>
        <w:adjustRightInd w:val="0"/>
        <w:snapToGrid w:val="0"/>
        <w:spacing w:line="600" w:lineRule="exact"/>
        <w:ind w:firstLine="140" w:firstLineChars="5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（2）若中选人放弃中选的；</w:t>
      </w:r>
    </w:p>
    <w:p w14:paraId="5C06AC1F">
      <w:pPr>
        <w:pStyle w:val="6"/>
        <w:adjustRightInd w:val="0"/>
        <w:snapToGrid w:val="0"/>
        <w:spacing w:line="600" w:lineRule="exact"/>
        <w:ind w:firstLine="140" w:firstLineChars="50"/>
        <w:jc w:val="left"/>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w:t>
      </w:r>
      <w:r>
        <w:rPr>
          <w:rFonts w:hint="eastAsia" w:ascii="方正楷体_GBK" w:hAnsi="方正楷体_GBK" w:eastAsia="方正楷体_GBK" w:cs="方正楷体_GBK"/>
          <w:sz w:val="28"/>
          <w:szCs w:val="28"/>
          <w:shd w:val="clear" w:color="auto" w:fill="FFFFFF"/>
        </w:rPr>
        <w:t>3</w:t>
      </w:r>
      <w:r>
        <w:rPr>
          <w:rFonts w:ascii="方正楷体_GBK" w:hAnsi="方正楷体_GBK" w:eastAsia="方正楷体_GBK" w:cs="方正楷体_GBK"/>
          <w:sz w:val="28"/>
          <w:szCs w:val="28"/>
          <w:shd w:val="clear" w:color="auto" w:fill="FFFFFF"/>
        </w:rPr>
        <w:t>）经查实</w:t>
      </w:r>
      <w:r>
        <w:rPr>
          <w:rFonts w:hint="eastAsia" w:ascii="方正楷体_GBK" w:hAnsi="方正楷体_GBK" w:eastAsia="方正楷体_GBK" w:cs="方正楷体_GBK"/>
          <w:sz w:val="28"/>
          <w:szCs w:val="28"/>
          <w:shd w:val="clear" w:color="auto" w:fill="FFFFFF"/>
        </w:rPr>
        <w:t>比选申请人</w:t>
      </w:r>
      <w:r>
        <w:rPr>
          <w:rFonts w:ascii="方正楷体_GBK" w:hAnsi="方正楷体_GBK" w:eastAsia="方正楷体_GBK" w:cs="方正楷体_GBK"/>
          <w:sz w:val="28"/>
          <w:szCs w:val="28"/>
          <w:shd w:val="clear" w:color="auto" w:fill="FFFFFF"/>
        </w:rPr>
        <w:t>恶意串通参与投标等。</w:t>
      </w:r>
    </w:p>
    <w:p w14:paraId="149E3695">
      <w:pPr>
        <w:ind w:firstLine="140" w:firstLineChars="50"/>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6、</w:t>
      </w:r>
      <w:r>
        <w:rPr>
          <w:rFonts w:ascii="方正楷体_GBK" w:hAnsi="方正楷体_GBK" w:eastAsia="方正楷体_GBK" w:cs="方正楷体_GBK"/>
          <w:sz w:val="28"/>
          <w:szCs w:val="28"/>
          <w:shd w:val="clear" w:color="auto" w:fill="FFFFFF"/>
        </w:rPr>
        <w:t>履约保证金</w:t>
      </w:r>
      <w:r>
        <w:rPr>
          <w:rFonts w:hint="eastAsia" w:ascii="方正楷体_GBK" w:hAnsi="方正楷体_GBK" w:eastAsia="方正楷体_GBK" w:cs="方正楷体_GBK"/>
          <w:sz w:val="28"/>
          <w:szCs w:val="28"/>
          <w:shd w:val="clear" w:color="auto" w:fill="FFFFFF"/>
        </w:rPr>
        <w:t>退还时间：工程竣工验收合格，结算资料送区教委培训监督科后退还。</w:t>
      </w:r>
    </w:p>
    <w:p w14:paraId="535D5F7B">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八、资料递交</w:t>
      </w:r>
    </w:p>
    <w:p w14:paraId="75799539">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（一）递交时间、地点</w:t>
      </w:r>
    </w:p>
    <w:p w14:paraId="32C49B93">
      <w:pPr>
        <w:adjustRightInd w:val="0"/>
        <w:snapToGrid w:val="0"/>
        <w:spacing w:line="600" w:lineRule="exact"/>
        <w:ind w:left="63" w:leftChars="3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1.递交资料时间：比选申请人持法定代表人证书或授权委托书、单位营业执照、资质证书副本、安全生产许可证（上述资料提供原件）于</w:t>
      </w:r>
      <w:r>
        <w:rPr>
          <w:rFonts w:hint="eastAsia" w:ascii="方正楷体_GBK" w:hAnsi="方正楷体_GBK" w:eastAsia="方正楷体_GBK" w:cs="方正楷体_GBK"/>
          <w:sz w:val="28"/>
          <w:szCs w:val="28"/>
          <w:highlight w:val="yellow"/>
          <w:shd w:val="clear" w:color="auto" w:fill="FFFFFF"/>
        </w:rPr>
        <w:t>2021年7月9日</w:t>
      </w:r>
      <w:r>
        <w:rPr>
          <w:rFonts w:hint="eastAsia" w:ascii="方正楷体_GBK" w:hAnsi="方正楷体_GBK" w:eastAsia="方正楷体_GBK" w:cs="方正楷体_GBK"/>
          <w:sz w:val="28"/>
          <w:szCs w:val="28"/>
          <w:highlight w:val="yellow"/>
          <w:shd w:val="clear" w:color="auto" w:fill="FFFFFF"/>
          <w:lang w:eastAsia="zh-CN"/>
        </w:rPr>
        <w:t>14时</w:t>
      </w:r>
      <w:r>
        <w:rPr>
          <w:rFonts w:hint="eastAsia" w:ascii="方正楷体_GBK" w:hAnsi="方正楷体_GBK" w:eastAsia="方正楷体_GBK" w:cs="方正楷体_GBK"/>
          <w:sz w:val="28"/>
          <w:szCs w:val="28"/>
          <w:highlight w:val="yellow"/>
          <w:shd w:val="clear" w:color="auto" w:fill="FFFFFF"/>
        </w:rPr>
        <w:t>30分至14时50分在</w:t>
      </w:r>
      <w:r>
        <w:rPr>
          <w:rFonts w:hint="eastAsia" w:ascii="方正楷体_GBK" w:hAnsi="方正楷体_GBK" w:eastAsia="方正楷体_GBK" w:cs="方正楷体_GBK"/>
          <w:sz w:val="28"/>
          <w:szCs w:val="28"/>
          <w:shd w:val="clear" w:color="auto" w:fill="FFFFFF"/>
        </w:rPr>
        <w:t>九龙坡区教育发展服务中心一楼报名。</w:t>
      </w:r>
    </w:p>
    <w:p w14:paraId="3E70015E">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2.递交地点：九龙坡区教育发展服务中心一楼会议室。</w:t>
      </w:r>
    </w:p>
    <w:p w14:paraId="3A6A9C60">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（二）递交资料</w:t>
      </w:r>
    </w:p>
    <w:p w14:paraId="2F32441A">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1.法定代表人证书或授权委托书</w:t>
      </w:r>
    </w:p>
    <w:p w14:paraId="3560CB6C">
      <w:pPr>
        <w:adjustRightInd w:val="0"/>
        <w:snapToGrid w:val="0"/>
        <w:spacing w:line="600" w:lineRule="exact"/>
        <w:ind w:firstLine="140" w:firstLineChars="5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2.报价表（报价表盖单位鲜章并单独密封，加盖密封章）</w:t>
      </w:r>
    </w:p>
    <w:p w14:paraId="16E829FD">
      <w:pPr>
        <w:adjustRightInd w:val="0"/>
        <w:snapToGrid w:val="0"/>
        <w:spacing w:line="600" w:lineRule="exact"/>
        <w:ind w:left="63" w:leftChars="3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3.营业执照、资质证书、安全生产许可证复印件（复印件加盖鲜章，原件备查）</w:t>
      </w:r>
    </w:p>
    <w:p w14:paraId="71D3E67D">
      <w:pPr>
        <w:adjustRightInd w:val="0"/>
        <w:snapToGrid w:val="0"/>
        <w:spacing w:line="600" w:lineRule="exact"/>
        <w:ind w:left="63" w:leftChars="3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4.拟派到本项目的项目经理、技术负责人、安全员和比选申请人投标时的授权委托人的本单位2021年3月-5月社保证明和联系方式；提供项目经理</w:t>
      </w:r>
      <w:r>
        <w:rPr>
          <w:rFonts w:hint="eastAsia" w:ascii="方正楷体_GBK" w:hAnsi="方正楷体_GBK" w:eastAsia="方正楷体_GBK" w:cs="方正楷体_GBK"/>
          <w:sz w:val="28"/>
          <w:szCs w:val="28"/>
          <w:highlight w:val="yellow"/>
          <w:shd w:val="clear" w:color="auto" w:fill="FFFFFF"/>
        </w:rPr>
        <w:t>（房屋建筑工程类专业贰级及以上注册建造师执业资格或市政工程贰级及以上注册建造师执业资格）、技术负责人（建筑工程类或市政工程类中级及以上工程师职称）、安全员（有效证件）</w:t>
      </w:r>
      <w:r>
        <w:rPr>
          <w:rFonts w:hint="eastAsia" w:ascii="方正楷体_GBK" w:hAnsi="方正楷体_GBK" w:eastAsia="方正楷体_GBK" w:cs="方正楷体_GBK"/>
          <w:sz w:val="28"/>
          <w:szCs w:val="28"/>
          <w:shd w:val="clear" w:color="auto" w:fill="FFFFFF"/>
        </w:rPr>
        <w:t>复印件加盖单位鲜章；</w:t>
      </w:r>
    </w:p>
    <w:p w14:paraId="61EA1223">
      <w:pPr>
        <w:adjustRightInd w:val="0"/>
        <w:snapToGrid w:val="0"/>
        <w:spacing w:line="600" w:lineRule="exact"/>
        <w:ind w:left="63" w:leftChars="3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5.</w:t>
      </w:r>
      <w:r>
        <w:rPr>
          <w:rFonts w:hint="eastAsia" w:ascii="方正楷体_GBK" w:hAnsi="方正楷体_GBK" w:eastAsia="方正楷体_GBK" w:cs="方正楷体_GBK"/>
          <w:sz w:val="28"/>
          <w:szCs w:val="28"/>
          <w:highlight w:val="yellow"/>
          <w:shd w:val="clear" w:color="auto" w:fill="FFFFFF"/>
        </w:rPr>
        <w:t xml:space="preserve"> 业绩</w:t>
      </w:r>
      <w:r>
        <w:rPr>
          <w:rFonts w:ascii="方正楷体_GBK" w:hAnsi="方正楷体_GBK" w:eastAsia="方正楷体_GBK" w:cs="方正楷体_GBK"/>
          <w:sz w:val="28"/>
          <w:szCs w:val="28"/>
          <w:highlight w:val="yellow"/>
          <w:shd w:val="clear" w:color="auto" w:fill="FFFFFF"/>
        </w:rPr>
        <w:t>：竞选</w:t>
      </w:r>
      <w:r>
        <w:rPr>
          <w:rFonts w:hint="eastAsia" w:ascii="方正楷体_GBK" w:hAnsi="方正楷体_GBK" w:eastAsia="方正楷体_GBK" w:cs="方正楷体_GBK"/>
          <w:sz w:val="28"/>
          <w:szCs w:val="28"/>
          <w:highlight w:val="yellow"/>
          <w:shd w:val="clear" w:color="auto" w:fill="FFFFFF"/>
        </w:rPr>
        <w:t>人自 2018年 1 月 1 日起至投标截止日止（以竣工时间为准）至少完成过1个单项合同金额不少于人民币100万元</w:t>
      </w:r>
      <w:r>
        <w:rPr>
          <w:rFonts w:ascii="方正楷体_GBK" w:hAnsi="方正楷体_GBK" w:eastAsia="方正楷体_GBK" w:cs="方正楷体_GBK"/>
          <w:sz w:val="28"/>
          <w:szCs w:val="28"/>
          <w:highlight w:val="yellow"/>
          <w:shd w:val="clear" w:color="auto" w:fill="FFFFFF"/>
        </w:rPr>
        <w:t>及以上</w:t>
      </w:r>
      <w:r>
        <w:rPr>
          <w:rFonts w:hint="eastAsia" w:ascii="方正楷体_GBK" w:hAnsi="方正楷体_GBK" w:eastAsia="方正楷体_GBK" w:cs="方正楷体_GBK"/>
          <w:sz w:val="28"/>
          <w:szCs w:val="28"/>
          <w:highlight w:val="yellow"/>
          <w:shd w:val="clear" w:color="auto" w:fill="FFFFFF"/>
        </w:rPr>
        <w:t>的</w:t>
      </w:r>
      <w:r>
        <w:rPr>
          <w:rFonts w:ascii="方正楷体_GBK" w:hAnsi="方正楷体_GBK" w:eastAsia="方正楷体_GBK" w:cs="方正楷体_GBK"/>
          <w:sz w:val="28"/>
          <w:szCs w:val="28"/>
          <w:highlight w:val="yellow"/>
          <w:shd w:val="clear" w:color="auto" w:fill="FFFFFF"/>
        </w:rPr>
        <w:t>学校</w:t>
      </w:r>
      <w:r>
        <w:rPr>
          <w:rFonts w:hint="eastAsia" w:ascii="方正楷体_GBK" w:hAnsi="方正楷体_GBK" w:eastAsia="方正楷体_GBK" w:cs="方正楷体_GBK"/>
          <w:sz w:val="28"/>
          <w:szCs w:val="28"/>
          <w:highlight w:val="yellow"/>
          <w:shd w:val="clear" w:color="auto" w:fill="FFFFFF"/>
        </w:rPr>
        <w:t>运动场</w:t>
      </w:r>
      <w:r>
        <w:rPr>
          <w:rFonts w:ascii="方正楷体_GBK" w:hAnsi="方正楷体_GBK" w:eastAsia="方正楷体_GBK" w:cs="方正楷体_GBK"/>
          <w:sz w:val="28"/>
          <w:szCs w:val="28"/>
          <w:highlight w:val="yellow"/>
          <w:shd w:val="clear" w:color="auto" w:fill="FFFFFF"/>
        </w:rPr>
        <w:t>的修建或</w:t>
      </w:r>
      <w:r>
        <w:rPr>
          <w:rFonts w:hint="eastAsia" w:ascii="方正楷体_GBK" w:hAnsi="方正楷体_GBK" w:eastAsia="方正楷体_GBK" w:cs="方正楷体_GBK"/>
          <w:sz w:val="28"/>
          <w:szCs w:val="28"/>
          <w:highlight w:val="yellow"/>
          <w:shd w:val="clear" w:color="auto" w:fill="FFFFFF"/>
        </w:rPr>
        <w:t>改造</w:t>
      </w:r>
      <w:r>
        <w:rPr>
          <w:rFonts w:ascii="方正楷体_GBK" w:hAnsi="方正楷体_GBK" w:eastAsia="方正楷体_GBK" w:cs="方正楷体_GBK"/>
          <w:sz w:val="28"/>
          <w:szCs w:val="28"/>
          <w:highlight w:val="yellow"/>
          <w:shd w:val="clear" w:color="auto" w:fill="FFFFFF"/>
        </w:rPr>
        <w:t>项目</w:t>
      </w:r>
      <w:r>
        <w:rPr>
          <w:rFonts w:hint="eastAsia" w:ascii="方正楷体_GBK" w:hAnsi="方正楷体_GBK" w:eastAsia="方正楷体_GBK" w:cs="方正楷体_GBK"/>
          <w:sz w:val="28"/>
          <w:szCs w:val="28"/>
          <w:highlight w:val="yellow"/>
          <w:shd w:val="clear" w:color="auto" w:fill="FFFFFF"/>
        </w:rPr>
        <w:t>（业绩必须为运动场整体建设项目，不能是单项分部工程或在建项目）。须提供业绩的中标通知书、合同协议书和竣工验收证明材料复印件，加盖投标单位鲜章</w:t>
      </w:r>
      <w:r>
        <w:rPr>
          <w:rFonts w:hint="eastAsia" w:ascii="方正楷体_GBK" w:hAnsi="方正楷体_GBK" w:eastAsia="方正楷体_GBK" w:cs="方正楷体_GBK"/>
          <w:sz w:val="28"/>
          <w:szCs w:val="28"/>
          <w:shd w:val="clear" w:color="auto" w:fill="FFFFFF"/>
        </w:rPr>
        <w:t>。</w:t>
      </w:r>
    </w:p>
    <w:p w14:paraId="418E4D2D">
      <w:pPr>
        <w:adjustRightInd w:val="0"/>
        <w:snapToGrid w:val="0"/>
        <w:spacing w:line="600" w:lineRule="exact"/>
        <w:ind w:left="63" w:leftChars="3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6.重庆市外企业参与投标的需自行承诺根据符合重庆市建委《市外建筑施工企业入渝信息报送管理办法》的相关规定，已办理相关手续（格式自拟）。</w:t>
      </w:r>
    </w:p>
    <w:p w14:paraId="058CC0E9">
      <w:pPr>
        <w:adjustRightInd w:val="0"/>
        <w:snapToGrid w:val="0"/>
        <w:spacing w:line="600" w:lineRule="exact"/>
        <w:ind w:left="63" w:leftChars="30"/>
        <w:jc w:val="left"/>
        <w:rPr>
          <w:rFonts w:ascii="方正楷体_GBK" w:hAnsi="方正楷体_GBK" w:eastAsia="方正楷体_GBK" w:cs="方正楷体_GBK"/>
          <w:sz w:val="28"/>
          <w:szCs w:val="28"/>
          <w:highlight w:val="cyan"/>
          <w:shd w:val="clear" w:color="auto" w:fill="FFFFFF"/>
        </w:rPr>
      </w:pPr>
      <w:r>
        <w:rPr>
          <w:rFonts w:hint="eastAsia" w:ascii="方正楷体_GBK" w:hAnsi="方正楷体_GBK" w:eastAsia="方正楷体_GBK" w:cs="方正楷体_GBK"/>
          <w:sz w:val="28"/>
          <w:szCs w:val="28"/>
          <w:shd w:val="clear" w:color="auto" w:fill="FFFFFF"/>
        </w:rPr>
        <w:t>7.上述</w:t>
      </w:r>
      <w:r>
        <w:rPr>
          <w:rFonts w:hint="eastAsia" w:ascii="方正楷体_GBK" w:hAnsi="方正楷体_GBK" w:eastAsia="方正楷体_GBK" w:cs="方正楷体_GBK"/>
          <w:sz w:val="28"/>
          <w:szCs w:val="28"/>
          <w:highlight w:val="yellow"/>
          <w:shd w:val="clear" w:color="auto" w:fill="FFFFFF"/>
        </w:rPr>
        <w:t>3、4项</w:t>
      </w:r>
      <w:r>
        <w:rPr>
          <w:rFonts w:hint="eastAsia" w:ascii="方正楷体_GBK" w:hAnsi="方正楷体_GBK" w:eastAsia="方正楷体_GBK" w:cs="方正楷体_GBK"/>
          <w:sz w:val="28"/>
          <w:szCs w:val="28"/>
          <w:shd w:val="clear" w:color="auto" w:fill="FFFFFF"/>
        </w:rPr>
        <w:t>资料原件备查（若需查证原件时，比选申请人无法提供，则视为无效投标）。</w:t>
      </w:r>
    </w:p>
    <w:p w14:paraId="21499464">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九、承包商确定</w:t>
      </w:r>
    </w:p>
    <w:p w14:paraId="4D781FA0">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（一）确定中选承包商时间、地点</w:t>
      </w:r>
    </w:p>
    <w:p w14:paraId="24737018">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1.时间：2021年7月9日下午</w:t>
      </w:r>
    </w:p>
    <w:p w14:paraId="5102846A">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2.地点：九龙坡区教育发展服务中心一楼会议室。</w:t>
      </w:r>
    </w:p>
    <w:p w14:paraId="56567C14">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（二）确定中选承包商的方法</w:t>
      </w:r>
    </w:p>
    <w:p w14:paraId="605D0E96">
      <w:pPr>
        <w:adjustRightInd w:val="0"/>
        <w:snapToGrid w:val="0"/>
        <w:spacing w:line="600" w:lineRule="exact"/>
        <w:ind w:left="63" w:leftChars="3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1、报名时由相关工作人员对所有报名单位进行资格审查，符合本比选公告的单位及人员资质要求并提供本公告第七、八条相应资料的单位纳入本次竞争性比选范围。</w:t>
      </w:r>
    </w:p>
    <w:p w14:paraId="36CF8C94">
      <w:pPr>
        <w:adjustRightInd w:val="0"/>
        <w:snapToGrid w:val="0"/>
        <w:spacing w:line="600" w:lineRule="exact"/>
        <w:ind w:left="63" w:leftChars="30" w:firstLine="280" w:firstLineChars="1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2、竞争性比选报价表现场启封，以每包中下浮比例最高的确定为拟中选承包商。</w:t>
      </w:r>
    </w:p>
    <w:p w14:paraId="21DF2FD0">
      <w:pPr>
        <w:adjustRightInd w:val="0"/>
        <w:snapToGrid w:val="0"/>
        <w:spacing w:line="600" w:lineRule="exact"/>
        <w:ind w:left="63" w:leftChars="30" w:firstLine="280" w:firstLineChars="1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3、本次竞争性比选每个包的报名单位或资格审查合格单位不得少于三家，若不足三家，则该项目重新组织比选。</w:t>
      </w:r>
    </w:p>
    <w:p w14:paraId="33B5D3D0">
      <w:pPr>
        <w:adjustRightInd w:val="0"/>
        <w:snapToGrid w:val="0"/>
        <w:spacing w:line="600" w:lineRule="exact"/>
        <w:ind w:firstLine="280" w:firstLineChars="1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4、若中选人放弃中选，本包项目将重新组织比选。</w:t>
      </w:r>
    </w:p>
    <w:p w14:paraId="7D4393BB">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十、签订合同</w:t>
      </w:r>
    </w:p>
    <w:p w14:paraId="2720792F">
      <w:pPr>
        <w:adjustRightInd w:val="0"/>
        <w:snapToGrid w:val="0"/>
        <w:spacing w:line="600" w:lineRule="exact"/>
        <w:ind w:left="63" w:leftChars="3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1.以</w:t>
      </w:r>
      <w:r>
        <w:rPr>
          <w:rFonts w:hint="eastAsia" w:ascii="方正楷体_GBK" w:hAnsi="方正楷体_GBK" w:eastAsia="方正楷体_GBK" w:cs="方正楷体_GBK"/>
          <w:sz w:val="28"/>
          <w:szCs w:val="28"/>
          <w:highlight w:val="yellow"/>
          <w:shd w:val="clear" w:color="auto" w:fill="FFFFFF"/>
        </w:rPr>
        <w:t>挂网</w:t>
      </w:r>
      <w:r>
        <w:rPr>
          <w:rFonts w:hint="eastAsia" w:ascii="方正楷体_GBK" w:hAnsi="方正楷体_GBK" w:eastAsia="方正楷体_GBK" w:cs="方正楷体_GBK"/>
          <w:sz w:val="28"/>
          <w:szCs w:val="28"/>
          <w:shd w:val="clear" w:color="auto" w:fill="FFFFFF"/>
        </w:rPr>
        <w:t>最高限价乘以（1-中选报价下浮比例）的金额作为暂定合同价签订工程合同。</w:t>
      </w:r>
    </w:p>
    <w:p w14:paraId="420EA85C">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2.按附件合同模板签订合同，一式四份。</w:t>
      </w:r>
    </w:p>
    <w:p w14:paraId="796A74DC">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十一、相关要求</w:t>
      </w:r>
    </w:p>
    <w:p w14:paraId="2F8FFBAD">
      <w:pPr>
        <w:pStyle w:val="7"/>
        <w:numPr>
          <w:ilvl w:val="0"/>
          <w:numId w:val="3"/>
        </w:numPr>
        <w:adjustRightInd w:val="0"/>
        <w:snapToGrid w:val="0"/>
        <w:spacing w:line="600" w:lineRule="exact"/>
        <w:ind w:firstLineChars="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各潜在比选申请人在递交第七、八条的所有资料后，视为认可本公告的所有内容。</w:t>
      </w:r>
    </w:p>
    <w:p w14:paraId="60C9B81E">
      <w:pPr>
        <w:adjustRightInd w:val="0"/>
        <w:snapToGrid w:val="0"/>
        <w:spacing w:line="600" w:lineRule="exact"/>
        <w:ind w:firstLine="140" w:firstLineChars="5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2.各潜在比选申请人按第八条的时间和地点，准时到场并签到，报名时间开始后，授权委托人须携带所有竞争性比选需要的相关资料文件进入开标室签到，</w:t>
      </w:r>
      <w:r>
        <w:rPr>
          <w:rFonts w:hint="eastAsia" w:ascii="方正楷体_GBK" w:hAnsi="方正楷体_GBK" w:eastAsia="方正楷体_GBK" w:cs="方正楷体_GBK"/>
          <w:b/>
          <w:bCs/>
          <w:sz w:val="28"/>
          <w:szCs w:val="28"/>
          <w:shd w:val="clear" w:color="auto" w:fill="FFFFFF"/>
        </w:rPr>
        <w:t>为维持现场秩序，维护竞争性比选过程的公平性，一旦进入开标室，不得再随意出入；若确需出入开标室，需征得开标现场工作人员同意，同时不管签到与否，均不得再携带资料出入开标室，否则视为放弃本次竞选</w:t>
      </w:r>
      <w:r>
        <w:rPr>
          <w:rFonts w:hint="eastAsia" w:ascii="方正楷体_GBK" w:hAnsi="方正楷体_GBK" w:eastAsia="方正楷体_GBK" w:cs="方正楷体_GBK"/>
          <w:sz w:val="28"/>
          <w:szCs w:val="28"/>
          <w:shd w:val="clear" w:color="auto" w:fill="FFFFFF"/>
        </w:rPr>
        <w:t>。</w:t>
      </w:r>
    </w:p>
    <w:p w14:paraId="6EAC0578">
      <w:pPr>
        <w:adjustRightInd w:val="0"/>
        <w:snapToGrid w:val="0"/>
        <w:spacing w:line="600" w:lineRule="exact"/>
        <w:ind w:left="63" w:leftChars="3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3.超过递交资料截止时间递交资料的，视为放弃本次竞选，我委将拒绝接收相关资料。</w:t>
      </w:r>
    </w:p>
    <w:p w14:paraId="184A7CB7">
      <w:pPr>
        <w:adjustRightInd w:val="0"/>
        <w:snapToGrid w:val="0"/>
        <w:spacing w:line="600" w:lineRule="exact"/>
        <w:ind w:left="63" w:leftChars="3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4.区教委若以补遗书方式延长接受比选申请文件的截止日期，则以延长后新的比选截止日期为准；我委无义务向未中选的比选申请人解释未中选原因。</w:t>
      </w:r>
    </w:p>
    <w:p w14:paraId="6549D83C">
      <w:pPr>
        <w:adjustRightInd w:val="0"/>
        <w:snapToGrid w:val="0"/>
        <w:spacing w:line="600" w:lineRule="exact"/>
        <w:ind w:firstLine="422" w:firstLineChars="150"/>
        <w:jc w:val="left"/>
      </w:pPr>
      <w:r>
        <w:rPr>
          <w:rFonts w:hint="eastAsia" w:ascii="方正楷体_GBK" w:hAnsi="方正楷体_GBK" w:eastAsia="方正楷体_GBK" w:cs="方正楷体_GBK"/>
          <w:b/>
          <w:sz w:val="28"/>
          <w:szCs w:val="28"/>
          <w:highlight w:val="yellow"/>
          <w:shd w:val="clear" w:color="auto" w:fill="FFFFFF"/>
        </w:rPr>
        <w:t>5. 需办理施工许可证的项目，中选单位必须无条件配合协助项目学校进行施工许可证的办理，若发放中选通知书十日内由于中选单位原因造成无法办理施工许可证的，将没收履约保证金和低价风险担保金（如有），并取消中选资格。</w:t>
      </w:r>
      <w:r>
        <w:rPr>
          <w:rFonts w:hint="eastAsia" w:ascii="方正楷体_GBK" w:hAnsi="方正楷体_GBK" w:eastAsia="方正楷体_GBK" w:cs="方正楷体_GBK"/>
          <w:sz w:val="28"/>
          <w:szCs w:val="28"/>
          <w:shd w:val="clear" w:color="auto" w:fill="FFFFFF"/>
        </w:rPr>
        <w:t>工程施工期间的现场管理人员（项目经理、技术负责人、安全员），必须为报名时提交的人员，特殊情况需要更换人员的，必须经项目学校同意后方可更换，更换的人员必须与报名时人员资格相同或高于该资格，更换后每人每次罚款5000元。</w:t>
      </w:r>
    </w:p>
    <w:p w14:paraId="12216B55">
      <w:pPr>
        <w:adjustRightInd w:val="0"/>
        <w:snapToGrid w:val="0"/>
        <w:spacing w:line="600" w:lineRule="exact"/>
        <w:ind w:left="63" w:leftChars="30" w:firstLine="280" w:firstLineChars="100"/>
        <w:jc w:val="left"/>
        <w:rPr>
          <w:rFonts w:ascii="方正楷体_GBK" w:hAnsi="方正楷体_GBK" w:eastAsia="方正楷体_GBK" w:cs="方正楷体_GBK"/>
          <w:sz w:val="28"/>
          <w:szCs w:val="28"/>
          <w:highlight w:val="yellow"/>
          <w:shd w:val="clear" w:color="auto" w:fill="FFFFFF"/>
        </w:rPr>
      </w:pPr>
      <w:r>
        <w:rPr>
          <w:rFonts w:hint="eastAsia" w:ascii="方正楷体_GBK" w:hAnsi="方正楷体_GBK" w:eastAsia="方正楷体_GBK" w:cs="方正楷体_GBK"/>
          <w:sz w:val="28"/>
          <w:szCs w:val="28"/>
          <w:highlight w:val="yellow"/>
          <w:shd w:val="clear" w:color="auto" w:fill="FFFFFF"/>
        </w:rPr>
        <w:t>6.所有竞选人不得恶意低价投标。中选人在施工期间若有设计变更（包括增减项目）必须报项目学校和区教委，书面征得项目学校和区教委同意后才能实施变更。若擅自进行设计变更、更改项目、调整造价，一律不得纳入工程结算范围，若因此造成结算和付款延迟，煽动工人信访闹事的，我委将该单位纳入九龙坡区教育系统黑名单，三年内不允许参与暑假集中实施的小型基建维修工程项目（限下项目）竞争性比选，情节严重的将报相关行业主管部门进行处罚。</w:t>
      </w:r>
    </w:p>
    <w:p w14:paraId="6B9C0BBA">
      <w:pPr>
        <w:adjustRightInd w:val="0"/>
        <w:snapToGrid w:val="0"/>
        <w:spacing w:line="600" w:lineRule="exact"/>
        <w:ind w:left="63" w:leftChars="30" w:firstLine="280" w:firstLineChars="100"/>
        <w:jc w:val="left"/>
        <w:rPr>
          <w:rFonts w:ascii="方正楷体_GBK" w:hAnsi="方正楷体_GBK" w:eastAsia="方正楷体_GBK" w:cs="方正楷体_GBK"/>
          <w:sz w:val="28"/>
          <w:szCs w:val="28"/>
          <w:highlight w:val="yellow"/>
          <w:shd w:val="clear" w:color="auto" w:fill="FFFFFF"/>
        </w:rPr>
      </w:pPr>
      <w:r>
        <w:rPr>
          <w:rFonts w:hint="eastAsia" w:ascii="方正楷体_GBK" w:hAnsi="方正楷体_GBK" w:eastAsia="方正楷体_GBK" w:cs="方正楷体_GBK"/>
          <w:sz w:val="28"/>
          <w:szCs w:val="28"/>
          <w:highlight w:val="yellow"/>
          <w:shd w:val="clear" w:color="auto" w:fill="FFFFFF"/>
        </w:rPr>
        <w:t>7、土石方外运、借土回填、建筑工地垃圾的运距由投标人自行综合考虑，结算时不做另外调整。</w:t>
      </w:r>
    </w:p>
    <w:p w14:paraId="7EDB875C">
      <w:pPr>
        <w:adjustRightInd w:val="0"/>
        <w:snapToGrid w:val="0"/>
        <w:spacing w:line="600" w:lineRule="exact"/>
        <w:ind w:left="63" w:leftChars="30" w:firstLine="280" w:firstLineChars="100"/>
        <w:jc w:val="left"/>
        <w:rPr>
          <w:rFonts w:ascii="方正楷体_GBK" w:hAnsi="方正楷体_GBK" w:eastAsia="方正楷体_GBK" w:cs="方正楷体_GBK"/>
          <w:sz w:val="28"/>
          <w:szCs w:val="28"/>
          <w:highlight w:val="yellow"/>
          <w:shd w:val="clear" w:color="auto" w:fill="FFFFFF"/>
        </w:rPr>
      </w:pPr>
      <w:r>
        <w:rPr>
          <w:rFonts w:hint="eastAsia" w:ascii="方正楷体_GBK" w:hAnsi="方正楷体_GBK" w:eastAsia="方正楷体_GBK" w:cs="方正楷体_GBK"/>
          <w:sz w:val="28"/>
          <w:szCs w:val="28"/>
          <w:highlight w:val="yellow"/>
          <w:shd w:val="clear" w:color="auto" w:fill="FFFFFF"/>
        </w:rPr>
        <w:t>8、发出的最高限价作为结算依据，各潜在投标人根据企业自身和本工程情况，自行测算风险报价（包括招标限价中清单特征描述不全、运距等风险，结算时概不调整）。</w:t>
      </w:r>
    </w:p>
    <w:p w14:paraId="46120AFC">
      <w:pPr>
        <w:adjustRightInd w:val="0"/>
        <w:snapToGrid w:val="0"/>
        <w:spacing w:line="600" w:lineRule="exact"/>
        <w:ind w:left="63" w:leftChars="30" w:firstLine="280" w:firstLineChars="1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highlight w:val="yellow"/>
          <w:shd w:val="clear" w:color="auto" w:fill="FFFFFF"/>
        </w:rPr>
        <w:t>9.各潜在比选申请人可自行到项目学校踏勘，了解项目位置、施工情况、道路状况、材料运输、弃渣地点运距弃渣费及其它足以影响项目价格的情况，无论各潜在比选申请人是否踏勘现场，均视为已了解现场全部情况。</w:t>
      </w:r>
      <w:r>
        <w:rPr>
          <w:rFonts w:hint="eastAsia" w:ascii="方正楷体_GBK" w:hAnsi="方正楷体_GBK" w:eastAsia="方正楷体_GBK" w:cs="方正楷体_GBK"/>
          <w:sz w:val="28"/>
          <w:szCs w:val="28"/>
          <w:highlight w:val="yellow"/>
          <w:shd w:val="clear" w:color="auto" w:fill="FFFFFF"/>
        </w:rPr>
        <w:br w:type="textWrapping"/>
      </w:r>
      <w:r>
        <w:rPr>
          <w:rFonts w:hint="eastAsia" w:ascii="方正楷体_GBK" w:hAnsi="方正楷体_GBK" w:eastAsia="方正楷体_GBK" w:cs="方正楷体_GBK"/>
          <w:sz w:val="28"/>
          <w:szCs w:val="28"/>
          <w:shd w:val="clear" w:color="auto" w:fill="FFFFFF"/>
        </w:rPr>
        <w:t>10.本公告要求的所有竞选资料复印件加盖章单位鲜章后装入文件大袋（其中报价函单独封装加盖章单位鲜章装入文件大袋中，文件大袋可不密封），要求的原件随身携带备查。</w:t>
      </w:r>
    </w:p>
    <w:p w14:paraId="4382848B">
      <w:pPr>
        <w:adjustRightInd w:val="0"/>
        <w:snapToGrid w:val="0"/>
        <w:spacing w:line="600" w:lineRule="exact"/>
        <w:ind w:firstLine="140" w:firstLineChars="5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11.所有竞选人必须响应本次工期要求，否则为废标。</w:t>
      </w:r>
    </w:p>
    <w:p w14:paraId="63965E18">
      <w:pPr>
        <w:adjustRightInd w:val="0"/>
        <w:snapToGrid w:val="0"/>
        <w:spacing w:line="600" w:lineRule="exact"/>
        <w:ind w:left="63" w:leftChars="3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12.本次竞争性比选项目在九龙坡区人民政府官网和九龙坡区教育委员会微信官网两个平台进行挂网，附件1、2、3的相关资料两个平台均可进行下载。</w:t>
      </w:r>
    </w:p>
    <w:p w14:paraId="01A0433E">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十二、联系方式</w:t>
      </w:r>
    </w:p>
    <w:p w14:paraId="05BA9843">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联系人：熊</w:t>
      </w:r>
      <w:r>
        <w:rPr>
          <w:rFonts w:ascii="方正楷体_GBK" w:hAnsi="方正楷体_GBK" w:eastAsia="方正楷体_GBK" w:cs="方正楷体_GBK"/>
          <w:sz w:val="28"/>
          <w:szCs w:val="28"/>
          <w:shd w:val="clear" w:color="auto" w:fill="FFFFFF"/>
        </w:rPr>
        <w:t>老师</w:t>
      </w:r>
      <w:r>
        <w:rPr>
          <w:rFonts w:hint="eastAsia" w:ascii="方正楷体_GBK" w:hAnsi="方正楷体_GBK" w:eastAsia="方正楷体_GBK" w:cs="方正楷体_GBK"/>
          <w:sz w:val="28"/>
          <w:szCs w:val="28"/>
          <w:shd w:val="clear" w:color="auto" w:fill="FFFFFF"/>
        </w:rPr>
        <w:t>，赵老师   联系电话：68781121，68501640</w:t>
      </w:r>
    </w:p>
    <w:p w14:paraId="79C52D9F">
      <w:pPr>
        <w:adjustRightInd w:val="0"/>
        <w:snapToGrid w:val="0"/>
        <w:spacing w:line="60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附件：1. 图纸、清单</w:t>
      </w:r>
    </w:p>
    <w:p w14:paraId="742D19E1">
      <w:pPr>
        <w:adjustRightInd w:val="0"/>
        <w:snapToGrid w:val="0"/>
        <w:spacing w:line="600" w:lineRule="exact"/>
        <w:ind w:left="63" w:leftChars="30" w:firstLine="565" w:firstLineChars="202"/>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2.施工合同模板</w:t>
      </w:r>
    </w:p>
    <w:p w14:paraId="4668E2E7">
      <w:pPr>
        <w:adjustRightInd w:val="0"/>
        <w:snapToGrid w:val="0"/>
        <w:spacing w:line="600" w:lineRule="exact"/>
        <w:ind w:left="63" w:leftChars="30" w:firstLine="565" w:firstLineChars="202"/>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3.报价表</w:t>
      </w:r>
    </w:p>
    <w:p w14:paraId="647EB8AD">
      <w:pPr>
        <w:adjustRightInd w:val="0"/>
        <w:snapToGrid w:val="0"/>
        <w:spacing w:line="600" w:lineRule="exact"/>
        <w:ind w:left="63" w:leftChars="30" w:right="140" w:firstLine="565" w:firstLineChars="202"/>
        <w:jc w:val="righ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重庆市九龙坡区教育委员会</w:t>
      </w:r>
    </w:p>
    <w:p w14:paraId="1761D113">
      <w:pPr>
        <w:adjustRightInd w:val="0"/>
        <w:snapToGrid w:val="0"/>
        <w:spacing w:line="600" w:lineRule="exact"/>
        <w:ind w:left="63" w:leftChars="30" w:firstLine="565" w:firstLineChars="202"/>
        <w:jc w:val="center"/>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2021年6月30日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9275C2E3-A063-4331-BB05-59BB9B3A7EB2}"/>
  </w:font>
  <w:font w:name="等线">
    <w:panose1 w:val="02010600030101010101"/>
    <w:charset w:val="86"/>
    <w:family w:val="auto"/>
    <w:pitch w:val="default"/>
    <w:sig w:usb0="A00002BF" w:usb1="38CF7CFA" w:usb2="00000016" w:usb3="00000000" w:csb0="0004000F" w:csb1="00000000"/>
  </w:font>
  <w:font w:name="方正小标宋_GBK">
    <w:panose1 w:val="02000000000000000000"/>
    <w:charset w:val="86"/>
    <w:family w:val="script"/>
    <w:pitch w:val="default"/>
    <w:sig w:usb0="A00002BF" w:usb1="38CF7CFA" w:usb2="00082016" w:usb3="00000000" w:csb0="00040001" w:csb1="00000000"/>
    <w:embedRegular r:id="rId2" w:fontKey="{3153310E-D428-46B7-A634-D1DA9C5D71A8}"/>
  </w:font>
  <w:font w:name="方正楷体_GBK">
    <w:panose1 w:val="02000000000000000000"/>
    <w:charset w:val="86"/>
    <w:family w:val="script"/>
    <w:pitch w:val="default"/>
    <w:sig w:usb0="800002BF" w:usb1="38CF7CFA" w:usb2="00000016" w:usb3="00000000" w:csb0="00040000" w:csb1="00000000"/>
    <w:embedRegular r:id="rId3" w:fontKey="{D72846E1-11F8-4823-9ABA-89216C77862F}"/>
  </w:font>
  <w:font w:name="MS Mincho">
    <w:altName w:val="Yu Gothic UI"/>
    <w:panose1 w:val="02020609040205080304"/>
    <w:charset w:val="80"/>
    <w:family w:val="modern"/>
    <w:pitch w:val="default"/>
    <w:sig w:usb0="00000000" w:usb1="00000000" w:usb2="00000012" w:usb3="00000000" w:csb0="0002009F" w:csb1="00000000"/>
    <w:embedRegular r:id="rId4" w:fontKey="{F78464F3-E038-4CAB-8556-653A59AA7475}"/>
  </w:font>
  <w:font w:name="Yu Gothic UI">
    <w:panose1 w:val="020B0500000000000000"/>
    <w:charset w:val="80"/>
    <w:family w:val="auto"/>
    <w:pitch w:val="default"/>
    <w:sig w:usb0="E00002FF" w:usb1="2AC7FDFF" w:usb2="00000016" w:usb3="00000000" w:csb0="2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D462DA"/>
    <w:multiLevelType w:val="singleLevel"/>
    <w:tmpl w:val="CBD462DA"/>
    <w:lvl w:ilvl="0" w:tentative="0">
      <w:start w:val="1"/>
      <w:numFmt w:val="chineseCounting"/>
      <w:suff w:val="nothing"/>
      <w:lvlText w:val="%1、"/>
      <w:lvlJc w:val="left"/>
      <w:rPr>
        <w:rFonts w:hint="eastAsia"/>
      </w:rPr>
    </w:lvl>
  </w:abstractNum>
  <w:abstractNum w:abstractNumId="1">
    <w:nsid w:val="37393FA9"/>
    <w:multiLevelType w:val="multilevel"/>
    <w:tmpl w:val="37393FA9"/>
    <w:lvl w:ilvl="0" w:tentative="0">
      <w:start w:val="1"/>
      <w:numFmt w:val="decimal"/>
      <w:lvlText w:val="%1."/>
      <w:lvlJc w:val="left"/>
      <w:pPr>
        <w:ind w:left="543" w:hanging="360"/>
      </w:pPr>
      <w:rPr>
        <w:rFonts w:hint="default"/>
      </w:rPr>
    </w:lvl>
    <w:lvl w:ilvl="1" w:tentative="0">
      <w:start w:val="1"/>
      <w:numFmt w:val="lowerLetter"/>
      <w:lvlText w:val="%2)"/>
      <w:lvlJc w:val="left"/>
      <w:pPr>
        <w:ind w:left="1023" w:hanging="420"/>
      </w:pPr>
    </w:lvl>
    <w:lvl w:ilvl="2" w:tentative="0">
      <w:start w:val="1"/>
      <w:numFmt w:val="lowerRoman"/>
      <w:lvlText w:val="%3."/>
      <w:lvlJc w:val="right"/>
      <w:pPr>
        <w:ind w:left="1443" w:hanging="420"/>
      </w:pPr>
    </w:lvl>
    <w:lvl w:ilvl="3" w:tentative="0">
      <w:start w:val="1"/>
      <w:numFmt w:val="decimal"/>
      <w:lvlText w:val="%4."/>
      <w:lvlJc w:val="left"/>
      <w:pPr>
        <w:ind w:left="1863" w:hanging="420"/>
      </w:pPr>
    </w:lvl>
    <w:lvl w:ilvl="4" w:tentative="0">
      <w:start w:val="1"/>
      <w:numFmt w:val="lowerLetter"/>
      <w:lvlText w:val="%5)"/>
      <w:lvlJc w:val="left"/>
      <w:pPr>
        <w:ind w:left="2283" w:hanging="420"/>
      </w:pPr>
    </w:lvl>
    <w:lvl w:ilvl="5" w:tentative="0">
      <w:start w:val="1"/>
      <w:numFmt w:val="lowerRoman"/>
      <w:lvlText w:val="%6."/>
      <w:lvlJc w:val="right"/>
      <w:pPr>
        <w:ind w:left="2703" w:hanging="420"/>
      </w:pPr>
    </w:lvl>
    <w:lvl w:ilvl="6" w:tentative="0">
      <w:start w:val="1"/>
      <w:numFmt w:val="decimal"/>
      <w:lvlText w:val="%7."/>
      <w:lvlJc w:val="left"/>
      <w:pPr>
        <w:ind w:left="3123" w:hanging="420"/>
      </w:pPr>
    </w:lvl>
    <w:lvl w:ilvl="7" w:tentative="0">
      <w:start w:val="1"/>
      <w:numFmt w:val="lowerLetter"/>
      <w:lvlText w:val="%8)"/>
      <w:lvlJc w:val="left"/>
      <w:pPr>
        <w:ind w:left="3543" w:hanging="420"/>
      </w:pPr>
    </w:lvl>
    <w:lvl w:ilvl="8" w:tentative="0">
      <w:start w:val="1"/>
      <w:numFmt w:val="lowerRoman"/>
      <w:lvlText w:val="%9."/>
      <w:lvlJc w:val="right"/>
      <w:pPr>
        <w:ind w:left="3963" w:hanging="420"/>
      </w:pPr>
    </w:lvl>
  </w:abstractNum>
  <w:abstractNum w:abstractNumId="2">
    <w:nsid w:val="64F00F86"/>
    <w:multiLevelType w:val="singleLevel"/>
    <w:tmpl w:val="64F00F86"/>
    <w:lvl w:ilvl="0" w:tentative="0">
      <w:start w:val="5"/>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RmYWUxOWJhMWE5OGFmZGQyNzA0NjBkZTNhOGRjMDEifQ=="/>
  </w:docVars>
  <w:rsids>
    <w:rsidRoot w:val="000D65C9"/>
    <w:rsid w:val="000D65C9"/>
    <w:rsid w:val="00101C6E"/>
    <w:rsid w:val="0018164D"/>
    <w:rsid w:val="0018179B"/>
    <w:rsid w:val="00191F07"/>
    <w:rsid w:val="0026619B"/>
    <w:rsid w:val="00266BB7"/>
    <w:rsid w:val="0033003B"/>
    <w:rsid w:val="003F0BB0"/>
    <w:rsid w:val="0042310F"/>
    <w:rsid w:val="00456C03"/>
    <w:rsid w:val="00464268"/>
    <w:rsid w:val="00497743"/>
    <w:rsid w:val="004D39F2"/>
    <w:rsid w:val="00584AA5"/>
    <w:rsid w:val="00610937"/>
    <w:rsid w:val="006C40A1"/>
    <w:rsid w:val="006E7809"/>
    <w:rsid w:val="006F5148"/>
    <w:rsid w:val="00716F8C"/>
    <w:rsid w:val="00763624"/>
    <w:rsid w:val="007D0395"/>
    <w:rsid w:val="00887818"/>
    <w:rsid w:val="008D3217"/>
    <w:rsid w:val="00914323"/>
    <w:rsid w:val="00976B02"/>
    <w:rsid w:val="00AC0D8E"/>
    <w:rsid w:val="00AF222E"/>
    <w:rsid w:val="00B413A0"/>
    <w:rsid w:val="00C11E39"/>
    <w:rsid w:val="00C12289"/>
    <w:rsid w:val="00C5642A"/>
    <w:rsid w:val="00C676E9"/>
    <w:rsid w:val="00C9796E"/>
    <w:rsid w:val="00CA505B"/>
    <w:rsid w:val="00D20F2E"/>
    <w:rsid w:val="00E15DC2"/>
    <w:rsid w:val="00E26463"/>
    <w:rsid w:val="00EA38C4"/>
    <w:rsid w:val="00ED78EE"/>
    <w:rsid w:val="00F1757F"/>
    <w:rsid w:val="00F57385"/>
    <w:rsid w:val="00F7497A"/>
    <w:rsid w:val="00FA60DC"/>
    <w:rsid w:val="05A3172E"/>
    <w:rsid w:val="063022E0"/>
    <w:rsid w:val="098F007D"/>
    <w:rsid w:val="15097111"/>
    <w:rsid w:val="24F32AD3"/>
    <w:rsid w:val="25894D75"/>
    <w:rsid w:val="324B7D60"/>
    <w:rsid w:val="351D00AF"/>
    <w:rsid w:val="511E14D3"/>
    <w:rsid w:val="58D178E2"/>
    <w:rsid w:val="59EB5A2D"/>
    <w:rsid w:val="5AE80FB1"/>
    <w:rsid w:val="5DF71CE5"/>
    <w:rsid w:val="6099049D"/>
    <w:rsid w:val="66345542"/>
    <w:rsid w:val="7B1E411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黑体"/>
      <w:kern w:val="2"/>
      <w:sz w:val="21"/>
      <w:szCs w:val="24"/>
      <w:lang w:val="en-US" w:eastAsia="zh-CN" w:bidi="ar-SA"/>
    </w:rPr>
  </w:style>
  <w:style w:type="paragraph" w:styleId="2">
    <w:name w:val="heading 3"/>
    <w:basedOn w:val="1"/>
    <w:next w:val="1"/>
    <w:link w:val="5"/>
    <w:autoRedefine/>
    <w:semiHidden/>
    <w:unhideWhenUsed/>
    <w:qFormat/>
    <w:uiPriority w:val="9"/>
    <w:pPr>
      <w:keepNext/>
      <w:keepLines/>
      <w:spacing w:before="260" w:after="260" w:line="416" w:lineRule="auto"/>
      <w:outlineLvl w:val="2"/>
    </w:pPr>
    <w:rPr>
      <w:b/>
      <w:bCs/>
      <w:sz w:val="32"/>
      <w:szCs w:val="32"/>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3 Char"/>
    <w:basedOn w:val="4"/>
    <w:link w:val="2"/>
    <w:semiHidden/>
    <w:qFormat/>
    <w:uiPriority w:val="9"/>
    <w:rPr>
      <w:rFonts w:ascii="Times New Roman" w:hAnsi="Times New Roman" w:eastAsia="宋体" w:cs="黑体"/>
      <w:b/>
      <w:bCs/>
      <w:sz w:val="32"/>
      <w:szCs w:val="32"/>
    </w:rPr>
  </w:style>
  <w:style w:type="paragraph" w:customStyle="1" w:styleId="6">
    <w:name w:val="列出段落1"/>
    <w:basedOn w:val="1"/>
    <w:qFormat/>
    <w:uiPriority w:val="34"/>
    <w:pPr>
      <w:ind w:firstLine="420" w:firstLineChars="200"/>
    </w:pPr>
    <w:rPr>
      <w:rFonts w:ascii="等线" w:hAnsi="等线" w:eastAsia="等线"/>
      <w:szCs w:val="22"/>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9</Pages>
  <Words>4220</Words>
  <Characters>4407</Characters>
  <Lines>4</Lines>
  <Paragraphs>9</Paragraphs>
  <TotalTime>312</TotalTime>
  <ScaleCrop>false</ScaleCrop>
  <LinksUpToDate>false</LinksUpToDate>
  <CharactersWithSpaces>4592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2021-06-24T09:41:00Z</dcterms:created>
  <dc:creator>赵驿</dc:creator>
  <cp:lastModifiedBy>silence</cp:lastModifiedBy>
  <dcterms:modified xsi:type="dcterms:W3CDTF">2025-03-10T03:38:36Z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7D7821BDF83F4D8792160F085392345F</vt:lpwstr>
  </property>
  <property fmtid="{D5CDD505-2E9C-101B-9397-08002B2CF9AE}" pid="4" name="KSOTemplateDocerSaveRecord">
    <vt:lpwstr>eyJoZGlkIjoiZjRmYWUxOWJhMWE5OGFmZGQyNzA0NjBkZTNhOGRjMDEiLCJ1c2VySWQiOiIyNDg4ODMzNzUifQ==</vt:lpwstr>
  </property>
</Properties>
</file>