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两江四岸治理提升长江北岸线贯通工程-九龙半岛滨江段建设房屋征收项目（住宅部分三期）（企业二期）项目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澄清通知</w:t>
      </w:r>
    </w:p>
    <w:p>
      <w:pPr>
        <w:pStyle w:val="2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各潜在投标人：</w:t>
      </w: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投标函的分项报价以清单中的分项报价为准，详见附件。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以上通知内容为招标文件的一部分，如与招标文件内容不一致，以本通知内容为准。</w:t>
      </w: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特此通知！</w:t>
      </w: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重庆征创住房服务有限公司</w:t>
      </w: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重庆市投资咨询有限公司</w:t>
      </w:r>
    </w:p>
    <w:p>
      <w:pPr>
        <w:keepNext w:val="0"/>
        <w:keepLines w:val="0"/>
        <w:pageBreakBefore w:val="0"/>
        <w:widowControl w:val="0"/>
        <w:tabs>
          <w:tab w:val="left" w:pos="1695"/>
          <w:tab w:val="left" w:pos="3370"/>
          <w:tab w:val="left" w:pos="5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宋体" w:hAnsi="宋体" w:cs="宋体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snapToGrid w:val="0"/>
          <w:color w:val="000000"/>
          <w:kern w:val="0"/>
          <w:sz w:val="28"/>
          <w:szCs w:val="28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 w:eastAsia="zh-CN"/>
        </w:rPr>
      </w:pPr>
    </w:p>
    <w:p/>
    <w:p>
      <w:pPr>
        <w:pStyle w:val="2"/>
      </w:pPr>
    </w:p>
    <w:p>
      <w:pPr>
        <w:pStyle w:val="7"/>
      </w:pPr>
    </w:p>
    <w:p/>
    <w:p>
      <w:pPr>
        <w:pStyle w:val="2"/>
      </w:pPr>
    </w:p>
    <w:p>
      <w:pPr>
        <w:pStyle w:val="7"/>
      </w:pPr>
    </w:p>
    <w:p/>
    <w:p>
      <w:pPr>
        <w:pStyle w:val="2"/>
      </w:pPr>
    </w:p>
    <w:p>
      <w:pPr>
        <w:pStyle w:val="7"/>
      </w:pPr>
    </w:p>
    <w:p/>
    <w:p>
      <w:pPr>
        <w:pStyle w:val="2"/>
      </w:pPr>
    </w:p>
    <w:p>
      <w:pPr>
        <w:pStyle w:val="7"/>
      </w:pPr>
    </w:p>
    <w:p/>
    <w:p>
      <w:pPr>
        <w:pStyle w:val="2"/>
      </w:pPr>
    </w:p>
    <w:p>
      <w:pPr>
        <w:pStyle w:val="7"/>
      </w:pPr>
    </w:p>
    <w:p/>
    <w:p>
      <w:pPr>
        <w:pStyle w:val="2"/>
      </w:pPr>
    </w:p>
    <w:p>
      <w:pPr>
        <w:pStyle w:val="3"/>
        <w:tabs>
          <w:tab w:val="left" w:pos="3635"/>
          <w:tab w:val="center" w:pos="4632"/>
        </w:tabs>
        <w:spacing w:line="20" w:lineRule="atLeast"/>
        <w:ind w:left="120"/>
        <w:jc w:val="center"/>
        <w:rPr>
          <w:rFonts w:ascii="宋体" w:hAnsi="宋体" w:eastAsia="宋体"/>
          <w:color w:val="auto"/>
          <w:sz w:val="28"/>
          <w:szCs w:val="28"/>
          <w:highlight w:val="none"/>
        </w:rPr>
      </w:pPr>
      <w:bookmarkStart w:id="0" w:name="_Toc54548371"/>
      <w:r>
        <w:rPr>
          <w:rFonts w:hint="eastAsia"/>
          <w:color w:val="auto"/>
          <w:sz w:val="30"/>
          <w:szCs w:val="30"/>
          <w:highlight w:val="none"/>
        </w:rPr>
        <w:t>（一）</w:t>
      </w:r>
      <w:r>
        <w:rPr>
          <w:rFonts w:hint="eastAsia"/>
          <w:color w:val="auto"/>
          <w:sz w:val="28"/>
          <w:szCs w:val="28"/>
          <w:highlight w:val="none"/>
        </w:rPr>
        <w:t>投标函</w:t>
      </w:r>
      <w:bookmarkEnd w:id="0"/>
    </w:p>
    <w:p>
      <w:pPr>
        <w:snapToGrid w:val="0"/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重庆征创住房服务有限公司：</w:t>
      </w:r>
    </w:p>
    <w:p>
      <w:pPr>
        <w:snapToGrid w:val="0"/>
        <w:spacing w:line="360" w:lineRule="auto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根据已收到的</w:t>
      </w:r>
      <w:r>
        <w:rPr>
          <w:rFonts w:ascii="宋体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MingLiU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??"/>
          <w:snapToGrid w:val="0"/>
          <w:color w:val="auto"/>
          <w:kern w:val="0"/>
          <w:szCs w:val="21"/>
          <w:highlight w:val="none"/>
        </w:rPr>
        <w:t>项目名称</w:t>
      </w:r>
      <w:r>
        <w:rPr>
          <w:rFonts w:hint="eastAsia" w:ascii="宋体" w:hAnsi="宋体" w:cs="MingLiU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的招标文件，按照《中华人民共和国招标投标法》的规定，我单位经考察现场和研究上述工程招标文件的投标须知、合同条件、技术规范、图纸和其他有关文件后，</w:t>
      </w:r>
      <w:r>
        <w:rPr>
          <w:rFonts w:hint="eastAsia" w:ascii="宋体" w:hAnsi="宋体"/>
          <w:color w:val="auto"/>
          <w:szCs w:val="21"/>
          <w:highlight w:val="none"/>
        </w:rPr>
        <w:t>我单位知悉并同意贵单位</w:t>
      </w:r>
      <w:r>
        <w:rPr>
          <w:rFonts w:ascii="宋体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MingLiU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??"/>
          <w:snapToGrid w:val="0"/>
          <w:color w:val="auto"/>
          <w:kern w:val="0"/>
          <w:szCs w:val="21"/>
          <w:highlight w:val="none"/>
        </w:rPr>
        <w:t>项目名称</w:t>
      </w:r>
      <w:r>
        <w:rPr>
          <w:rFonts w:hint="eastAsia" w:ascii="宋体" w:hAnsi="宋体" w:cs="MingLiU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招标全部内容，并进行投标：</w:t>
      </w:r>
    </w:p>
    <w:p>
      <w:pPr>
        <w:numPr>
          <w:ilvl w:val="255"/>
          <w:numId w:val="0"/>
        </w:numPr>
        <w:snapToGrid w:val="0"/>
        <w:spacing w:line="360" w:lineRule="auto"/>
        <w:ind w:firstLine="42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报价单位必须按要求对每一项做出报价，超过最高限价、少填或者不填将被否决。是否除</w:t>
      </w:r>
      <w:r>
        <w:rPr>
          <w:rFonts w:hint="eastAsia" w:ascii="宋体" w:hAnsi="宋体" w:cs="宋体"/>
          <w:color w:val="auto"/>
          <w:szCs w:val="21"/>
          <w:highlight w:val="none"/>
        </w:rPr>
        <w:t>渣视项目具体情况确定。以下费用均以人民币结算。对于拆除工作中的垃圾清运费、人工费、安全文明施工费、防尘费、机械费、破坏性拆除费等综合费用均已包含在以下报价中：</w:t>
      </w:r>
    </w:p>
    <w:p>
      <w:pPr>
        <w:snapToGrid w:val="0"/>
        <w:spacing w:line="360" w:lineRule="auto"/>
        <w:ind w:firstLine="42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两江四岸治理提升长江北岸线贯通工程-九龙半岛滨江段建设房屋征收项目（住宅部分三期）（企业二期）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混合结构整体拆除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元/平方米，砖柱砖墙结构整体拆除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元/平方米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，砖柱无墙结构拆除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元/平方米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，砖木结构整体拆除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元/平方米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，建筑垃圾外运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元/平方米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>
      <w:pPr>
        <w:snapToGrid w:val="0"/>
        <w:spacing w:line="360" w:lineRule="auto"/>
        <w:ind w:firstLine="42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以上暂定施工总费用为    元（大写（人民币）：      ），最终以实际拆除房屋建筑面积为准；保护措施按甲方提供的各标段保护措施方案要求搭建，且须对征收范围内裸露垃圾进行覆盖，保护性措施工程量以实际搭设验收为准。我单位经测算认定本工程存在残值（招标人将房屋交由我方施工时建筑物及构筑物残值，不含电缆电线及其他任何设施设备等），残值总价为    元（大写（人民币）：      ），若我单位中标，我单位承诺将以上述残值总价直接抵扣施工费用并承担全部风险。本工程暂定结算价为    元（大写（人民币）：      ）（即暂定施工总费用减去残值总价）。（以上报价均只接受打印机打印字体，手填无效）。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 w:cs="宋体"/>
          <w:color w:val="auto"/>
          <w:highlight w:val="none"/>
        </w:rPr>
      </w:pPr>
      <w:r>
        <w:rPr>
          <w:rFonts w:hAnsi="宋体" w:cs="宋体"/>
          <w:color w:val="auto"/>
          <w:highlight w:val="none"/>
        </w:rPr>
        <w:t>2</w:t>
      </w:r>
      <w:r>
        <w:rPr>
          <w:rFonts w:hint="eastAsia" w:hAnsi="宋体" w:cs="宋体"/>
          <w:color w:val="auto"/>
          <w:highlight w:val="none"/>
        </w:rPr>
        <w:t>．一旦我单位中标：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（1）我单位承诺在收到中标通知书后，在规定的期限内与贵单位签订合同。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（2）随同本投标函递交的投标函附录属于合同文件的组成部分。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（3）我单位承诺按照招标文件规定向贵单位递交低价风险担保（如有）和履约担保。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4）我单位承诺保证代表业主利益，从项目目标出发，进行全方位的有效管理，使工程建设项目目标、进度目标和质量目标得以实现，确保在合同约定的期限内完成并移交全部合同工程，确保工程质量达到国家、地方相关的标准。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 w:cs="宋体"/>
          <w:color w:val="auto"/>
          <w:highlight w:val="none"/>
        </w:rPr>
      </w:pPr>
      <w:r>
        <w:rPr>
          <w:rFonts w:hAnsi="宋体" w:cs="宋体"/>
          <w:color w:val="auto"/>
          <w:highlight w:val="none"/>
        </w:rPr>
        <w:t>3</w:t>
      </w:r>
      <w:r>
        <w:rPr>
          <w:rFonts w:hint="eastAsia" w:hAnsi="宋体" w:cs="宋体"/>
          <w:color w:val="auto"/>
          <w:highlight w:val="none"/>
        </w:rPr>
        <w:t>．我单位同意此招标合同协议书条款，一旦中标我单位将受此协议条款约束。</w:t>
      </w:r>
    </w:p>
    <w:p>
      <w:pPr>
        <w:pStyle w:val="4"/>
        <w:snapToGrid w:val="0"/>
        <w:spacing w:line="360" w:lineRule="exact"/>
        <w:ind w:left="-105" w:leftChars="-50" w:firstLine="525" w:firstLineChars="250"/>
        <w:rPr>
          <w:rFonts w:hAnsi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4．除非另外达成协议并生效，</w:t>
      </w:r>
      <w:r>
        <w:rPr>
          <w:rFonts w:hint="eastAsia" w:hAnsi="宋体"/>
          <w:color w:val="auto"/>
          <w:highlight w:val="none"/>
        </w:rPr>
        <w:t>贵单位的招标文件、中标通知书和本投标文件将构成约束我方的合同。</w:t>
      </w:r>
    </w:p>
    <w:p>
      <w:pPr>
        <w:snapToGrid w:val="0"/>
        <w:spacing w:line="36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5．如果我单位在接到中标通知书后的12个工作日内未能或拒绝签订合同，贵单位有权另选中标单位。</w:t>
      </w:r>
    </w:p>
    <w:p>
      <w:pPr>
        <w:snapToGrid w:val="0"/>
        <w:spacing w:line="360" w:lineRule="exact"/>
        <w:ind w:firstLine="420" w:firstLineChars="200"/>
        <w:rPr>
          <w:rFonts w:ascii="宋体" w:hAnsi="宋体" w:cs="Courier New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6.若我单位中标，中标后不分包。</w:t>
      </w:r>
    </w:p>
    <w:p>
      <w:pPr>
        <w:snapToGrid w:val="0"/>
        <w:spacing w:line="360" w:lineRule="exact"/>
        <w:ind w:right="480" w:firstLine="1785" w:firstLineChars="850"/>
        <w:jc w:val="right"/>
        <w:rPr>
          <w:rFonts w:ascii="宋体" w:hAnsi="宋体" w:cs="Courier New"/>
          <w:color w:val="auto"/>
          <w:szCs w:val="21"/>
          <w:highlight w:val="none"/>
        </w:rPr>
      </w:pPr>
      <w:r>
        <w:rPr>
          <w:rFonts w:hint="eastAsia" w:ascii="宋体" w:hAnsi="宋体" w:cs="Courier New"/>
          <w:color w:val="auto"/>
          <w:szCs w:val="21"/>
          <w:highlight w:val="none"/>
        </w:rPr>
        <w:t>法定代表人或其委托代理人签字或盖章：</w:t>
      </w:r>
    </w:p>
    <w:p>
      <w:pPr>
        <w:snapToGrid w:val="0"/>
        <w:spacing w:line="360" w:lineRule="exact"/>
        <w:ind w:firstLine="3885" w:firstLineChars="1850"/>
        <w:jc w:val="right"/>
        <w:rPr>
          <w:rFonts w:ascii="宋体" w:hAnsi="宋体" w:cs="Courier New"/>
          <w:color w:val="auto"/>
          <w:szCs w:val="21"/>
          <w:highlight w:val="none"/>
        </w:rPr>
      </w:pPr>
      <w:r>
        <w:rPr>
          <w:rFonts w:hint="eastAsia" w:ascii="宋体" w:hAnsi="宋体" w:cs="Courier New"/>
          <w:color w:val="auto"/>
          <w:szCs w:val="21"/>
          <w:highlight w:val="none"/>
        </w:rPr>
        <w:t>投标单位(盖单位公章)：</w:t>
      </w:r>
    </w:p>
    <w:p>
      <w:pPr>
        <w:snapToGrid w:val="0"/>
        <w:spacing w:line="360" w:lineRule="exact"/>
        <w:ind w:firstLine="570"/>
        <w:jc w:val="right"/>
      </w:pPr>
      <w:r>
        <w:rPr>
          <w:rFonts w:hint="eastAsia" w:ascii="宋体" w:hAnsi="宋体" w:cs="Courier New"/>
          <w:color w:val="auto"/>
          <w:szCs w:val="21"/>
          <w:highlight w:val="none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zY5YzUxYTBkNDQ5OWU4Y2MxYTllMGQzZDZlYzgifQ=="/>
  </w:docVars>
  <w:rsids>
    <w:rsidRoot w:val="50D719DB"/>
    <w:rsid w:val="104F23D8"/>
    <w:rsid w:val="4DD862F6"/>
    <w:rsid w:val="50D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100" w:after="100"/>
      <w:jc w:val="left"/>
      <w:outlineLvl w:val="2"/>
    </w:pPr>
    <w:rPr>
      <w:rFonts w:eastAsia="仿宋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1182</Characters>
  <Lines>0</Lines>
  <Paragraphs>0</Paragraphs>
  <TotalTime>3</TotalTime>
  <ScaleCrop>false</ScaleCrop>
  <LinksUpToDate>false</LinksUpToDate>
  <CharactersWithSpaces>1266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2023-06-27T07:13:00Z</dcterms:created>
  <dc:creator>Lumos.</dc:creator>
  <cp:lastModifiedBy>bangong008</cp:lastModifiedBy>
  <dcterms:modified xsi:type="dcterms:W3CDTF">2023-06-27T09:00:29Z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6E6DFD5631E44CB5BC459D8C46506D2E_12</vt:lpwstr>
  </property>
</Properties>
</file>