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i w:val="0"/>
          <w:iCs w:val="0"/>
          <w:caps w:val="0"/>
          <w:color w:val="000000"/>
          <w:spacing w:val="0"/>
          <w:sz w:val="44"/>
          <w:szCs w:val="44"/>
          <w:shd w:val="clear" w:color="auto" w:fill="FFFFFF"/>
        </w:rPr>
      </w:pPr>
      <w:r>
        <w:rPr>
          <w:rFonts w:hint="default" w:ascii="Times New Roman" w:hAnsi="Times New Roman" w:eastAsia="方正小标宋_GBK" w:cs="Times New Roman"/>
          <w:i w:val="0"/>
          <w:iCs w:val="0"/>
          <w:caps w:val="0"/>
          <w:color w:val="000000"/>
          <w:spacing w:val="0"/>
          <w:sz w:val="44"/>
          <w:szCs w:val="44"/>
          <w:shd w:val="clear" w:color="auto" w:fill="FFFFFF"/>
        </w:rPr>
        <w:t>重庆市九龙坡区</w:t>
      </w:r>
      <w:r>
        <w:rPr>
          <w:rFonts w:hint="eastAsia" w:ascii="Times New Roman" w:hAnsi="Times New Roman" w:eastAsia="方正小标宋_GBK" w:cs="Times New Roman"/>
          <w:i w:val="0"/>
          <w:iCs w:val="0"/>
          <w:caps w:val="0"/>
          <w:color w:val="000000"/>
          <w:spacing w:val="0"/>
          <w:sz w:val="44"/>
          <w:szCs w:val="44"/>
          <w:shd w:val="clear" w:color="auto" w:fill="FFFFFF"/>
          <w:lang w:eastAsia="zh-CN"/>
        </w:rPr>
        <w:t>人民政府</w:t>
      </w:r>
      <w:r>
        <w:rPr>
          <w:rFonts w:hint="default" w:ascii="Times New Roman" w:hAnsi="Times New Roman" w:eastAsia="方正小标宋_GBK" w:cs="Times New Roman"/>
          <w:i w:val="0"/>
          <w:iCs w:val="0"/>
          <w:caps w:val="0"/>
          <w:color w:val="000000"/>
          <w:spacing w:val="0"/>
          <w:sz w:val="44"/>
          <w:szCs w:val="44"/>
          <w:shd w:val="clear" w:color="auto" w:fill="FFFFFF"/>
        </w:rPr>
        <w:t>黄桷坪街道办事处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i w:val="0"/>
          <w:iCs w:val="0"/>
          <w:caps w:val="0"/>
          <w:color w:val="000000"/>
          <w:spacing w:val="0"/>
          <w:sz w:val="44"/>
          <w:szCs w:val="44"/>
          <w:shd w:val="clear" w:color="auto" w:fill="FFFFFF"/>
        </w:rPr>
      </w:pPr>
      <w:r>
        <w:rPr>
          <w:rFonts w:hint="eastAsia" w:ascii="Times New Roman" w:hAnsi="Times New Roman" w:eastAsia="方正小标宋_GBK" w:cs="Times New Roman"/>
          <w:i w:val="0"/>
          <w:iCs w:val="0"/>
          <w:caps w:val="0"/>
          <w:color w:val="000000"/>
          <w:spacing w:val="0"/>
          <w:sz w:val="44"/>
          <w:szCs w:val="44"/>
          <w:shd w:val="clear" w:color="auto" w:fill="FFFFFF"/>
          <w:lang w:eastAsia="zh-CN"/>
        </w:rPr>
        <w:t>202</w:t>
      </w:r>
      <w:r>
        <w:rPr>
          <w:rFonts w:hint="eastAsia" w:ascii="Times New Roman" w:hAnsi="Times New Roman" w:eastAsia="方正小标宋_GBK" w:cs="Times New Roman"/>
          <w:i w:val="0"/>
          <w:iCs w:val="0"/>
          <w:caps w:val="0"/>
          <w:color w:val="000000"/>
          <w:spacing w:val="0"/>
          <w:sz w:val="44"/>
          <w:szCs w:val="44"/>
          <w:shd w:val="clear" w:color="auto" w:fill="FFFFFF"/>
          <w:lang w:val="en-US" w:eastAsia="zh-CN"/>
        </w:rPr>
        <w:t>5</w:t>
      </w:r>
      <w:r>
        <w:rPr>
          <w:rFonts w:hint="default" w:ascii="Times New Roman" w:hAnsi="Times New Roman" w:eastAsia="方正小标宋_GBK" w:cs="Times New Roman"/>
          <w:i w:val="0"/>
          <w:iCs w:val="0"/>
          <w:caps w:val="0"/>
          <w:color w:val="000000"/>
          <w:spacing w:val="0"/>
          <w:sz w:val="44"/>
          <w:szCs w:val="44"/>
          <w:shd w:val="clear" w:color="auto" w:fill="FFFFFF"/>
        </w:rPr>
        <w:t>年政府信息公开工作年度报告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000000"/>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本报告</w:t>
      </w:r>
      <w:r>
        <w:rPr>
          <w:rFonts w:hint="default" w:ascii="Times New Roman" w:hAnsi="Times New Roman" w:eastAsia="方正仿宋_GBK" w:cs="Times New Roman"/>
          <w:i w:val="0"/>
          <w:iCs w:val="0"/>
          <w:caps w:val="0"/>
          <w:color w:val="000000"/>
          <w:spacing w:val="0"/>
          <w:sz w:val="32"/>
          <w:szCs w:val="32"/>
          <w:shd w:val="clear" w:color="auto" w:fill="FFFFFF"/>
        </w:rPr>
        <w:t>根据《</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中华人民共和国</w:t>
      </w:r>
      <w:r>
        <w:rPr>
          <w:rFonts w:hint="default" w:ascii="Times New Roman" w:hAnsi="Times New Roman" w:eastAsia="方正仿宋_GBK" w:cs="Times New Roman"/>
          <w:i w:val="0"/>
          <w:iCs w:val="0"/>
          <w:caps w:val="0"/>
          <w:color w:val="000000"/>
          <w:spacing w:val="0"/>
          <w:sz w:val="32"/>
          <w:szCs w:val="32"/>
          <w:shd w:val="clear" w:color="auto" w:fill="FFFFFF"/>
        </w:rPr>
        <w:t>政府信息公开条例》</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以下简称《条例》</w:t>
      </w:r>
      <w:r>
        <w:rPr>
          <w:rFonts w:hint="eastAsia" w:ascii="Times New Roman" w:hAnsi="Times New Roman" w:eastAsia="方正仿宋_GBK" w:cs="Times New Roman"/>
          <w:i w:val="0"/>
          <w:iCs w:val="0"/>
          <w:caps w:val="0"/>
          <w:color w:val="000000"/>
          <w:spacing w:val="0"/>
          <w:sz w:val="32"/>
          <w:szCs w:val="32"/>
          <w:shd w:val="clear" w:color="auto" w:fill="FFFFFF"/>
          <w:lang w:eastAsia="zh-CN"/>
        </w:rPr>
        <w:t>）</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以及</w:t>
      </w:r>
      <w:r>
        <w:rPr>
          <w:rFonts w:hint="default" w:ascii="Times New Roman" w:hAnsi="Times New Roman" w:eastAsia="方正仿宋_GBK" w:cs="Times New Roman"/>
          <w:i w:val="0"/>
          <w:iCs w:val="0"/>
          <w:caps w:val="0"/>
          <w:color w:val="000000"/>
          <w:spacing w:val="0"/>
          <w:sz w:val="32"/>
          <w:szCs w:val="32"/>
          <w:shd w:val="clear" w:color="auto" w:fill="FFFFFF"/>
        </w:rPr>
        <w:t>《国务院办公厅政府信息与政务公开办公室关于政府信息公开工作年度报告有关事项的通知》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要求编制而成</w:t>
      </w:r>
      <w:r>
        <w:rPr>
          <w:rFonts w:hint="default" w:ascii="Times New Roman" w:hAnsi="Times New Roman" w:eastAsia="方正仿宋_GBK" w:cs="Times New Roman"/>
          <w:i w:val="0"/>
          <w:iCs w:val="0"/>
          <w:caps w:val="0"/>
          <w:color w:val="000000"/>
          <w:spacing w:val="0"/>
          <w:sz w:val="32"/>
          <w:szCs w:val="32"/>
          <w:shd w:val="clear" w:color="auto" w:fill="FFFFFF"/>
        </w:rPr>
        <w:t>。本报告信息数据统计期限</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从</w:t>
      </w:r>
      <w:r>
        <w:rPr>
          <w:rFonts w:hint="eastAsia" w:ascii="Times New Roman" w:hAnsi="Times New Roman" w:eastAsia="方正仿宋_GBK" w:cs="Times New Roman"/>
          <w:i w:val="0"/>
          <w:iCs w:val="0"/>
          <w:caps w:val="0"/>
          <w:color w:val="000000"/>
          <w:spacing w:val="0"/>
          <w:sz w:val="32"/>
          <w:szCs w:val="32"/>
          <w:shd w:val="clear" w:color="auto" w:fill="FFFFFF"/>
          <w:lang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年1月1日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起至</w:t>
      </w:r>
      <w:r>
        <w:rPr>
          <w:rFonts w:hint="eastAsia" w:ascii="Times New Roman" w:hAnsi="Times New Roman" w:eastAsia="方正仿宋_GBK" w:cs="Times New Roman"/>
          <w:i w:val="0"/>
          <w:iCs w:val="0"/>
          <w:caps w:val="0"/>
          <w:color w:val="000000"/>
          <w:spacing w:val="0"/>
          <w:sz w:val="32"/>
          <w:szCs w:val="32"/>
          <w:shd w:val="clear" w:color="auto" w:fill="FFFFFF"/>
          <w:lang w:eastAsia="zh-CN"/>
        </w:rPr>
        <w:t>202</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5</w:t>
      </w:r>
      <w:r>
        <w:rPr>
          <w:rFonts w:hint="default" w:ascii="Times New Roman" w:hAnsi="Times New Roman" w:eastAsia="方正仿宋_GBK" w:cs="Times New Roman"/>
          <w:i w:val="0"/>
          <w:iCs w:val="0"/>
          <w:caps w:val="0"/>
          <w:color w:val="000000"/>
          <w:spacing w:val="0"/>
          <w:sz w:val="32"/>
          <w:szCs w:val="32"/>
          <w:shd w:val="clear" w:color="auto" w:fill="FFFFFF"/>
        </w:rPr>
        <w:t>年12月31日</w:t>
      </w:r>
      <w:r>
        <w:rPr>
          <w:rFonts w:hint="eastAsia" w:ascii="Times New Roman" w:hAnsi="Times New Roman" w:eastAsia="方正仿宋_GBK" w:cs="Times New Roman"/>
          <w:i w:val="0"/>
          <w:iCs w:val="0"/>
          <w:caps w:val="0"/>
          <w:color w:val="000000"/>
          <w:spacing w:val="0"/>
          <w:sz w:val="32"/>
          <w:szCs w:val="32"/>
          <w:shd w:val="clear" w:color="auto" w:fill="FFFFFF"/>
          <w:lang w:val="en-US" w:eastAsia="zh-CN"/>
        </w:rPr>
        <w:t>止</w:t>
      </w:r>
      <w:r>
        <w:rPr>
          <w:rFonts w:hint="default" w:ascii="Times New Roman" w:hAnsi="Times New Roman" w:eastAsia="方正仿宋_GBK" w:cs="Times New Roman"/>
          <w:i w:val="0"/>
          <w:iCs w:val="0"/>
          <w:caps w:val="0"/>
          <w:color w:val="000000"/>
          <w:spacing w:val="0"/>
          <w:sz w:val="32"/>
          <w:szCs w:val="32"/>
          <w:shd w:val="clear" w:color="auto" w:fill="FFFFFF"/>
        </w:rPr>
        <w:t>。</w:t>
      </w:r>
    </w:p>
    <w:p>
      <w:pPr>
        <w:keepNext w:val="0"/>
        <w:keepLines w:val="0"/>
        <w:pageBreakBefore w:val="0"/>
        <w:widowControl w:val="0"/>
        <w:suppressLineNumbers w:val="0"/>
        <w:tabs>
          <w:tab w:val="center" w:pos="4507"/>
        </w:tabs>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t>一、总体情况</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2025年，在推进政府信息公开工作中，黄桷坪街道坚持问题导向、靶向发力，通过自查自纠、专项督查等方式，精准排查工作短板，扎实推进整改，有效提高工作透明度，</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严格</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落实《条例》规定，规范政务信息公开管理</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遵循公正、公平、合法、便民的原则</w:t>
      </w:r>
      <w:r>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w:t>
      </w: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及时、准确地公开政府信息，充分发挥政府信息对人民群众社会活动的服务作用。</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（一）主动公开情况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shd w:val="clear" w:color="auto" w:fill="FFFFFF"/>
          <w:lang w:val="en-US" w:eastAsia="zh-CN" w:bidi="ar"/>
        </w:rPr>
        <w:t>2025年，</w:t>
      </w:r>
      <w:r>
        <w:rPr>
          <w:rFonts w:hint="default" w:ascii="Times New Roman" w:hAnsi="Times New Roman" w:eastAsia="方正仿宋_GBK" w:cs="Times New Roman"/>
          <w:i w:val="0"/>
          <w:caps w:val="0"/>
          <w:color w:val="auto"/>
          <w:spacing w:val="0"/>
          <w:kern w:val="0"/>
          <w:sz w:val="32"/>
          <w:szCs w:val="32"/>
          <w:shd w:val="clear" w:color="auto" w:fill="FFFFFF"/>
          <w:lang w:val="en-US" w:eastAsia="zh-CN" w:bidi="ar"/>
        </w:rPr>
        <w:t>黄桷坪街道严格按照信息公开流程，</w:t>
      </w:r>
      <w:r>
        <w:rPr>
          <w:rFonts w:hint="default" w:ascii="Times New Roman" w:hAnsi="Times New Roman" w:eastAsia="方正仿宋_GBK" w:cs="Times New Roman"/>
          <w:i w:val="0"/>
          <w:iCs w:val="0"/>
          <w:caps w:val="0"/>
          <w:color w:val="auto"/>
          <w:spacing w:val="0"/>
          <w:sz w:val="32"/>
          <w:szCs w:val="32"/>
          <w:highlight w:val="none"/>
          <w:shd w:val="clear" w:color="auto" w:fill="FFFFFF"/>
        </w:rPr>
        <w:t>全年通过区政府信息公开网站共公开信息</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181</w:t>
      </w:r>
      <w:r>
        <w:rPr>
          <w:rFonts w:hint="default" w:ascii="Times New Roman" w:hAnsi="Times New Roman" w:eastAsia="方正仿宋_GBK" w:cs="Times New Roman"/>
          <w:i w:val="0"/>
          <w:iCs w:val="0"/>
          <w:caps w:val="0"/>
          <w:color w:val="auto"/>
          <w:spacing w:val="0"/>
          <w:sz w:val="32"/>
          <w:szCs w:val="32"/>
          <w:highlight w:val="none"/>
          <w:shd w:val="clear" w:color="auto" w:fill="FFFFFF"/>
        </w:rPr>
        <w:t>条，</w:t>
      </w:r>
      <w:r>
        <w:rPr>
          <w:rFonts w:hint="eastAsia" w:ascii="Times New Roman" w:hAnsi="Times New Roman" w:eastAsia="方正仿宋_GBK" w:cs="Times New Roman"/>
          <w:i w:val="0"/>
          <w:iCs w:val="0"/>
          <w:caps w:val="0"/>
          <w:color w:val="auto"/>
          <w:spacing w:val="0"/>
          <w:sz w:val="32"/>
          <w:szCs w:val="32"/>
          <w:highlight w:val="none"/>
          <w:shd w:val="clear" w:color="auto" w:fill="FFFFFF"/>
          <w:lang w:eastAsia="zh-CN"/>
        </w:rPr>
        <w:t>包含</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镇街信息72条、履职依据1条、决算预算信息公开18条、本街道机构职能及村、社区基本信息16条、基层政务公开75条，其中基层政务公开部分涉及老年人补贴、社会救助、群文活动、展演信息、灾后救助及款物管理信息公开等多项内容。</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t>（二）依申请公开</w:t>
      </w: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i w:val="0"/>
          <w:iCs w:val="0"/>
          <w:caps w:val="0"/>
          <w:color w:val="auto"/>
          <w:spacing w:val="0"/>
          <w:sz w:val="32"/>
          <w:szCs w:val="32"/>
          <w:highlight w:val="none"/>
          <w:shd w:val="clear" w:color="auto" w:fill="FFFFFF"/>
        </w:rPr>
      </w:pP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2025年，黄桷坪街道</w:t>
      </w:r>
      <w:r>
        <w:rPr>
          <w:rFonts w:hint="default" w:ascii="Times New Roman" w:hAnsi="Times New Roman" w:eastAsia="方正仿宋_GBK" w:cs="Times New Roman"/>
          <w:i w:val="0"/>
          <w:iCs w:val="0"/>
          <w:caps w:val="0"/>
          <w:color w:val="auto"/>
          <w:spacing w:val="0"/>
          <w:sz w:val="32"/>
          <w:szCs w:val="32"/>
          <w:highlight w:val="none"/>
          <w:shd w:val="clear" w:color="auto" w:fill="FFFFFF"/>
        </w:rPr>
        <w:t>新收政府信息公开申请数量</w:t>
      </w:r>
      <w:r>
        <w:rPr>
          <w:rFonts w:hint="eastAsia" w:ascii="Times New Roman" w:hAnsi="Times New Roman" w:eastAsia="方正仿宋_GBK" w:cs="Times New Roman"/>
          <w:i w:val="0"/>
          <w:iCs w:val="0"/>
          <w:caps w:val="0"/>
          <w:color w:val="auto"/>
          <w:spacing w:val="0"/>
          <w:sz w:val="32"/>
          <w:szCs w:val="32"/>
          <w:highlight w:val="none"/>
          <w:shd w:val="clear" w:color="auto" w:fill="FFFFFF"/>
          <w:lang w:val="en-US" w:eastAsia="zh-CN"/>
        </w:rPr>
        <w:t>1</w:t>
      </w:r>
      <w:r>
        <w:rPr>
          <w:rFonts w:hint="default" w:ascii="Times New Roman" w:hAnsi="Times New Roman" w:eastAsia="方正仿宋_GBK" w:cs="Times New Roman"/>
          <w:i w:val="0"/>
          <w:iCs w:val="0"/>
          <w:caps w:val="0"/>
          <w:color w:val="auto"/>
          <w:spacing w:val="0"/>
          <w:sz w:val="32"/>
          <w:szCs w:val="32"/>
          <w:highlight w:val="none"/>
          <w:shd w:val="clear" w:color="auto" w:fill="FFFFFF"/>
        </w:rPr>
        <w:t>件，上年结转政府信息公开申请数量</w:t>
      </w:r>
      <w:r>
        <w:rPr>
          <w:rFonts w:hint="default" w:ascii="Times New Roman" w:hAnsi="Times New Roman" w:eastAsia="方正仿宋_GBK" w:cs="Times New Roman"/>
          <w:i w:val="0"/>
          <w:iCs w:val="0"/>
          <w:caps w:val="0"/>
          <w:color w:val="auto"/>
          <w:spacing w:val="0"/>
          <w:sz w:val="32"/>
          <w:szCs w:val="32"/>
          <w:highlight w:val="none"/>
          <w:shd w:val="clear" w:color="auto" w:fill="FFFFFF"/>
          <w:lang w:val="en-US" w:eastAsia="zh-CN"/>
        </w:rPr>
        <w:t>0</w:t>
      </w:r>
      <w:r>
        <w:rPr>
          <w:rFonts w:hint="default" w:ascii="Times New Roman" w:hAnsi="Times New Roman" w:eastAsia="方正仿宋_GBK" w:cs="Times New Roman"/>
          <w:i w:val="0"/>
          <w:iCs w:val="0"/>
          <w:caps w:val="0"/>
          <w:color w:val="auto"/>
          <w:spacing w:val="0"/>
          <w:sz w:val="32"/>
          <w:szCs w:val="32"/>
          <w:highlight w:val="none"/>
          <w:shd w:val="clear" w:color="auto" w:fill="FFFFFF"/>
        </w:rPr>
        <w:t>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t>（三）政府信息管理</w:t>
      </w: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2025年，黄桷坪街道</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严格落实《条例》</w:t>
      </w:r>
      <w:r>
        <w:rPr>
          <w:rFonts w:hint="eastAsia"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规定</w:t>
      </w:r>
      <w:r>
        <w:rPr>
          <w:rFonts w:hint="default"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，细化审核校对标准</w:t>
      </w:r>
      <w:r>
        <w:rPr>
          <w:rFonts w:hint="eastAsia" w:ascii="Times New Roman" w:hAnsi="Times New Roman" w:eastAsia="方正仿宋_GBK" w:cs="Times New Roman"/>
          <w:i w:val="0"/>
          <w:caps w:val="0"/>
          <w:color w:val="000000"/>
          <w:spacing w:val="0"/>
          <w:kern w:val="0"/>
          <w:sz w:val="32"/>
          <w:szCs w:val="32"/>
          <w:highlight w:val="none"/>
          <w:shd w:val="clear" w:color="auto" w:fill="FFFFFF"/>
          <w:lang w:val="en-US" w:eastAsia="zh-CN" w:bidi="ar"/>
        </w:rPr>
        <w:t>，对公开信息的涉密性、准确性、规范性实行链式管理，落实“三校三审”的分级审核责任机制；针对不同的信息类别，进行分类管理，严格区分信息属性，对涉密信息、内部事务信息等不予公开内容建立动态评估机制，定期审查调整，强化政府信息资源的规范化、标准化、信息化管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highlight w:val="none"/>
          <w:shd w:val="clear" w:color="auto" w:fill="FFFFFF"/>
          <w:lang w:val="en-US" w:eastAsia="zh-CN" w:bidi="ar"/>
        </w:rPr>
        <w:t>（四）政府信息公开平台建设</w:t>
      </w:r>
      <w:r>
        <w:rPr>
          <w:rFonts w:hint="eastAsia" w:ascii="Times New Roman" w:hAnsi="Times New Roman" w:eastAsia="方正楷体_GBK" w:cs="方正楷体_GBK"/>
          <w:i w:val="0"/>
          <w:caps w:val="0"/>
          <w:color w:val="000000"/>
          <w:spacing w:val="0"/>
          <w:kern w:val="0"/>
          <w:sz w:val="32"/>
          <w:szCs w:val="32"/>
          <w:highlight w:val="none"/>
          <w:shd w:val="clear" w:color="auto" w:fill="FFFFFF"/>
          <w:lang w:val="en-US" w:eastAsia="zh-CN" w:bidi="ar"/>
        </w:rPr>
        <w:t>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2025年，黄桷坪街道严格按照政府信息公开要求，打造专项公开点位。在街道便民服务中心大厅设置政务公开专区5处和社区惠民惠农财政补贴信息公开处11处，统一公开标识、信息模板、更新频次，动态更新补贴政策、发放对象、发放金额等信息，做到定点可查、实时更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pPr>
      <w:r>
        <w:rPr>
          <w:rFonts w:hint="default" w:ascii="Times New Roman" w:hAnsi="Times New Roman" w:eastAsia="方正楷体_GBK" w:cs="方正楷体_GBK"/>
          <w:i w:val="0"/>
          <w:caps w:val="0"/>
          <w:color w:val="000000"/>
          <w:spacing w:val="0"/>
          <w:kern w:val="0"/>
          <w:sz w:val="32"/>
          <w:szCs w:val="32"/>
          <w:shd w:val="clear" w:color="auto" w:fill="FFFFFF"/>
          <w:lang w:val="en-US" w:eastAsia="zh-CN" w:bidi="ar"/>
        </w:rPr>
        <w:t>（五）监督保障</w:t>
      </w:r>
      <w:r>
        <w:rPr>
          <w:rFonts w:hint="eastAsia" w:ascii="Times New Roman" w:hAnsi="Times New Roman" w:eastAsia="方正楷体_GBK" w:cs="方正楷体_GBK"/>
          <w:i w:val="0"/>
          <w:caps w:val="0"/>
          <w:color w:val="000000"/>
          <w:spacing w:val="0"/>
          <w:kern w:val="0"/>
          <w:sz w:val="32"/>
          <w:szCs w:val="32"/>
          <w:shd w:val="clear" w:color="auto" w:fill="FFFFFF"/>
          <w:lang w:val="en-US" w:eastAsia="zh-CN" w:bidi="ar"/>
        </w:rPr>
        <w:t>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一是健全监督体系，建设政府信息公开工作队伍，建立责任机制，落实主体责任，定期对各科室、社区政务公开事项开展专项督查，确保公开内容真实、准确、及时。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lang w:val="en-US" w:eastAsia="zh-CN"/>
        </w:rPr>
      </w:pPr>
      <w:r>
        <w:rPr>
          <w:rFonts w:hint="eastAsia" w:ascii="Times New Roman" w:hAnsi="Times New Roman" w:eastAsia="方正仿宋_GBK" w:cs="Times New Roman"/>
          <w:i w:val="0"/>
          <w:caps w:val="0"/>
          <w:color w:val="auto"/>
          <w:spacing w:val="0"/>
          <w:kern w:val="0"/>
          <w:sz w:val="32"/>
          <w:szCs w:val="32"/>
          <w:highlight w:val="none"/>
          <w:shd w:val="clear" w:color="auto" w:fill="FFFFFF"/>
          <w:lang w:val="en-US" w:eastAsia="zh-CN" w:bidi="ar"/>
        </w:rPr>
        <w:t>二是保障反馈渠道畅通，依托政务服务平台、意见箱等载体，广泛收集群众诉求，对发现的问题建立台账、限期整改，切实以有力监督保障政务公开工作提质增效。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方正黑体_GBK" w:cs="方正黑体_GBK"/>
          <w:color w:val="000000"/>
          <w:sz w:val="32"/>
          <w:szCs w:val="32"/>
          <w:lang w:eastAsia="zh-CN"/>
        </w:rPr>
      </w:pPr>
      <w:r>
        <w:rPr>
          <w:rFonts w:hint="default" w:ascii="Times New Roman" w:hAnsi="Times New Roman" w:eastAsia="方正黑体_GBK" w:cs="方正黑体_GBK"/>
          <w:color w:val="000000"/>
          <w:sz w:val="32"/>
          <w:szCs w:val="32"/>
          <w:lang w:eastAsia="zh-CN"/>
        </w:rPr>
        <w:t>二、主动公开政府信息情况</w:t>
      </w:r>
    </w:p>
    <w:tbl>
      <w:tblPr>
        <w:tblStyle w:val="9"/>
        <w:tblW w:w="97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435"/>
        <w:gridCol w:w="2435"/>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9740"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信息内容</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本年制发件数</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本年废止件数</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color w:val="000000"/>
                <w:sz w:val="32"/>
                <w:szCs w:val="32"/>
              </w:rPr>
            </w:pPr>
            <w:r>
              <w:rPr>
                <w:rFonts w:hint="eastAsia" w:ascii="Times New Roman" w:hAnsi="Times New Roman" w:eastAsia="方正仿宋_GBK" w:cs="方正仿宋_GBK"/>
                <w:color w:val="000000"/>
                <w:kern w:val="0"/>
                <w:sz w:val="32"/>
                <w:szCs w:val="32"/>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规章</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行政规范性文件</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0</w:t>
            </w:r>
          </w:p>
        </w:tc>
        <w:tc>
          <w:tcPr>
            <w:tcW w:w="243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eastAsia" w:ascii="Times New Roman" w:hAnsi="Times New Roman" w:eastAsia="方正仿宋_GBK" w:cs="Times New Roman"/>
                <w:color w:val="000000"/>
                <w:kern w:val="0"/>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信息内容</w:t>
            </w:r>
          </w:p>
        </w:tc>
        <w:tc>
          <w:tcPr>
            <w:tcW w:w="7305"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行政许可</w:t>
            </w:r>
          </w:p>
        </w:tc>
        <w:tc>
          <w:tcPr>
            <w:tcW w:w="7305"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信息内容</w:t>
            </w:r>
          </w:p>
        </w:tc>
        <w:tc>
          <w:tcPr>
            <w:tcW w:w="7305"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行政处罚</w:t>
            </w:r>
          </w:p>
        </w:tc>
        <w:tc>
          <w:tcPr>
            <w:tcW w:w="7305"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kern w:val="0"/>
                <w:sz w:val="32"/>
                <w:szCs w:val="32"/>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行政强制</w:t>
            </w:r>
          </w:p>
        </w:tc>
        <w:tc>
          <w:tcPr>
            <w:tcW w:w="7305"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9740" w:type="dxa"/>
            <w:gridSpan w:val="4"/>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kern w:val="0"/>
                <w:sz w:val="32"/>
                <w:szCs w:val="32"/>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信息内容</w:t>
            </w:r>
          </w:p>
        </w:tc>
        <w:tc>
          <w:tcPr>
            <w:tcW w:w="7305" w:type="dxa"/>
            <w:gridSpan w:val="3"/>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2435" w:type="dxa"/>
            <w:shd w:val="clear" w:color="auto" w:fill="FFFFFF"/>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rPr>
              <w:t>行政事业性收费</w:t>
            </w:r>
          </w:p>
        </w:tc>
        <w:tc>
          <w:tcPr>
            <w:tcW w:w="7305" w:type="dxa"/>
            <w:gridSpan w:val="3"/>
            <w:shd w:val="clear" w:color="auto" w:fill="FFFFFF"/>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sz w:val="32"/>
          <w:szCs w:val="32"/>
          <w:lang w:eastAsia="zh-CN"/>
        </w:rPr>
        <w:sectPr>
          <w:footerReference r:id="rId3" w:type="default"/>
          <w:pgSz w:w="11906" w:h="16838"/>
          <w:pgMar w:top="1984" w:right="1446" w:bottom="1644" w:left="1446" w:header="851" w:footer="141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sz w:val="32"/>
          <w:szCs w:val="32"/>
          <w:lang w:eastAsia="zh-CN"/>
        </w:rPr>
      </w:pPr>
      <w:r>
        <w:rPr>
          <w:rFonts w:hint="eastAsia" w:ascii="Times New Roman" w:hAnsi="Times New Roman" w:eastAsia="方正黑体_GBK" w:cs="方正黑体_GBK"/>
          <w:color w:val="000000"/>
          <w:sz w:val="32"/>
          <w:szCs w:val="32"/>
          <w:lang w:eastAsia="zh-CN"/>
        </w:rPr>
        <w:t>三、收到和处理政府信息公开申请情况</w:t>
      </w:r>
    </w:p>
    <w:tbl>
      <w:tblPr>
        <w:tblStyle w:val="9"/>
        <w:tblW w:w="147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30"/>
        <w:gridCol w:w="1395"/>
        <w:gridCol w:w="5430"/>
        <w:gridCol w:w="930"/>
        <w:gridCol w:w="765"/>
        <w:gridCol w:w="795"/>
        <w:gridCol w:w="1185"/>
        <w:gridCol w:w="1080"/>
        <w:gridCol w:w="87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jc w:val="center"/>
        </w:trPr>
        <w:tc>
          <w:tcPr>
            <w:tcW w:w="8355"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（本列数据的勾稽关系为：第一项加第二项之和，等于第三项加第四项之和）</w:t>
            </w:r>
          </w:p>
        </w:tc>
        <w:tc>
          <w:tcPr>
            <w:tcW w:w="6435" w:type="dxa"/>
            <w:gridSpan w:val="7"/>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7" w:hRule="atLeast"/>
          <w:jc w:val="center"/>
        </w:trPr>
        <w:tc>
          <w:tcPr>
            <w:tcW w:w="8355"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p>
        </w:tc>
        <w:tc>
          <w:tcPr>
            <w:tcW w:w="930"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自然人</w:t>
            </w:r>
          </w:p>
        </w:tc>
        <w:tc>
          <w:tcPr>
            <w:tcW w:w="4695" w:type="dxa"/>
            <w:gridSpan w:val="5"/>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法人或其他组织</w:t>
            </w:r>
          </w:p>
        </w:tc>
        <w:tc>
          <w:tcPr>
            <w:tcW w:w="810"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5" w:hRule="atLeast"/>
          <w:jc w:val="center"/>
        </w:trPr>
        <w:tc>
          <w:tcPr>
            <w:tcW w:w="8355"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9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商业</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企业</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科研</w:t>
            </w:r>
          </w:p>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机构</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社会公益组织</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法律服务机构</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其他</w:t>
            </w:r>
          </w:p>
        </w:tc>
        <w:tc>
          <w:tcPr>
            <w:tcW w:w="81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jc w:val="center"/>
        </w:trPr>
        <w:tc>
          <w:tcPr>
            <w:tcW w:w="8355"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一、本年新收政府信息公开申请数量</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eastAsia="zh-CN"/>
              </w:rPr>
            </w:pPr>
            <w:r>
              <w:rPr>
                <w:rFonts w:hint="eastAsia" w:ascii="Times New Roman" w:hAnsi="Times New Roman" w:eastAsia="方正仿宋_GBK" w:cs="Times New Roman"/>
                <w:color w:val="000000"/>
                <w:kern w:val="0"/>
                <w:sz w:val="28"/>
                <w:szCs w:val="28"/>
                <w:lang w:val="en-US" w:eastAsia="zh-CN"/>
              </w:rPr>
              <w:t>1</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val="en-US"/>
              </w:rPr>
            </w:pPr>
            <w:r>
              <w:rPr>
                <w:rFonts w:hint="eastAsia"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sz w:val="28"/>
                <w:szCs w:val="28"/>
                <w:lang w:val="en-US" w:eastAsia="zh-CN"/>
              </w:rPr>
            </w:pPr>
            <w:r>
              <w:rPr>
                <w:rFonts w:hint="eastAsia" w:ascii="Times New Roman" w:hAnsi="Times New Roman" w:eastAsia="方正仿宋_GBK" w:cs="Times New Roman"/>
                <w:color w:val="00000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3" w:hRule="atLeast"/>
          <w:jc w:val="center"/>
        </w:trPr>
        <w:tc>
          <w:tcPr>
            <w:tcW w:w="8355"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二、上年结转政府信息公开申请数量</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2" w:hRule="atLeast"/>
          <w:jc w:val="center"/>
        </w:trPr>
        <w:tc>
          <w:tcPr>
            <w:tcW w:w="1530"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三、本年度办理结果</w:t>
            </w:r>
          </w:p>
        </w:tc>
        <w:tc>
          <w:tcPr>
            <w:tcW w:w="6825"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（一）予以公开</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65"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6825"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（二）部分公开（区分处理的，只计这一情形，不计其他情形）</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（三）不予公开</w:t>
            </w: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1.属于国家秘密</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2.其他法律行政法规禁止公开</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eastAsia" w:ascii="Times New Roman" w:hAnsi="Times New Roman" w:eastAsia="方正仿宋_GBK" w:cs="Times New Roman"/>
                <w:color w:val="000000"/>
                <w:sz w:val="28"/>
                <w:szCs w:val="28"/>
                <w:lang w:eastAsia="zh-CN"/>
              </w:rPr>
            </w:pPr>
            <w:r>
              <w:rPr>
                <w:rFonts w:hint="default" w:ascii="Times New Roman" w:hAnsi="Times New Roman" w:eastAsia="方正仿宋_GBK" w:cs="Times New Roman"/>
                <w:color w:val="000000"/>
                <w:kern w:val="0"/>
                <w:sz w:val="28"/>
                <w:szCs w:val="28"/>
              </w:rPr>
              <w:t>3.危及</w:t>
            </w:r>
            <w:r>
              <w:rPr>
                <w:rFonts w:hint="eastAsia" w:ascii="Times New Roman" w:hAnsi="Times New Roman" w:eastAsia="方正仿宋_GBK" w:cs="Times New Roman"/>
                <w:color w:val="000000"/>
                <w:kern w:val="0"/>
                <w:sz w:val="28"/>
                <w:szCs w:val="28"/>
                <w:lang w:eastAsia="zh-CN"/>
              </w:rPr>
              <w:t>“</w:t>
            </w:r>
            <w:r>
              <w:rPr>
                <w:rFonts w:hint="default" w:ascii="Times New Roman" w:hAnsi="Times New Roman" w:eastAsia="方正仿宋_GBK" w:cs="Times New Roman"/>
                <w:color w:val="000000"/>
                <w:kern w:val="0"/>
                <w:sz w:val="28"/>
                <w:szCs w:val="28"/>
              </w:rPr>
              <w:t>三安全一稳定</w:t>
            </w:r>
            <w:r>
              <w:rPr>
                <w:rFonts w:hint="eastAsia" w:ascii="Times New Roman" w:hAnsi="Times New Roman" w:eastAsia="方正仿宋_GBK" w:cs="Times New Roman"/>
                <w:color w:val="000000"/>
                <w:kern w:val="0"/>
                <w:sz w:val="28"/>
                <w:szCs w:val="28"/>
                <w:lang w:eastAsia="zh-CN"/>
              </w:rPr>
              <w:t>”</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4.保护第三方合法权益</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5.属于三类内部事务信息</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6.属于四类过程性信息</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7.属于行政执法案卷</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8.属于行政查询事项</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（四）无法提供</w:t>
            </w: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1.本机关不掌握相关政府信息</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1</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2.没有现成信息需要另行制作</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3.补正后申请内容仍不明确</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（五）不予处理</w:t>
            </w: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1.信访举报投诉类申请</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2.重复申请</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3.要求提供公开出版物</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4.无正当理由大量反复申请</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4"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5.要求行政机关确认或重新出具已获取信息</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2"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（六）其他处理</w:t>
            </w: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1.申请人无正当理由逾期不补正、行政机关不再处理其政府信息公开申请</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2.申请人逾期未按收费通知要求缴纳费用、行政机关不再处理其政府信息公开申请</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1395"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54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left"/>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3.其他</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1530" w:type="dxa"/>
            <w:vMerge w:val="continue"/>
            <w:tcMar>
              <w:left w:w="57" w:type="dxa"/>
              <w:right w:w="57" w:type="dxa"/>
            </w:tcMar>
            <w:vAlign w:val="center"/>
          </w:tcPr>
          <w:p>
            <w:pPr>
              <w:keepNext w:val="0"/>
              <w:keepLines w:val="0"/>
              <w:pageBreakBefore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p>
        </w:tc>
        <w:tc>
          <w:tcPr>
            <w:tcW w:w="6825"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（七）总计</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1</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eastAsia" w:ascii="Times New Roman" w:hAnsi="Times New Roman" w:eastAsia="方正仿宋_GBK" w:cs="Times New Roman"/>
                <w:color w:val="000000"/>
                <w:kern w:val="0"/>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3" w:hRule="atLeast"/>
          <w:jc w:val="center"/>
        </w:trPr>
        <w:tc>
          <w:tcPr>
            <w:tcW w:w="8355" w:type="dxa"/>
            <w:gridSpan w:val="3"/>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四、结转下年度继续办理</w:t>
            </w:r>
          </w:p>
        </w:tc>
        <w:tc>
          <w:tcPr>
            <w:tcW w:w="93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6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9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18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108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7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1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sz w:val="32"/>
          <w:szCs w:val="32"/>
          <w:lang w:eastAsia="zh-CN"/>
        </w:rPr>
        <w:sectPr>
          <w:pgSz w:w="16838" w:h="11906" w:orient="landscape"/>
          <w:pgMar w:top="1446" w:right="1984" w:bottom="1446" w:left="1644" w:header="851" w:footer="1247" w:gutter="0"/>
          <w:pgNumType w:fmt="decimal"/>
          <w:cols w:space="720"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方正黑体_GBK"/>
          <w:color w:val="000000"/>
          <w:sz w:val="32"/>
          <w:szCs w:val="32"/>
          <w:lang w:val="en-US" w:eastAsia="zh-CN"/>
        </w:rPr>
      </w:pPr>
      <w:r>
        <w:rPr>
          <w:rFonts w:hint="eastAsia" w:ascii="Times New Roman" w:hAnsi="Times New Roman" w:eastAsia="方正黑体_GBK" w:cs="方正黑体_GBK"/>
          <w:color w:val="000000"/>
          <w:sz w:val="32"/>
          <w:szCs w:val="32"/>
          <w:lang w:eastAsia="zh-CN"/>
        </w:rPr>
        <w:t>四、政府信息公开行政复议、行政诉讼情况</w:t>
      </w:r>
    </w:p>
    <w:tbl>
      <w:tblPr>
        <w:tblStyle w:val="9"/>
        <w:tblW w:w="10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6"/>
        <w:gridCol w:w="720"/>
        <w:gridCol w:w="705"/>
        <w:gridCol w:w="628"/>
        <w:gridCol w:w="803"/>
        <w:gridCol w:w="649"/>
        <w:gridCol w:w="649"/>
        <w:gridCol w:w="650"/>
        <w:gridCol w:w="650"/>
        <w:gridCol w:w="650"/>
        <w:gridCol w:w="651"/>
        <w:gridCol w:w="651"/>
        <w:gridCol w:w="651"/>
        <w:gridCol w:w="651"/>
        <w:gridCol w:w="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3652" w:type="dxa"/>
            <w:gridSpan w:val="5"/>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行政复议</w:t>
            </w:r>
          </w:p>
        </w:tc>
        <w:tc>
          <w:tcPr>
            <w:tcW w:w="6503" w:type="dxa"/>
            <w:gridSpan w:val="1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黑体_GBK" w:cs="方正黑体_GBK"/>
                <w:color w:val="000000"/>
                <w:sz w:val="28"/>
                <w:szCs w:val="28"/>
              </w:rPr>
            </w:pPr>
            <w:r>
              <w:rPr>
                <w:rFonts w:hint="eastAsia" w:ascii="Times New Roman" w:hAnsi="Times New Roman" w:eastAsia="方正黑体_GBK" w:cs="方正黑体_GBK"/>
                <w:color w:val="000000"/>
                <w:kern w:val="0"/>
                <w:sz w:val="28"/>
                <w:szCs w:val="2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796"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结果维持</w:t>
            </w:r>
          </w:p>
        </w:tc>
        <w:tc>
          <w:tcPr>
            <w:tcW w:w="720"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纠正</w:t>
            </w:r>
          </w:p>
        </w:tc>
        <w:tc>
          <w:tcPr>
            <w:tcW w:w="705"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其他</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w:t>
            </w:r>
          </w:p>
        </w:tc>
        <w:tc>
          <w:tcPr>
            <w:tcW w:w="628"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尚未</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审结</w:t>
            </w:r>
          </w:p>
        </w:tc>
        <w:tc>
          <w:tcPr>
            <w:tcW w:w="803"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总计</w:t>
            </w:r>
          </w:p>
        </w:tc>
        <w:tc>
          <w:tcPr>
            <w:tcW w:w="3248" w:type="dxa"/>
            <w:gridSpan w:val="5"/>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未经复议直接起诉</w:t>
            </w:r>
          </w:p>
        </w:tc>
        <w:tc>
          <w:tcPr>
            <w:tcW w:w="3255" w:type="dxa"/>
            <w:gridSpan w:val="5"/>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70" w:hRule="atLeast"/>
          <w:jc w:val="center"/>
        </w:trPr>
        <w:tc>
          <w:tcPr>
            <w:tcW w:w="79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720"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705"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628"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803"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textAlignment w:val="auto"/>
              <w:rPr>
                <w:rFonts w:hint="default" w:ascii="Times New Roman" w:hAnsi="Times New Roman" w:eastAsia="方正仿宋_GBK" w:cs="Times New Roman"/>
                <w:color w:val="000000"/>
                <w:sz w:val="28"/>
                <w:szCs w:val="28"/>
              </w:rPr>
            </w:pPr>
          </w:p>
        </w:tc>
        <w:tc>
          <w:tcPr>
            <w:tcW w:w="649"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维持</w:t>
            </w:r>
          </w:p>
        </w:tc>
        <w:tc>
          <w:tcPr>
            <w:tcW w:w="649"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纠正</w:t>
            </w:r>
          </w:p>
        </w:tc>
        <w:tc>
          <w:tcPr>
            <w:tcW w:w="65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其他</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w:t>
            </w:r>
          </w:p>
        </w:tc>
        <w:tc>
          <w:tcPr>
            <w:tcW w:w="65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尚未</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审结</w:t>
            </w:r>
          </w:p>
        </w:tc>
        <w:tc>
          <w:tcPr>
            <w:tcW w:w="65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总计</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维持</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结果</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纠正</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其他</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结果</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000000"/>
                <w:kern w:val="0"/>
                <w:sz w:val="28"/>
                <w:szCs w:val="28"/>
                <w:lang w:eastAsia="zh-CN"/>
              </w:rPr>
            </w:pPr>
            <w:r>
              <w:rPr>
                <w:rFonts w:hint="default" w:ascii="Times New Roman" w:hAnsi="Times New Roman" w:eastAsia="方正仿宋_GBK" w:cs="Times New Roman"/>
                <w:color w:val="000000"/>
                <w:kern w:val="0"/>
                <w:sz w:val="28"/>
                <w:szCs w:val="28"/>
              </w:rPr>
              <w:t>尚未</w:t>
            </w:r>
          </w:p>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审结</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rPr>
            </w:pPr>
            <w:r>
              <w:rPr>
                <w:rFonts w:hint="default" w:ascii="Times New Roman" w:hAnsi="Times New Roman" w:eastAsia="方正仿宋_GBK" w:cs="Times New Roman"/>
                <w:color w:val="000000"/>
                <w:kern w:val="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2" w:hRule="atLeast"/>
          <w:jc w:val="center"/>
        </w:trPr>
        <w:tc>
          <w:tcPr>
            <w:tcW w:w="796"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2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7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2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803"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49"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0</w:t>
            </w:r>
          </w:p>
        </w:tc>
        <w:tc>
          <w:tcPr>
            <w:tcW w:w="649"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eastAsia"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kern w:val="2"/>
                <w:sz w:val="28"/>
                <w:szCs w:val="28"/>
                <w:lang w:val="en-US" w:eastAsia="zh-CN" w:bidi="ar-SA"/>
              </w:rPr>
            </w:pPr>
            <w:r>
              <w:rPr>
                <w:rFonts w:hint="default" w:ascii="Times New Roman" w:hAnsi="Times New Roman" w:eastAsia="方正仿宋_GBK" w:cs="Times New Roman"/>
                <w:color w:val="000000"/>
                <w:kern w:val="0"/>
                <w:sz w:val="28"/>
                <w:szCs w:val="28"/>
                <w:lang w:val="en-US" w:eastAsia="zh-CN"/>
              </w:rPr>
              <w:t>0</w:t>
            </w:r>
          </w:p>
        </w:tc>
        <w:tc>
          <w:tcPr>
            <w:tcW w:w="651"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方正仿宋_GBK" w:cs="Times New Roman"/>
                <w:color w:val="000000"/>
                <w:sz w:val="28"/>
                <w:szCs w:val="28"/>
                <w:lang w:val="en-US" w:eastAsia="zh-CN"/>
              </w:rPr>
            </w:pPr>
            <w:r>
              <w:rPr>
                <w:rFonts w:hint="default" w:ascii="Times New Roman" w:hAnsi="Times New Roman" w:eastAsia="方正仿宋_GBK" w:cs="Times New Roman"/>
                <w:color w:val="000000"/>
                <w:sz w:val="28"/>
                <w:szCs w:val="28"/>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黑体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五、存在的主要问题及改进情况</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2025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年，黄桷坪街道政府信息公开工作取得了一定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成绩</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，但</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距离上级的要求、群众的期盼还有一定的差距</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一是队伍建设工作推进力度不足</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二是政府信息公开台账管理不规范，</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未及时</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动态更新。</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202</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5</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年，黄桷坪街道靶向发力强化监督保障效能，推动政务信息公开工作落细落实、见行见效</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。一是深耕队伍建设，加强工作人员专业素养，深化对政府信息公开制度认识，切实提升工作主动性、自觉性。二是完善</w:t>
      </w:r>
      <w:r>
        <w:rPr>
          <w:rFonts w:hint="default"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政府信息公开台账</w:t>
      </w:r>
      <w:r>
        <w:rPr>
          <w:rFonts w:hint="eastAsia" w:ascii="Times New Roman" w:hAnsi="Times New Roman" w:eastAsia="方正仿宋_GBK"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，明确各科室线上信息维护责任，定期检查更新情况，进行动态调整，确保信息时效性、准确性，推动政府信息公开工作向规范化、精细化方向迈进。</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pPr>
      <w:r>
        <w:rPr>
          <w:rFonts w:hint="eastAsia" w:ascii="Times New Roman" w:hAnsi="Times New Roman" w:eastAsia="方正黑体_GBK" w:cs="方正黑体_GBK"/>
          <w:b w:val="0"/>
          <w:bCs w:val="0"/>
          <w:i w:val="0"/>
          <w:caps w:val="0"/>
          <w:color w:val="000000"/>
          <w:spacing w:val="0"/>
          <w:kern w:val="0"/>
          <w:sz w:val="32"/>
          <w:szCs w:val="32"/>
          <w:shd w:val="clear" w:color="auto" w:fill="FFFFFF"/>
          <w:lang w:val="en-US" w:eastAsia="zh-CN" w:bidi="ar"/>
        </w:rPr>
        <w:t>六、其他需要报告的事项</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仿宋_GB2312" w:cs="Times New Roman PS Pro"/>
          <w:color w:val="000000"/>
          <w:sz w:val="32"/>
          <w:szCs w:val="32"/>
        </w:rPr>
      </w:pPr>
      <w:r>
        <w:rPr>
          <w:rFonts w:hint="default" w:ascii="Times New Roman" w:hAnsi="Times New Roman" w:eastAsia="方正仿宋_GBK" w:cs="Times New Roman"/>
          <w:i w:val="0"/>
          <w:caps w:val="0"/>
          <w:color w:val="000000"/>
          <w:spacing w:val="0"/>
          <w:kern w:val="0"/>
          <w:sz w:val="32"/>
          <w:szCs w:val="32"/>
          <w:shd w:val="clear" w:color="auto" w:fill="FFFFFF"/>
          <w:lang w:val="en-US" w:eastAsia="zh-CN" w:bidi="ar"/>
        </w:rPr>
        <w:t>本单位未收取信息处理费，无其他需要报告事项。</w:t>
      </w:r>
    </w:p>
    <w:sectPr>
      <w:pgSz w:w="11906" w:h="16838"/>
      <w:pgMar w:top="1984" w:right="1446" w:bottom="1644" w:left="1446"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auto"/>
    <w:pitch w:val="default"/>
    <w:sig w:usb0="00000000" w:usb1="00000000" w:usb2="00000000" w:usb3="00000000" w:csb0="00000000" w:csb1="00000000"/>
    <w:embedRegular r:id="rId1" w:fontKey="{5B5337B7-D699-4B44-8F2B-B60AAB9C253D}"/>
  </w:font>
  <w:font w:name="方正仿宋_GBK">
    <w:panose1 w:val="02000000000000000000"/>
    <w:charset w:val="86"/>
    <w:family w:val="script"/>
    <w:pitch w:val="default"/>
    <w:sig w:usb0="00000000" w:usb1="00000000" w:usb2="00000000" w:usb3="00000000" w:csb0="00000000" w:csb1="00000000"/>
    <w:embedRegular r:id="rId2" w:fontKey="{2DC90EB6-1706-442A-91AE-2BFCCDE58177}"/>
  </w:font>
  <w:font w:name="方正黑体_GBK">
    <w:panose1 w:val="02010600010101010101"/>
    <w:charset w:val="86"/>
    <w:family w:val="auto"/>
    <w:pitch w:val="default"/>
    <w:sig w:usb0="00000000" w:usb1="00000000" w:usb2="00000000" w:usb3="00000000" w:csb0="00000000" w:csb1="00000000"/>
    <w:embedRegular r:id="rId3" w:fontKey="{E0318F87-8843-4E1C-8981-F8458741C596}"/>
  </w:font>
  <w:font w:name="方正楷体_GBK">
    <w:panose1 w:val="02000000000000000000"/>
    <w:charset w:val="86"/>
    <w:family w:val="auto"/>
    <w:pitch w:val="default"/>
    <w:sig w:usb0="00000000" w:usb1="00000000" w:usb2="00000000" w:usb3="00000000" w:csb0="00000000" w:csb1="00000000"/>
    <w:embedRegular r:id="rId4" w:fontKey="{C0DCEBE4-A68D-4754-9F5F-E90708DE5E7F}"/>
  </w:font>
  <w:font w:name="仿宋_GB2312">
    <w:altName w:val="仿宋"/>
    <w:panose1 w:val="02010609030101010101"/>
    <w:charset w:val="86"/>
    <w:family w:val="auto"/>
    <w:pitch w:val="default"/>
    <w:sig w:usb0="00000000" w:usb1="00000000" w:usb2="00000000" w:usb3="00000000" w:csb0="00040000" w:csb1="00000000"/>
    <w:embedRegular r:id="rId5" w:fontKey="{5678B363-53DA-41C2-B2E5-3A32AEC88AB6}"/>
  </w:font>
  <w:font w:name="Times New Roman PS Pro">
    <w:altName w:val="Times New Roman"/>
    <w:panose1 w:val="02020603050405020304"/>
    <w:charset w:val="00"/>
    <w:family w:val="auto"/>
    <w:pitch w:val="default"/>
    <w:sig w:usb0="00000000" w:usb1="00000000" w:usb2="00000000" w:usb3="00000000" w:csb0="2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val="0"/>
                            <w:kinsoku/>
                            <w:wordWrap w:val="0"/>
                            <w:overflowPunct/>
                            <w:topLinePunct w:val="0"/>
                            <w:autoSpaceDE/>
                            <w:autoSpaceDN/>
                            <w:bidi w:val="0"/>
                            <w:adjustRightInd/>
                            <w:snapToGrid w:val="0"/>
                            <w:ind w:left="0" w:leftChars="0" w:right="0" w:rightChars="0"/>
                            <w:jc w:val="right"/>
                            <w:textAlignment w:val="auto"/>
                          </w:pPr>
                          <w:r>
                            <w:rPr>
                              <w:rFonts w:hint="default" w:ascii="Times New Roman" w:hAnsi="Times New Roman" w:eastAsia="方正仿宋_GBK" w:cs="Times New Roman"/>
                              <w:sz w:val="32"/>
                              <w:szCs w:val="32"/>
                              <w:lang w:val="en-US" w:eastAsia="zh-CN"/>
                            </w:rPr>
                            <w:t>　</w:t>
                          </w:r>
                          <w:r>
                            <w:rPr>
                              <w:rFonts w:hint="eastAsia" w:ascii="方正仿宋_GBK" w:hAnsi="方正仿宋_GBK" w:eastAsia="方正仿宋_GBK" w:cs="方正仿宋_GBK"/>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32"/>
                              <w:szCs w:val="32"/>
                              <w:lang w:val="en-US" w:eastAsia="zh-CN"/>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val="0"/>
                      <w:overflowPunct/>
                      <w:topLinePunct w:val="0"/>
                      <w:autoSpaceDE/>
                      <w:autoSpaceDN/>
                      <w:bidi w:val="0"/>
                      <w:adjustRightInd/>
                      <w:snapToGrid w:val="0"/>
                      <w:ind w:left="0" w:leftChars="0" w:right="0" w:rightChars="0"/>
                      <w:jc w:val="right"/>
                      <w:textAlignment w:val="auto"/>
                    </w:pPr>
                    <w:r>
                      <w:rPr>
                        <w:rFonts w:hint="default" w:ascii="Times New Roman" w:hAnsi="Times New Roman" w:eastAsia="方正仿宋_GBK" w:cs="Times New Roman"/>
                        <w:sz w:val="32"/>
                        <w:szCs w:val="32"/>
                        <w:lang w:val="en-US" w:eastAsia="zh-CN"/>
                      </w:rPr>
                      <w:t>　</w:t>
                    </w:r>
                    <w:r>
                      <w:rPr>
                        <w:rFonts w:hint="eastAsia" w:ascii="方正仿宋_GBK" w:hAnsi="方正仿宋_GBK" w:eastAsia="方正仿宋_GBK" w:cs="方正仿宋_GBK"/>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 xml:space="preserve"> </w:t>
                    </w:r>
                    <w:r>
                      <w:rPr>
                        <w:rFonts w:hint="eastAsia" w:ascii="方正仿宋_GBK" w:hAnsi="方正仿宋_GBK" w:eastAsia="方正仿宋_GBK" w:cs="方正仿宋_GBK"/>
                        <w:sz w:val="28"/>
                        <w:szCs w:val="28"/>
                      </w:rPr>
                      <w:t>—</w:t>
                    </w:r>
                    <w:r>
                      <w:rPr>
                        <w:rFonts w:hint="default" w:ascii="Times New Roman" w:hAnsi="Times New Roman" w:eastAsia="方正仿宋_GBK" w:cs="Times New Roman"/>
                        <w:sz w:val="32"/>
                        <w:szCs w:val="32"/>
                        <w:lang w:val="en-US" w:eastAsia="zh-CN"/>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ZTc1MjVhMmZiY2VlN2UyNTA0MzA3OTYxYmFkZDkifQ=="/>
  </w:docVars>
  <w:rsids>
    <w:rsidRoot w:val="55BF42F8"/>
    <w:rsid w:val="01747E56"/>
    <w:rsid w:val="01842762"/>
    <w:rsid w:val="01B36BD0"/>
    <w:rsid w:val="01F86CD9"/>
    <w:rsid w:val="022E44A8"/>
    <w:rsid w:val="0258316B"/>
    <w:rsid w:val="032D1EB1"/>
    <w:rsid w:val="04A70542"/>
    <w:rsid w:val="052B2F21"/>
    <w:rsid w:val="07F10452"/>
    <w:rsid w:val="09DB2F90"/>
    <w:rsid w:val="0AE71698"/>
    <w:rsid w:val="0BF24799"/>
    <w:rsid w:val="0EEB62FE"/>
    <w:rsid w:val="0FA43FFC"/>
    <w:rsid w:val="113373E5"/>
    <w:rsid w:val="12BC78AF"/>
    <w:rsid w:val="13454579"/>
    <w:rsid w:val="13BE76F9"/>
    <w:rsid w:val="14447B5C"/>
    <w:rsid w:val="14DA401C"/>
    <w:rsid w:val="15BA6327"/>
    <w:rsid w:val="1767603B"/>
    <w:rsid w:val="17F6116D"/>
    <w:rsid w:val="181949BB"/>
    <w:rsid w:val="182F467F"/>
    <w:rsid w:val="1A9609E5"/>
    <w:rsid w:val="1BE67218"/>
    <w:rsid w:val="1C273FEB"/>
    <w:rsid w:val="1C5A438A"/>
    <w:rsid w:val="1CB57848"/>
    <w:rsid w:val="1DF81251"/>
    <w:rsid w:val="1F2342A4"/>
    <w:rsid w:val="1F8B2AE2"/>
    <w:rsid w:val="20B17CA4"/>
    <w:rsid w:val="20E97AC1"/>
    <w:rsid w:val="21374CD0"/>
    <w:rsid w:val="21A6302A"/>
    <w:rsid w:val="23DF33FD"/>
    <w:rsid w:val="24044C11"/>
    <w:rsid w:val="24945F95"/>
    <w:rsid w:val="25B20DC9"/>
    <w:rsid w:val="26EF1BA9"/>
    <w:rsid w:val="27E359C0"/>
    <w:rsid w:val="28CD3EB5"/>
    <w:rsid w:val="29EC23D0"/>
    <w:rsid w:val="2A0616E3"/>
    <w:rsid w:val="2B0674C1"/>
    <w:rsid w:val="2BCC3886"/>
    <w:rsid w:val="2EC0640E"/>
    <w:rsid w:val="3112096E"/>
    <w:rsid w:val="31702B61"/>
    <w:rsid w:val="31717D8A"/>
    <w:rsid w:val="320209E2"/>
    <w:rsid w:val="32A027FE"/>
    <w:rsid w:val="3518676F"/>
    <w:rsid w:val="361A56B5"/>
    <w:rsid w:val="37667C65"/>
    <w:rsid w:val="376B0DD8"/>
    <w:rsid w:val="37E961A0"/>
    <w:rsid w:val="37FE39FA"/>
    <w:rsid w:val="38C5276A"/>
    <w:rsid w:val="3AC54CA3"/>
    <w:rsid w:val="3ADC5FBF"/>
    <w:rsid w:val="3BF84C04"/>
    <w:rsid w:val="3C036098"/>
    <w:rsid w:val="3D4445A5"/>
    <w:rsid w:val="3DCB6A74"/>
    <w:rsid w:val="3F0A1A4B"/>
    <w:rsid w:val="3F330A99"/>
    <w:rsid w:val="3FB52E26"/>
    <w:rsid w:val="3FBE7F13"/>
    <w:rsid w:val="41855159"/>
    <w:rsid w:val="428815FD"/>
    <w:rsid w:val="431810BF"/>
    <w:rsid w:val="43B41D58"/>
    <w:rsid w:val="43CD407E"/>
    <w:rsid w:val="44DD0E3B"/>
    <w:rsid w:val="46AE2A8F"/>
    <w:rsid w:val="46B207D1"/>
    <w:rsid w:val="47E32E09"/>
    <w:rsid w:val="48735D3E"/>
    <w:rsid w:val="4A6A13C3"/>
    <w:rsid w:val="4A783AE0"/>
    <w:rsid w:val="4B117A90"/>
    <w:rsid w:val="4C4C6FD2"/>
    <w:rsid w:val="4C6065D9"/>
    <w:rsid w:val="4CB37051"/>
    <w:rsid w:val="4D3A32CE"/>
    <w:rsid w:val="4EE02BA5"/>
    <w:rsid w:val="4EEF55BD"/>
    <w:rsid w:val="509E5922"/>
    <w:rsid w:val="51B353FD"/>
    <w:rsid w:val="51DA0BDC"/>
    <w:rsid w:val="529D2CBF"/>
    <w:rsid w:val="53D55AFF"/>
    <w:rsid w:val="55BF42F8"/>
    <w:rsid w:val="55E42029"/>
    <w:rsid w:val="560628E2"/>
    <w:rsid w:val="56220DA3"/>
    <w:rsid w:val="565076BF"/>
    <w:rsid w:val="567E326E"/>
    <w:rsid w:val="585F008D"/>
    <w:rsid w:val="58DA7713"/>
    <w:rsid w:val="59A3680F"/>
    <w:rsid w:val="59C81C62"/>
    <w:rsid w:val="5A032C9A"/>
    <w:rsid w:val="5B0E18F6"/>
    <w:rsid w:val="5D4E0466"/>
    <w:rsid w:val="5E531852"/>
    <w:rsid w:val="5EA031AD"/>
    <w:rsid w:val="5F5D7C45"/>
    <w:rsid w:val="5FFF6C76"/>
    <w:rsid w:val="604C0EF7"/>
    <w:rsid w:val="60BE11E4"/>
    <w:rsid w:val="60E750C3"/>
    <w:rsid w:val="612949B8"/>
    <w:rsid w:val="613B0F6B"/>
    <w:rsid w:val="616B39BC"/>
    <w:rsid w:val="62DB2A06"/>
    <w:rsid w:val="63AD43A2"/>
    <w:rsid w:val="64A55079"/>
    <w:rsid w:val="683C3F47"/>
    <w:rsid w:val="69B3090A"/>
    <w:rsid w:val="6A2627B9"/>
    <w:rsid w:val="6AE446A6"/>
    <w:rsid w:val="6C21592D"/>
    <w:rsid w:val="6E3C578B"/>
    <w:rsid w:val="6E7156FD"/>
    <w:rsid w:val="70C1148D"/>
    <w:rsid w:val="71C92D0F"/>
    <w:rsid w:val="73FEC04E"/>
    <w:rsid w:val="74051691"/>
    <w:rsid w:val="756F7D5E"/>
    <w:rsid w:val="758807CB"/>
    <w:rsid w:val="75D43A11"/>
    <w:rsid w:val="760A11E0"/>
    <w:rsid w:val="76406FFB"/>
    <w:rsid w:val="767945B8"/>
    <w:rsid w:val="77071BC4"/>
    <w:rsid w:val="77CB2BF1"/>
    <w:rsid w:val="77CD6969"/>
    <w:rsid w:val="78F01F35"/>
    <w:rsid w:val="7A14123B"/>
    <w:rsid w:val="7A320D06"/>
    <w:rsid w:val="7A55497F"/>
    <w:rsid w:val="7C4371FA"/>
    <w:rsid w:val="7C5E5DE2"/>
    <w:rsid w:val="7D4F3281"/>
    <w:rsid w:val="7D555B08"/>
    <w:rsid w:val="7DF74740"/>
    <w:rsid w:val="7F4C28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next w:val="1"/>
    <w:qFormat/>
    <w:uiPriority w:val="0"/>
    <w:pPr>
      <w:spacing w:after="120"/>
    </w:pPr>
    <w:rPr>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2151</Words>
  <Characters>2211</Characters>
  <Lines>0</Lines>
  <Paragraphs>0</Paragraphs>
  <TotalTime>2</TotalTime>
  <ScaleCrop>false</ScaleCrop>
  <LinksUpToDate>false</LinksUpToDate>
  <CharactersWithSpaces>2211</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2024-01-23T01:17:00Z</dcterms:created>
  <dc:creator>fgw</dc:creator>
  <cp:lastModifiedBy>Administrator</cp:lastModifiedBy>
  <cp:lastPrinted>2026-01-13T01:02:00Z</cp:lastPrinted>
  <dcterms:modified xsi:type="dcterms:W3CDTF">2026-01-22T03:52:07Z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23C0455357494D1093C4B39B1746AA7B_13</vt:lpwstr>
  </property>
  <property fmtid="{D5CDD505-2E9C-101B-9397-08002B2CF9AE}" pid="4" name="KSOTemplateDocerSaveRecord">
    <vt:lpwstr>eyJoZGlkIjoiNmVmYmE0MzczODc0YTVlOTA1OTljZDdlYzFkNWMxM2MiLCJ1c2VySWQiOiIxMTMwOTU1Mzk3In0=</vt:lpwstr>
  </property>
</Properties>
</file>