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3A919D1">
      <w:pPr>
        <w:spacing w:line="500" w:lineRule="exact"/>
        <w:outlineLvl w:val="0"/>
        <w:rPr>
          <w:rFonts w:hint="eastAsia" w:ascii="方正小标宋_GBK" w:hAnsi="宋体" w:eastAsia="方正小标宋_GBK"/>
          <w:color w:val="000000"/>
          <w:sz w:val="36"/>
          <w:szCs w:val="36"/>
        </w:rPr>
      </w:pPr>
    </w:p>
    <w:p w14:paraId="65F6199A">
      <w:pPr>
        <w:spacing w:line="600" w:lineRule="exact"/>
        <w:outlineLvl w:val="0"/>
        <w:rPr>
          <w:rFonts w:hint="eastAsia" w:ascii="方正仿宋_GBK" w:eastAsia="方正仿宋_GBK"/>
          <w:color w:val="000000"/>
          <w:sz w:val="52"/>
        </w:rPr>
      </w:pPr>
    </w:p>
    <w:p w14:paraId="72944582">
      <w:pPr>
        <w:spacing w:line="1600" w:lineRule="exact"/>
        <w:jc w:val="center"/>
        <w:outlineLvl w:val="0"/>
        <w:rPr>
          <w:rFonts w:hint="eastAsia" w:ascii="宋体" w:hAnsi="宋体" w:cs="宋体"/>
          <w:b/>
          <w:color w:val="000000"/>
          <w:sz w:val="130"/>
          <w:szCs w:val="130"/>
          <w:lang w:eastAsia="zh-CN"/>
        </w:rPr>
      </w:pPr>
    </w:p>
    <w:p w14:paraId="1E5FC3CC">
      <w:pPr>
        <w:spacing w:line="1600" w:lineRule="exact"/>
        <w:jc w:val="center"/>
        <w:outlineLvl w:val="0"/>
        <w:rPr>
          <w:rFonts w:hint="eastAsia" w:ascii="宋体" w:hAnsi="宋体" w:cs="宋体"/>
          <w:b/>
          <w:color w:val="000000"/>
          <w:sz w:val="130"/>
          <w:szCs w:val="130"/>
        </w:rPr>
      </w:pPr>
      <w:r>
        <w:rPr>
          <w:rFonts w:hint="eastAsia" w:ascii="宋体" w:hAnsi="宋体" w:cs="宋体"/>
          <w:b/>
          <w:color w:val="000000"/>
          <w:sz w:val="130"/>
          <w:szCs w:val="130"/>
          <w:lang w:eastAsia="zh-CN"/>
        </w:rPr>
        <w:t>竞选</w:t>
      </w:r>
      <w:r>
        <w:rPr>
          <w:rFonts w:hint="eastAsia" w:ascii="宋体" w:hAnsi="宋体" w:cs="宋体"/>
          <w:b/>
          <w:color w:val="000000"/>
          <w:sz w:val="130"/>
          <w:szCs w:val="130"/>
        </w:rPr>
        <w:t>文件</w:t>
      </w:r>
    </w:p>
    <w:p w14:paraId="28D192A8">
      <w:pPr>
        <w:pStyle w:val="24"/>
        <w:spacing w:line="500" w:lineRule="exact"/>
        <w:ind w:left="0"/>
        <w:jc w:val="center"/>
        <w:rPr>
          <w:rFonts w:hint="eastAsia" w:ascii="宋体" w:hAnsi="宋体" w:cs="宋体"/>
          <w:color w:val="000000"/>
          <w:sz w:val="32"/>
        </w:rPr>
      </w:pPr>
    </w:p>
    <w:p w14:paraId="378803DB">
      <w:pPr>
        <w:pStyle w:val="24"/>
        <w:spacing w:line="500" w:lineRule="exact"/>
        <w:ind w:left="0"/>
        <w:jc w:val="center"/>
        <w:rPr>
          <w:rFonts w:hint="eastAsia" w:ascii="宋体" w:hAnsi="宋体" w:cs="宋体"/>
          <w:color w:val="000000"/>
          <w:sz w:val="32"/>
        </w:rPr>
      </w:pPr>
    </w:p>
    <w:p w14:paraId="780DF96D">
      <w:pPr>
        <w:pStyle w:val="24"/>
        <w:spacing w:line="500" w:lineRule="exact"/>
        <w:ind w:left="0"/>
        <w:jc w:val="center"/>
        <w:rPr>
          <w:rFonts w:hint="eastAsia" w:ascii="宋体" w:hAnsi="宋体" w:cs="宋体"/>
          <w:color w:val="000000"/>
          <w:sz w:val="32"/>
        </w:rPr>
      </w:pPr>
    </w:p>
    <w:p w14:paraId="0A8990DE">
      <w:pPr>
        <w:pStyle w:val="24"/>
        <w:spacing w:line="500" w:lineRule="exact"/>
        <w:ind w:left="0"/>
        <w:jc w:val="center"/>
        <w:rPr>
          <w:rFonts w:hint="eastAsia" w:ascii="宋体" w:hAnsi="宋体" w:cs="宋体"/>
          <w:color w:val="000000"/>
          <w:sz w:val="32"/>
        </w:rPr>
      </w:pPr>
    </w:p>
    <w:p w14:paraId="0E501E96">
      <w:pPr>
        <w:snapToGrid w:val="0"/>
        <w:rPr>
          <w:rFonts w:hint="eastAsia" w:ascii="宋体" w:hAnsi="宋体" w:eastAsia="宋体" w:cs="宋体"/>
          <w:b/>
          <w:color w:val="000000"/>
          <w:sz w:val="36"/>
          <w:szCs w:val="36"/>
          <w:lang w:eastAsia="zh-CN"/>
        </w:rPr>
      </w:pPr>
      <w:r>
        <w:rPr>
          <w:rFonts w:hint="eastAsia" w:ascii="宋体" w:hAnsi="宋体" w:cs="宋体"/>
          <w:b/>
          <w:color w:val="000000"/>
          <w:sz w:val="36"/>
          <w:szCs w:val="36"/>
        </w:rPr>
        <w:t>项 目 名 称</w:t>
      </w:r>
      <w:r>
        <w:rPr>
          <w:rFonts w:hint="eastAsia" w:ascii="宋体" w:hAnsi="宋体" w:eastAsia="宋体" w:cs="宋体"/>
          <w:b/>
          <w:color w:val="000000"/>
          <w:sz w:val="36"/>
          <w:szCs w:val="36"/>
        </w:rPr>
        <w:t>：九龙坡区</w:t>
      </w:r>
      <w:r>
        <w:rPr>
          <w:rFonts w:hint="eastAsia" w:ascii="宋体" w:hAnsi="宋体" w:eastAsia="宋体" w:cs="宋体"/>
          <w:b/>
          <w:color w:val="000000"/>
          <w:sz w:val="36"/>
          <w:szCs w:val="36"/>
          <w:lang w:eastAsia="zh-CN"/>
        </w:rPr>
        <w:t>废弃食用油脂</w:t>
      </w:r>
      <w:r>
        <w:rPr>
          <w:rFonts w:hint="eastAsia" w:ascii="宋体" w:hAnsi="宋体" w:eastAsia="宋体" w:cs="宋体"/>
          <w:b/>
          <w:color w:val="000000"/>
          <w:sz w:val="36"/>
          <w:szCs w:val="36"/>
        </w:rPr>
        <w:t>收运单位</w:t>
      </w:r>
      <w:r>
        <w:rPr>
          <w:rFonts w:hint="eastAsia" w:ascii="宋体" w:hAnsi="宋体" w:eastAsia="宋体" w:cs="宋体"/>
          <w:b/>
          <w:color w:val="000000"/>
          <w:sz w:val="36"/>
          <w:szCs w:val="36"/>
          <w:lang w:eastAsia="zh-CN"/>
        </w:rPr>
        <w:t>公开竞选</w:t>
      </w:r>
    </w:p>
    <w:p w14:paraId="5730D6D5">
      <w:pPr>
        <w:spacing w:line="500" w:lineRule="exact"/>
        <w:jc w:val="center"/>
        <w:rPr>
          <w:rFonts w:hint="eastAsia" w:ascii="宋体" w:hAnsi="宋体" w:cs="宋体"/>
          <w:color w:val="000000"/>
          <w:sz w:val="36"/>
          <w:szCs w:val="36"/>
        </w:rPr>
      </w:pPr>
    </w:p>
    <w:p w14:paraId="7F142F71">
      <w:pPr>
        <w:pStyle w:val="17"/>
        <w:rPr>
          <w:rFonts w:hint="eastAsia" w:ascii="宋体" w:hAnsi="宋体" w:cs="宋体"/>
          <w:color w:val="000000"/>
          <w:sz w:val="36"/>
          <w:szCs w:val="36"/>
        </w:rPr>
      </w:pPr>
    </w:p>
    <w:p w14:paraId="4B8D1196">
      <w:pPr>
        <w:spacing w:line="500" w:lineRule="exact"/>
        <w:jc w:val="center"/>
        <w:rPr>
          <w:rFonts w:hint="eastAsia" w:ascii="宋体" w:hAnsi="宋体" w:cs="宋体"/>
          <w:color w:val="000000"/>
          <w:sz w:val="36"/>
          <w:szCs w:val="36"/>
        </w:rPr>
      </w:pPr>
    </w:p>
    <w:p w14:paraId="054A04E5">
      <w:pPr>
        <w:spacing w:line="500" w:lineRule="exact"/>
        <w:jc w:val="center"/>
        <w:rPr>
          <w:rFonts w:hint="eastAsia" w:ascii="宋体" w:hAnsi="宋体" w:cs="宋体"/>
          <w:color w:val="000000"/>
          <w:sz w:val="36"/>
          <w:szCs w:val="36"/>
        </w:rPr>
      </w:pPr>
    </w:p>
    <w:p w14:paraId="2D0C548B">
      <w:pPr>
        <w:spacing w:line="500" w:lineRule="exact"/>
        <w:ind w:firstLine="1084" w:firstLineChars="300"/>
        <w:jc w:val="both"/>
        <w:outlineLvl w:val="0"/>
        <w:rPr>
          <w:rFonts w:hint="eastAsia" w:ascii="宋体" w:hAnsi="宋体" w:cs="宋体"/>
          <w:b/>
          <w:color w:val="000000"/>
          <w:sz w:val="36"/>
          <w:szCs w:val="36"/>
        </w:rPr>
      </w:pPr>
      <w:r>
        <w:rPr>
          <w:rFonts w:hint="eastAsia" w:ascii="宋体" w:hAnsi="宋体" w:cs="宋体"/>
          <w:b/>
          <w:color w:val="000000"/>
          <w:sz w:val="36"/>
          <w:szCs w:val="36"/>
          <w:highlight w:val="none"/>
          <w:lang w:eastAsia="zh-CN"/>
        </w:rPr>
        <w:t>竞选组织人</w:t>
      </w:r>
      <w:r>
        <w:rPr>
          <w:rFonts w:hint="eastAsia" w:ascii="宋体" w:hAnsi="宋体" w:cs="宋体"/>
          <w:b/>
          <w:color w:val="000000"/>
          <w:sz w:val="36"/>
          <w:szCs w:val="36"/>
          <w:highlight w:val="none"/>
        </w:rPr>
        <w:t>：</w:t>
      </w:r>
      <w:r>
        <w:rPr>
          <w:rFonts w:hint="eastAsia" w:ascii="宋体" w:hAnsi="宋体" w:eastAsia="宋体" w:cs="宋体"/>
          <w:b/>
          <w:color w:val="000000"/>
          <w:sz w:val="36"/>
          <w:szCs w:val="36"/>
          <w:lang w:eastAsia="zh-CN"/>
        </w:rPr>
        <w:t>重庆市九龙坡区城市管理局</w:t>
      </w:r>
    </w:p>
    <w:p w14:paraId="4754AB27">
      <w:pPr>
        <w:spacing w:line="500" w:lineRule="exact"/>
        <w:ind w:firstLine="1084" w:firstLineChars="300"/>
        <w:jc w:val="both"/>
        <w:outlineLvl w:val="0"/>
        <w:rPr>
          <w:rFonts w:hint="eastAsia" w:ascii="宋体" w:hAnsi="宋体" w:eastAsia="宋体" w:cs="宋体"/>
          <w:b/>
          <w:color w:val="000000"/>
          <w:sz w:val="36"/>
          <w:szCs w:val="36"/>
          <w:lang w:eastAsia="zh-CN"/>
        </w:rPr>
      </w:pPr>
      <w:r>
        <w:rPr>
          <w:rFonts w:hint="eastAsia" w:ascii="宋体" w:hAnsi="宋体" w:cs="宋体"/>
          <w:b/>
          <w:color w:val="000000"/>
          <w:sz w:val="36"/>
          <w:szCs w:val="36"/>
          <w:lang w:eastAsia="zh-CN"/>
        </w:rPr>
        <w:t>竞选</w:t>
      </w:r>
      <w:r>
        <w:rPr>
          <w:rFonts w:hint="eastAsia" w:ascii="宋体" w:hAnsi="宋体" w:cs="宋体"/>
          <w:b/>
          <w:color w:val="000000"/>
          <w:sz w:val="36"/>
          <w:szCs w:val="36"/>
        </w:rPr>
        <w:t>代理机构：</w:t>
      </w:r>
      <w:r>
        <w:rPr>
          <w:rFonts w:hint="eastAsia" w:ascii="宋体" w:hAnsi="宋体" w:cs="宋体"/>
          <w:b/>
          <w:color w:val="000000"/>
          <w:sz w:val="36"/>
          <w:szCs w:val="36"/>
          <w:lang w:eastAsia="zh-CN"/>
        </w:rPr>
        <w:t>重庆方郡建设工程咨询有限公司</w:t>
      </w:r>
    </w:p>
    <w:p w14:paraId="49B02E84">
      <w:pPr>
        <w:snapToGrid w:val="0"/>
        <w:spacing w:line="500" w:lineRule="exact"/>
        <w:jc w:val="center"/>
        <w:rPr>
          <w:rFonts w:hint="eastAsia" w:ascii="宋体" w:hAnsi="宋体" w:cs="宋体"/>
          <w:b/>
          <w:color w:val="000000"/>
          <w:sz w:val="36"/>
          <w:szCs w:val="36"/>
        </w:rPr>
      </w:pPr>
    </w:p>
    <w:p w14:paraId="59D833E1">
      <w:pPr>
        <w:snapToGrid w:val="0"/>
        <w:spacing w:line="500" w:lineRule="exact"/>
        <w:jc w:val="center"/>
        <w:rPr>
          <w:rFonts w:hint="eastAsia" w:ascii="宋体" w:hAnsi="宋体" w:cs="宋体"/>
          <w:b/>
          <w:color w:val="000000"/>
          <w:sz w:val="36"/>
          <w:szCs w:val="36"/>
        </w:rPr>
      </w:pPr>
    </w:p>
    <w:p w14:paraId="20BF2142">
      <w:pPr>
        <w:snapToGrid w:val="0"/>
        <w:spacing w:line="500" w:lineRule="exact"/>
        <w:jc w:val="center"/>
        <w:rPr>
          <w:rFonts w:ascii="方正仿宋_GBK" w:eastAsia="方正小标宋_GBK"/>
          <w:b/>
          <w:color w:val="000000"/>
          <w:sz w:val="36"/>
          <w:szCs w:val="36"/>
        </w:rPr>
      </w:pPr>
      <w:r>
        <w:rPr>
          <w:rFonts w:hint="eastAsia" w:ascii="宋体" w:hAnsi="宋体" w:cs="宋体"/>
          <w:b/>
          <w:color w:val="000000"/>
          <w:sz w:val="36"/>
          <w:szCs w:val="36"/>
        </w:rPr>
        <w:t>二○二</w:t>
      </w:r>
      <w:r>
        <w:rPr>
          <w:rFonts w:hint="eastAsia" w:ascii="宋体" w:hAnsi="宋体" w:cs="宋体"/>
          <w:b/>
          <w:color w:val="000000"/>
          <w:sz w:val="36"/>
          <w:szCs w:val="36"/>
          <w:highlight w:val="none"/>
        </w:rPr>
        <w:t>五年</w:t>
      </w:r>
      <w:r>
        <w:rPr>
          <w:rFonts w:hint="eastAsia" w:ascii="宋体" w:hAnsi="宋体" w:cs="宋体"/>
          <w:b/>
          <w:color w:val="000000"/>
          <w:sz w:val="36"/>
          <w:szCs w:val="36"/>
          <w:highlight w:val="none"/>
          <w:lang w:eastAsia="zh-CN"/>
        </w:rPr>
        <w:t>十二</w:t>
      </w:r>
      <w:r>
        <w:rPr>
          <w:rFonts w:hint="eastAsia" w:ascii="宋体" w:hAnsi="宋体" w:cs="宋体"/>
          <w:b/>
          <w:color w:val="000000"/>
          <w:sz w:val="36"/>
          <w:szCs w:val="36"/>
          <w:highlight w:val="none"/>
        </w:rPr>
        <w:t>月</w:t>
      </w:r>
    </w:p>
    <w:p w14:paraId="51E2BEB9">
      <w:pPr>
        <w:snapToGrid w:val="0"/>
        <w:spacing w:line="500" w:lineRule="exact"/>
        <w:jc w:val="center"/>
        <w:rPr>
          <w:rFonts w:hint="eastAsia" w:ascii="方正仿宋_GBK" w:eastAsia="方正仿宋_GBK"/>
          <w:color w:val="000000"/>
          <w:sz w:val="36"/>
          <w:szCs w:val="36"/>
        </w:rPr>
      </w:pPr>
    </w:p>
    <w:p w14:paraId="7EA0B3F1">
      <w:pPr>
        <w:snapToGrid w:val="0"/>
        <w:spacing w:line="500" w:lineRule="exact"/>
        <w:rPr>
          <w:rFonts w:hint="eastAsia" w:ascii="方正仿宋_GBK" w:eastAsia="方正仿宋_GBK"/>
          <w:color w:val="000000"/>
          <w:sz w:val="44"/>
        </w:rPr>
        <w:sectPr>
          <w:headerReference r:id="rId4" w:type="first"/>
          <w:headerReference r:id="rId3" w:type="default"/>
          <w:footerReference r:id="rId5" w:type="even"/>
          <w:pgSz w:w="11907" w:h="16840"/>
          <w:pgMar w:top="1134" w:right="1191" w:bottom="1134" w:left="1304" w:header="964" w:footer="992" w:gutter="0"/>
          <w:pgNumType w:start="1"/>
          <w:cols w:space="720" w:num="1"/>
          <w:titlePg/>
          <w:docGrid w:linePitch="312" w:charSpace="0"/>
        </w:sectPr>
      </w:pPr>
    </w:p>
    <w:p w14:paraId="60530107">
      <w:pPr>
        <w:snapToGrid w:val="0"/>
        <w:spacing w:line="500" w:lineRule="exact"/>
        <w:jc w:val="center"/>
        <w:rPr>
          <w:rFonts w:hint="eastAsia" w:ascii="方正仿宋_GBK" w:eastAsia="方正仿宋_GBK"/>
          <w:color w:val="000000"/>
          <w:sz w:val="44"/>
        </w:rPr>
      </w:pPr>
      <w:r>
        <w:rPr>
          <w:rFonts w:hint="eastAsia" w:ascii="方正仿宋_GBK" w:eastAsia="方正仿宋_GBK"/>
          <w:color w:val="000000"/>
          <w:sz w:val="44"/>
        </w:rPr>
        <w:t>目  录</w:t>
      </w:r>
    </w:p>
    <w:p w14:paraId="7D548076">
      <w:pPr>
        <w:pStyle w:val="38"/>
        <w:tabs>
          <w:tab w:val="right" w:leader="dot" w:pos="9412"/>
          <w:tab w:val="clear" w:pos="1260"/>
          <w:tab w:val="clear" w:pos="1685"/>
          <w:tab w:val="clear" w:pos="8400"/>
        </w:tabs>
      </w:pPr>
      <w:r>
        <w:rPr>
          <w:rFonts w:hint="eastAsia" w:ascii="方正仿宋_GBK" w:hAnsi="宋体" w:eastAsia="方正仿宋_GBK"/>
          <w:color w:val="000000"/>
          <w:sz w:val="21"/>
          <w:szCs w:val="21"/>
        </w:rPr>
        <w:fldChar w:fldCharType="begin"/>
      </w:r>
      <w:r>
        <w:rPr>
          <w:rFonts w:hint="eastAsia" w:ascii="方正仿宋_GBK" w:hAnsi="宋体" w:eastAsia="方正仿宋_GBK"/>
          <w:color w:val="000000"/>
          <w:sz w:val="21"/>
          <w:szCs w:val="21"/>
        </w:rPr>
        <w:instrText xml:space="preserve"> TOC \o "1-2" \h \z </w:instrText>
      </w:r>
      <w:r>
        <w:rPr>
          <w:rFonts w:hint="eastAsia" w:ascii="方正仿宋_GBK" w:hAnsi="宋体" w:eastAsia="方正仿宋_GBK"/>
          <w:color w:val="000000"/>
          <w:sz w:val="21"/>
          <w:szCs w:val="21"/>
        </w:rPr>
        <w:fldChar w:fldCharType="separate"/>
      </w: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_Toc26425 </w:instrText>
      </w:r>
      <w:r>
        <w:rPr>
          <w:rFonts w:hint="eastAsia" w:ascii="方正仿宋_GBK" w:hAnsi="宋体" w:eastAsia="方正仿宋_GBK"/>
          <w:szCs w:val="21"/>
        </w:rPr>
        <w:fldChar w:fldCharType="separate"/>
      </w:r>
      <w:r>
        <w:rPr>
          <w:rFonts w:hint="eastAsia" w:ascii="宋体" w:hAnsi="宋体" w:eastAsia="宋体"/>
        </w:rPr>
        <w:t xml:space="preserve">第一篇 </w:t>
      </w:r>
      <w:r>
        <w:rPr>
          <w:rFonts w:hint="eastAsia" w:ascii="宋体" w:hAnsi="宋体" w:eastAsia="宋体"/>
          <w:lang w:eastAsia="zh-CN"/>
        </w:rPr>
        <w:t>竞选</w:t>
      </w:r>
      <w:r>
        <w:rPr>
          <w:rFonts w:hint="eastAsia" w:ascii="宋体" w:hAnsi="宋体" w:eastAsia="宋体"/>
        </w:rPr>
        <w:t>邀请</w:t>
      </w:r>
      <w:r>
        <w:rPr>
          <w:rFonts w:hint="eastAsia" w:ascii="宋体" w:hAnsi="宋体" w:eastAsia="宋体"/>
          <w:lang w:eastAsia="zh-CN"/>
        </w:rPr>
        <w:t>函</w:t>
      </w:r>
      <w:r>
        <w:tab/>
      </w:r>
      <w:r>
        <w:fldChar w:fldCharType="begin"/>
      </w:r>
      <w:r>
        <w:instrText xml:space="preserve"> PAGEREF _Toc26425 \h </w:instrText>
      </w:r>
      <w:r>
        <w:fldChar w:fldCharType="separate"/>
      </w:r>
      <w:r>
        <w:t>3</w:t>
      </w:r>
      <w:r>
        <w:fldChar w:fldCharType="end"/>
      </w:r>
      <w:r>
        <w:rPr>
          <w:rFonts w:hint="eastAsia" w:ascii="方正仿宋_GBK" w:hAnsi="宋体" w:eastAsia="方正仿宋_GBK"/>
          <w:color w:val="000000"/>
          <w:szCs w:val="21"/>
        </w:rPr>
        <w:fldChar w:fldCharType="end"/>
      </w:r>
    </w:p>
    <w:p w14:paraId="1B130009">
      <w:pPr>
        <w:pStyle w:val="46"/>
        <w:tabs>
          <w:tab w:val="right" w:leader="dot" w:pos="9412"/>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_Toc15743 </w:instrText>
      </w:r>
      <w:r>
        <w:rPr>
          <w:rFonts w:hint="eastAsia" w:ascii="方正仿宋_GBK" w:hAnsi="宋体" w:eastAsia="方正仿宋_GBK"/>
          <w:szCs w:val="21"/>
        </w:rPr>
        <w:fldChar w:fldCharType="separate"/>
      </w:r>
      <w:r>
        <w:rPr>
          <w:rFonts w:hint="eastAsia"/>
        </w:rPr>
        <w:t>一、项目简介</w:t>
      </w:r>
      <w:r>
        <w:tab/>
      </w:r>
      <w:r>
        <w:fldChar w:fldCharType="begin"/>
      </w:r>
      <w:r>
        <w:instrText xml:space="preserve"> PAGEREF _Toc15743 \h </w:instrText>
      </w:r>
      <w:r>
        <w:fldChar w:fldCharType="separate"/>
      </w:r>
      <w:r>
        <w:t>3</w:t>
      </w:r>
      <w:r>
        <w:fldChar w:fldCharType="end"/>
      </w:r>
      <w:r>
        <w:rPr>
          <w:rFonts w:hint="eastAsia" w:ascii="方正仿宋_GBK" w:hAnsi="宋体" w:eastAsia="方正仿宋_GBK"/>
          <w:color w:val="000000"/>
          <w:szCs w:val="21"/>
        </w:rPr>
        <w:fldChar w:fldCharType="end"/>
      </w:r>
    </w:p>
    <w:p w14:paraId="6AA125B1">
      <w:pPr>
        <w:pStyle w:val="46"/>
        <w:tabs>
          <w:tab w:val="right" w:leader="dot" w:pos="9412"/>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_Toc23530 </w:instrText>
      </w:r>
      <w:r>
        <w:rPr>
          <w:rFonts w:hint="eastAsia" w:ascii="方正仿宋_GBK" w:hAnsi="宋体" w:eastAsia="方正仿宋_GBK"/>
          <w:szCs w:val="21"/>
        </w:rPr>
        <w:fldChar w:fldCharType="separate"/>
      </w:r>
      <w:r>
        <w:rPr>
          <w:rFonts w:hint="eastAsia"/>
        </w:rPr>
        <w:t>二、</w:t>
      </w:r>
      <w:r>
        <w:rPr>
          <w:rFonts w:hint="eastAsia"/>
          <w:lang w:eastAsia="zh-CN"/>
        </w:rPr>
        <w:t>竞选人</w:t>
      </w:r>
      <w:r>
        <w:rPr>
          <w:rFonts w:hint="eastAsia"/>
        </w:rPr>
        <w:t>的资格条件</w:t>
      </w:r>
      <w:r>
        <w:tab/>
      </w:r>
      <w:r>
        <w:fldChar w:fldCharType="begin"/>
      </w:r>
      <w:r>
        <w:instrText xml:space="preserve"> PAGEREF _Toc23530 \h </w:instrText>
      </w:r>
      <w:r>
        <w:fldChar w:fldCharType="separate"/>
      </w:r>
      <w:r>
        <w:t>3</w:t>
      </w:r>
      <w:r>
        <w:fldChar w:fldCharType="end"/>
      </w:r>
      <w:r>
        <w:rPr>
          <w:rFonts w:hint="eastAsia" w:ascii="方正仿宋_GBK" w:hAnsi="宋体" w:eastAsia="方正仿宋_GBK"/>
          <w:color w:val="000000"/>
          <w:szCs w:val="21"/>
        </w:rPr>
        <w:fldChar w:fldCharType="end"/>
      </w:r>
    </w:p>
    <w:p w14:paraId="499E5FEE">
      <w:pPr>
        <w:pStyle w:val="46"/>
        <w:tabs>
          <w:tab w:val="right" w:leader="dot" w:pos="9412"/>
          <w:tab w:val="clear" w:pos="8400"/>
        </w:tabs>
        <w:rPr>
          <w:rFonts w:hint="eastAsia" w:ascii="方正仿宋_GBK" w:hAnsi="宋体" w:eastAsia="方正仿宋_GBK"/>
          <w:color w:val="000000"/>
          <w:szCs w:val="21"/>
          <w:lang w:eastAsia="zh-CN"/>
        </w:rPr>
      </w:pPr>
      <w:r>
        <w:rPr>
          <w:rFonts w:hint="eastAsia" w:ascii="方正仿宋_GBK" w:hAnsi="宋体" w:eastAsia="方正仿宋_GBK"/>
          <w:color w:val="000000"/>
          <w:szCs w:val="21"/>
          <w:lang w:eastAsia="zh-CN"/>
        </w:rPr>
        <w:t>三</w:t>
      </w:r>
      <w:r>
        <w:rPr>
          <w:rFonts w:hint="eastAsia" w:ascii="方正仿宋_GBK" w:hAnsi="宋体" w:eastAsia="方正仿宋_GBK" w:cs="Times New Roman"/>
          <w:color w:val="000000"/>
          <w:szCs w:val="21"/>
          <w:lang w:eastAsia="zh-CN"/>
        </w:rPr>
        <w:t>、</w:t>
      </w:r>
      <w:r>
        <w:rPr>
          <w:rFonts w:hint="eastAsia" w:ascii="方正仿宋_GBK" w:hAnsi="宋体" w:eastAsia="方正仿宋_GBK" w:cs="Times New Roman"/>
          <w:color w:val="000000"/>
          <w:szCs w:val="21"/>
          <w:lang w:val="en-US" w:eastAsia="zh-CN"/>
        </w:rPr>
        <w:t>获取竞选文件的时间、地点和方式</w:t>
      </w:r>
      <w:r>
        <w:tab/>
      </w:r>
      <w:r>
        <w:fldChar w:fldCharType="begin"/>
      </w:r>
      <w:r>
        <w:instrText xml:space="preserve"> PAGEREF _Toc23530 \h </w:instrText>
      </w:r>
      <w:r>
        <w:fldChar w:fldCharType="separate"/>
      </w:r>
      <w:r>
        <w:t>3</w:t>
      </w:r>
      <w:r>
        <w:fldChar w:fldCharType="end"/>
      </w:r>
    </w:p>
    <w:p w14:paraId="3F4F568D">
      <w:pPr>
        <w:pStyle w:val="46"/>
        <w:tabs>
          <w:tab w:val="right" w:leader="dot" w:pos="9412"/>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_Toc19364 </w:instrText>
      </w:r>
      <w:r>
        <w:rPr>
          <w:rFonts w:hint="eastAsia" w:ascii="方正仿宋_GBK" w:hAnsi="宋体" w:eastAsia="方正仿宋_GBK"/>
          <w:szCs w:val="21"/>
        </w:rPr>
        <w:fldChar w:fldCharType="separate"/>
      </w:r>
      <w:r>
        <w:rPr>
          <w:rFonts w:hint="eastAsia"/>
        </w:rPr>
        <w:t>四、响应文件的提交及解密</w:t>
      </w:r>
      <w:r>
        <w:tab/>
      </w:r>
      <w:r>
        <w:fldChar w:fldCharType="begin"/>
      </w:r>
      <w:r>
        <w:instrText xml:space="preserve"> PAGEREF _Toc19364 \h </w:instrText>
      </w:r>
      <w:r>
        <w:fldChar w:fldCharType="separate"/>
      </w:r>
      <w:r>
        <w:t>4</w:t>
      </w:r>
      <w:r>
        <w:fldChar w:fldCharType="end"/>
      </w:r>
      <w:r>
        <w:rPr>
          <w:rFonts w:hint="eastAsia" w:ascii="方正仿宋_GBK" w:hAnsi="宋体" w:eastAsia="方正仿宋_GBK"/>
          <w:color w:val="000000"/>
          <w:szCs w:val="21"/>
        </w:rPr>
        <w:fldChar w:fldCharType="end"/>
      </w:r>
    </w:p>
    <w:p w14:paraId="2BA2B889">
      <w:pPr>
        <w:pStyle w:val="46"/>
        <w:tabs>
          <w:tab w:val="right" w:leader="dot" w:pos="9412"/>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_Toc20340 </w:instrText>
      </w:r>
      <w:r>
        <w:rPr>
          <w:rFonts w:hint="eastAsia" w:ascii="方正仿宋_GBK" w:hAnsi="宋体" w:eastAsia="方正仿宋_GBK"/>
          <w:szCs w:val="21"/>
        </w:rPr>
        <w:fldChar w:fldCharType="separate"/>
      </w:r>
      <w:r>
        <w:rPr>
          <w:rFonts w:hint="eastAsia"/>
        </w:rPr>
        <w:t>五、</w:t>
      </w:r>
      <w:r>
        <w:rPr>
          <w:rFonts w:hint="eastAsia"/>
          <w:lang w:eastAsia="zh-CN"/>
        </w:rPr>
        <w:t>竞选</w:t>
      </w:r>
      <w:r>
        <w:rPr>
          <w:rFonts w:hint="eastAsia"/>
        </w:rPr>
        <w:t>保证金</w:t>
      </w:r>
      <w:r>
        <w:tab/>
      </w:r>
      <w:r>
        <w:fldChar w:fldCharType="begin"/>
      </w:r>
      <w:r>
        <w:instrText xml:space="preserve"> PAGEREF _Toc20340 \h </w:instrText>
      </w:r>
      <w:r>
        <w:fldChar w:fldCharType="separate"/>
      </w:r>
      <w:r>
        <w:t>4</w:t>
      </w:r>
      <w:r>
        <w:fldChar w:fldCharType="end"/>
      </w:r>
      <w:r>
        <w:rPr>
          <w:rFonts w:hint="eastAsia" w:ascii="方正仿宋_GBK" w:hAnsi="宋体" w:eastAsia="方正仿宋_GBK"/>
          <w:color w:val="000000"/>
          <w:szCs w:val="21"/>
        </w:rPr>
        <w:fldChar w:fldCharType="end"/>
      </w:r>
    </w:p>
    <w:p w14:paraId="1A5CBB4C">
      <w:pPr>
        <w:pStyle w:val="46"/>
        <w:tabs>
          <w:tab w:val="right" w:leader="dot" w:pos="9412"/>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_Toc28481 </w:instrText>
      </w:r>
      <w:r>
        <w:rPr>
          <w:rFonts w:hint="eastAsia" w:ascii="方正仿宋_GBK" w:hAnsi="宋体" w:eastAsia="方正仿宋_GBK"/>
          <w:szCs w:val="21"/>
        </w:rPr>
        <w:fldChar w:fldCharType="separate"/>
      </w:r>
      <w:r>
        <w:rPr>
          <w:rFonts w:hint="eastAsia"/>
        </w:rPr>
        <w:t>六、政府</w:t>
      </w:r>
      <w:r>
        <w:rPr>
          <w:rFonts w:hint="eastAsia"/>
          <w:lang w:eastAsia="zh-CN"/>
        </w:rPr>
        <w:t>竞选</w:t>
      </w:r>
      <w:r>
        <w:rPr>
          <w:rFonts w:hint="eastAsia"/>
        </w:rPr>
        <w:t>政策要求以及政策执行措施</w:t>
      </w:r>
      <w:r>
        <w:tab/>
      </w:r>
      <w:r>
        <w:fldChar w:fldCharType="begin"/>
      </w:r>
      <w:r>
        <w:instrText xml:space="preserve"> PAGEREF _Toc28481 \h </w:instrText>
      </w:r>
      <w:r>
        <w:fldChar w:fldCharType="separate"/>
      </w:r>
      <w:r>
        <w:t>4</w:t>
      </w:r>
      <w:r>
        <w:fldChar w:fldCharType="end"/>
      </w:r>
      <w:r>
        <w:rPr>
          <w:rFonts w:hint="eastAsia" w:ascii="方正仿宋_GBK" w:hAnsi="宋体" w:eastAsia="方正仿宋_GBK"/>
          <w:color w:val="000000"/>
          <w:szCs w:val="21"/>
        </w:rPr>
        <w:fldChar w:fldCharType="end"/>
      </w:r>
    </w:p>
    <w:p w14:paraId="428D2FBD">
      <w:pPr>
        <w:pStyle w:val="46"/>
        <w:tabs>
          <w:tab w:val="right" w:leader="dot" w:pos="9412"/>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_Toc24974 </w:instrText>
      </w:r>
      <w:r>
        <w:rPr>
          <w:rFonts w:hint="eastAsia" w:ascii="方正仿宋_GBK" w:hAnsi="宋体" w:eastAsia="方正仿宋_GBK"/>
          <w:szCs w:val="21"/>
        </w:rPr>
        <w:fldChar w:fldCharType="separate"/>
      </w:r>
      <w:r>
        <w:rPr>
          <w:rFonts w:hint="eastAsia"/>
        </w:rPr>
        <w:t>七、其他说明</w:t>
      </w:r>
      <w:r>
        <w:tab/>
      </w:r>
      <w:r>
        <w:fldChar w:fldCharType="begin"/>
      </w:r>
      <w:r>
        <w:instrText xml:space="preserve"> PAGEREF _Toc24974 \h </w:instrText>
      </w:r>
      <w:r>
        <w:fldChar w:fldCharType="separate"/>
      </w:r>
      <w:r>
        <w:t>4</w:t>
      </w:r>
      <w:r>
        <w:fldChar w:fldCharType="end"/>
      </w:r>
      <w:r>
        <w:rPr>
          <w:rFonts w:hint="eastAsia" w:ascii="方正仿宋_GBK" w:hAnsi="宋体" w:eastAsia="方正仿宋_GBK"/>
          <w:color w:val="000000"/>
          <w:szCs w:val="21"/>
        </w:rPr>
        <w:fldChar w:fldCharType="end"/>
      </w:r>
    </w:p>
    <w:p w14:paraId="446DCCDD">
      <w:pPr>
        <w:pStyle w:val="46"/>
        <w:tabs>
          <w:tab w:val="right" w:leader="dot" w:pos="9412"/>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_Toc23351 </w:instrText>
      </w:r>
      <w:r>
        <w:rPr>
          <w:rFonts w:hint="eastAsia" w:ascii="方正仿宋_GBK" w:hAnsi="宋体" w:eastAsia="方正仿宋_GBK"/>
          <w:szCs w:val="21"/>
        </w:rPr>
        <w:fldChar w:fldCharType="separate"/>
      </w:r>
      <w:r>
        <w:rPr>
          <w:rFonts w:hint="eastAsia"/>
        </w:rPr>
        <w:t>八、联系方式</w:t>
      </w:r>
      <w:r>
        <w:tab/>
      </w:r>
      <w:r>
        <w:fldChar w:fldCharType="begin"/>
      </w:r>
      <w:r>
        <w:instrText xml:space="preserve"> PAGEREF _Toc23351 \h </w:instrText>
      </w:r>
      <w:r>
        <w:fldChar w:fldCharType="separate"/>
      </w:r>
      <w:r>
        <w:t>5</w:t>
      </w:r>
      <w:r>
        <w:fldChar w:fldCharType="end"/>
      </w:r>
      <w:r>
        <w:rPr>
          <w:rFonts w:hint="eastAsia" w:ascii="方正仿宋_GBK" w:hAnsi="宋体" w:eastAsia="方正仿宋_GBK"/>
          <w:color w:val="000000"/>
          <w:szCs w:val="21"/>
        </w:rPr>
        <w:fldChar w:fldCharType="end"/>
      </w:r>
    </w:p>
    <w:p w14:paraId="420BABE8">
      <w:pPr>
        <w:pStyle w:val="38"/>
        <w:tabs>
          <w:tab w:val="right" w:leader="dot" w:pos="9412"/>
          <w:tab w:val="clear" w:pos="1260"/>
          <w:tab w:val="clear" w:pos="1685"/>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_Toc27518 </w:instrText>
      </w:r>
      <w:r>
        <w:rPr>
          <w:rFonts w:hint="eastAsia" w:ascii="方正仿宋_GBK" w:hAnsi="宋体" w:eastAsia="方正仿宋_GBK"/>
          <w:szCs w:val="21"/>
        </w:rPr>
        <w:fldChar w:fldCharType="separate"/>
      </w:r>
      <w:r>
        <w:rPr>
          <w:rFonts w:hint="eastAsia" w:ascii="宋体" w:hAnsi="宋体" w:eastAsia="宋体"/>
        </w:rPr>
        <w:t xml:space="preserve">第二篇 </w:t>
      </w:r>
      <w:r>
        <w:rPr>
          <w:rFonts w:hint="eastAsia" w:ascii="宋体" w:hAnsi="宋体" w:eastAsia="宋体"/>
          <w:lang w:eastAsia="zh-CN"/>
        </w:rPr>
        <w:t>竞选</w:t>
      </w:r>
      <w:r>
        <w:rPr>
          <w:rFonts w:hint="eastAsia" w:ascii="宋体" w:hAnsi="宋体" w:eastAsia="宋体"/>
        </w:rPr>
        <w:t>需求</w:t>
      </w:r>
      <w:r>
        <w:tab/>
      </w:r>
      <w:r>
        <w:fldChar w:fldCharType="begin"/>
      </w:r>
      <w:r>
        <w:instrText xml:space="preserve"> PAGEREF _Toc27518 \h </w:instrText>
      </w:r>
      <w:r>
        <w:fldChar w:fldCharType="separate"/>
      </w:r>
      <w:r>
        <w:t>6</w:t>
      </w:r>
      <w:r>
        <w:fldChar w:fldCharType="end"/>
      </w:r>
      <w:r>
        <w:rPr>
          <w:rFonts w:hint="eastAsia" w:ascii="方正仿宋_GBK" w:hAnsi="宋体" w:eastAsia="方正仿宋_GBK"/>
          <w:color w:val="000000"/>
          <w:szCs w:val="21"/>
        </w:rPr>
        <w:fldChar w:fldCharType="end"/>
      </w:r>
    </w:p>
    <w:p w14:paraId="41EDBE83">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lang w:eastAsia="zh-CN"/>
        </w:rPr>
        <w:t>一、</w:t>
      </w:r>
      <w:r>
        <w:rPr>
          <w:rFonts w:hint="eastAsia" w:ascii="Times New Roman" w:hAnsi="Times New Roman" w:eastAsia="宋体" w:cs="Times New Roman"/>
        </w:rPr>
        <w:t>项目概况</w:t>
      </w:r>
      <w:r>
        <w:tab/>
      </w:r>
      <w:r>
        <w:fldChar w:fldCharType="begin"/>
      </w:r>
      <w:r>
        <w:instrText xml:space="preserve"> PAGEREF _Toc27518 \h </w:instrText>
      </w:r>
      <w:r>
        <w:fldChar w:fldCharType="separate"/>
      </w:r>
      <w:r>
        <w:t>6</w:t>
      </w:r>
      <w:r>
        <w:fldChar w:fldCharType="end"/>
      </w:r>
    </w:p>
    <w:p w14:paraId="4443DBDB">
      <w:pPr>
        <w:pStyle w:val="46"/>
        <w:tabs>
          <w:tab w:val="right" w:leader="dot" w:pos="9412"/>
          <w:tab w:val="clear" w:pos="8400"/>
        </w:tabs>
        <w:rPr>
          <w:rFonts w:hint="eastAsia" w:ascii="Times New Roman" w:hAnsi="Times New Roman" w:eastAsia="宋体" w:cs="Times New Roman"/>
          <w:lang w:eastAsia="zh-CN"/>
        </w:rPr>
      </w:pPr>
      <w:r>
        <w:rPr>
          <w:rFonts w:hint="eastAsia" w:ascii="Times New Roman" w:hAnsi="Times New Roman" w:eastAsia="宋体" w:cs="Times New Roman"/>
        </w:rPr>
        <w:t>二、</w:t>
      </w:r>
      <w:r>
        <w:rPr>
          <w:rFonts w:hint="eastAsia" w:ascii="Times New Roman" w:hAnsi="Times New Roman" w:eastAsia="宋体" w:cs="Times New Roman"/>
          <w:lang w:eastAsia="zh-CN"/>
        </w:rPr>
        <w:t>服务要求</w:t>
      </w:r>
      <w:r>
        <w:tab/>
      </w:r>
      <w:r>
        <w:fldChar w:fldCharType="begin"/>
      </w:r>
      <w:r>
        <w:instrText xml:space="preserve"> PAGEREF _Toc27518 \h </w:instrText>
      </w:r>
      <w:r>
        <w:fldChar w:fldCharType="separate"/>
      </w:r>
      <w:r>
        <w:t>6</w:t>
      </w:r>
      <w:r>
        <w:fldChar w:fldCharType="end"/>
      </w:r>
    </w:p>
    <w:p w14:paraId="7A95F633">
      <w:pPr>
        <w:pStyle w:val="46"/>
        <w:tabs>
          <w:tab w:val="right" w:leader="dot" w:pos="9412"/>
          <w:tab w:val="clear" w:pos="8400"/>
        </w:tabs>
        <w:rPr>
          <w:rFonts w:hint="eastAsia" w:ascii="Times New Roman" w:hAnsi="Times New Roman" w:eastAsia="宋体" w:cs="Times New Roman"/>
          <w:lang w:eastAsia="zh-CN"/>
        </w:rPr>
      </w:pPr>
      <w:r>
        <w:rPr>
          <w:rFonts w:hint="eastAsia" w:ascii="Times New Roman" w:hAnsi="Times New Roman" w:eastAsia="宋体" w:cs="Times New Roman"/>
          <w:lang w:eastAsia="zh-CN"/>
        </w:rPr>
        <w:t>三、作业内容及要求</w:t>
      </w:r>
      <w:r>
        <w:tab/>
      </w:r>
      <w:r>
        <w:rPr>
          <w:rFonts w:hint="eastAsia"/>
          <w:lang w:val="en-US" w:eastAsia="zh-CN"/>
        </w:rPr>
        <w:t>8</w:t>
      </w:r>
    </w:p>
    <w:p w14:paraId="1A1D8A97">
      <w:pPr>
        <w:pStyle w:val="46"/>
        <w:tabs>
          <w:tab w:val="right" w:leader="dot" w:pos="9412"/>
          <w:tab w:val="clear" w:pos="8400"/>
        </w:tabs>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四、退出机制</w:t>
      </w:r>
      <w:r>
        <w:tab/>
      </w:r>
      <w:r>
        <w:rPr>
          <w:rFonts w:hint="eastAsia"/>
          <w:lang w:val="en-US" w:eastAsia="zh-CN"/>
        </w:rPr>
        <w:t>10</w:t>
      </w:r>
    </w:p>
    <w:p w14:paraId="34A6A4EC">
      <w:pPr>
        <w:pStyle w:val="46"/>
        <w:tabs>
          <w:tab w:val="right" w:leader="dot" w:pos="9412"/>
          <w:tab w:val="clear" w:pos="8400"/>
        </w:tabs>
        <w:rPr>
          <w:rFonts w:hint="eastAsia" w:ascii="Times New Roman" w:hAnsi="Times New Roman" w:eastAsia="宋体" w:cs="Times New Roman"/>
          <w:lang w:eastAsia="zh-CN"/>
        </w:rPr>
      </w:pPr>
      <w:r>
        <w:rPr>
          <w:rFonts w:hint="eastAsia" w:ascii="Times New Roman" w:hAnsi="Times New Roman" w:eastAsia="宋体" w:cs="Times New Roman"/>
          <w:lang w:eastAsia="zh-CN"/>
        </w:rPr>
        <w:fldChar w:fldCharType="begin"/>
      </w:r>
      <w:r>
        <w:rPr>
          <w:rFonts w:hint="eastAsia" w:ascii="Times New Roman" w:hAnsi="Times New Roman" w:eastAsia="宋体" w:cs="Times New Roman"/>
          <w:lang w:eastAsia="zh-CN"/>
        </w:rPr>
        <w:instrText xml:space="preserve"> HYPERLINK \l _Toc13841 </w:instrText>
      </w:r>
      <w:r>
        <w:rPr>
          <w:rFonts w:hint="eastAsia" w:ascii="Times New Roman" w:hAnsi="Times New Roman" w:eastAsia="宋体" w:cs="Times New Roman"/>
          <w:lang w:eastAsia="zh-CN"/>
        </w:rPr>
        <w:fldChar w:fldCharType="separate"/>
      </w:r>
      <w:r>
        <w:rPr>
          <w:rFonts w:hint="eastAsia" w:ascii="Times New Roman" w:hAnsi="Times New Roman" w:eastAsia="宋体" w:cs="Times New Roman"/>
          <w:lang w:eastAsia="zh-CN"/>
        </w:rPr>
        <w:t>第三篇 项目服务需求</w:t>
      </w:r>
      <w:r>
        <w:rPr>
          <w:rFonts w:hint="eastAsia" w:ascii="Times New Roman" w:hAnsi="Times New Roman" w:eastAsia="宋体" w:cs="Times New Roman"/>
          <w:lang w:eastAsia="zh-CN"/>
        </w:rPr>
        <w:tab/>
      </w:r>
      <w:r>
        <w:rPr>
          <w:rFonts w:hint="eastAsia" w:ascii="Times New Roman" w:hAnsi="Times New Roman" w:eastAsia="宋体" w:cs="Times New Roman"/>
          <w:lang w:eastAsia="zh-CN"/>
        </w:rPr>
        <w:fldChar w:fldCharType="begin"/>
      </w:r>
      <w:r>
        <w:rPr>
          <w:rFonts w:hint="eastAsia" w:ascii="Times New Roman" w:hAnsi="Times New Roman" w:eastAsia="宋体" w:cs="Times New Roman"/>
          <w:lang w:eastAsia="zh-CN"/>
        </w:rPr>
        <w:instrText xml:space="preserve"> PAGEREF _Toc13841 \h </w:instrText>
      </w:r>
      <w:r>
        <w:rPr>
          <w:rFonts w:hint="eastAsia" w:ascii="Times New Roman" w:hAnsi="Times New Roman" w:eastAsia="宋体" w:cs="Times New Roman"/>
          <w:lang w:eastAsia="zh-CN"/>
        </w:rPr>
        <w:fldChar w:fldCharType="separate"/>
      </w:r>
      <w:r>
        <w:rPr>
          <w:rFonts w:hint="eastAsia" w:ascii="Times New Roman" w:hAnsi="Times New Roman" w:eastAsia="宋体" w:cs="Times New Roman"/>
          <w:lang w:eastAsia="zh-CN"/>
        </w:rPr>
        <w:t>15</w:t>
      </w:r>
      <w:r>
        <w:rPr>
          <w:rFonts w:hint="eastAsia" w:ascii="Times New Roman" w:hAnsi="Times New Roman" w:eastAsia="宋体" w:cs="Times New Roman"/>
          <w:lang w:eastAsia="zh-CN"/>
        </w:rPr>
        <w:fldChar w:fldCharType="end"/>
      </w:r>
      <w:r>
        <w:rPr>
          <w:rFonts w:hint="eastAsia" w:ascii="Times New Roman" w:hAnsi="Times New Roman" w:eastAsia="宋体" w:cs="Times New Roman"/>
          <w:lang w:eastAsia="zh-CN"/>
        </w:rPr>
        <w:fldChar w:fldCharType="end"/>
      </w:r>
    </w:p>
    <w:p w14:paraId="0362D3B5">
      <w:pPr>
        <w:pStyle w:val="46"/>
        <w:tabs>
          <w:tab w:val="right" w:leader="dot" w:pos="9412"/>
          <w:tab w:val="clear" w:pos="8400"/>
        </w:tabs>
        <w:rPr>
          <w:rFonts w:hint="eastAsia" w:ascii="Times New Roman" w:hAnsi="Times New Roman" w:eastAsia="宋体" w:cs="Times New Roman"/>
          <w:lang w:eastAsia="zh-CN"/>
        </w:rPr>
      </w:pPr>
      <w:r>
        <w:rPr>
          <w:rFonts w:hint="eastAsia" w:ascii="Times New Roman" w:hAnsi="Times New Roman" w:eastAsia="宋体" w:cs="Times New Roman"/>
          <w:lang w:eastAsia="zh-CN"/>
        </w:rPr>
        <w:t>一、废弃食用油脂收运车辆标识和收运人员着装说明</w:t>
      </w:r>
      <w:r>
        <w:rPr>
          <w:rFonts w:hint="eastAsia" w:ascii="Times New Roman" w:hAnsi="Times New Roman" w:eastAsia="宋体" w:cs="Times New Roman"/>
          <w:lang w:eastAsia="zh-CN"/>
        </w:rPr>
        <w:tab/>
      </w:r>
      <w:r>
        <w:rPr>
          <w:rFonts w:hint="eastAsia" w:ascii="Times New Roman" w:hAnsi="Times New Roman" w:eastAsia="宋体" w:cs="Times New Roman"/>
          <w:lang w:eastAsia="zh-CN"/>
        </w:rPr>
        <w:fldChar w:fldCharType="begin"/>
      </w:r>
      <w:r>
        <w:rPr>
          <w:rFonts w:hint="eastAsia" w:ascii="Times New Roman" w:hAnsi="Times New Roman" w:eastAsia="宋体" w:cs="Times New Roman"/>
          <w:lang w:eastAsia="zh-CN"/>
        </w:rPr>
        <w:instrText xml:space="preserve"> PAGEREF _Toc13841 \h </w:instrText>
      </w:r>
      <w:r>
        <w:rPr>
          <w:rFonts w:hint="eastAsia" w:ascii="Times New Roman" w:hAnsi="Times New Roman" w:eastAsia="宋体" w:cs="Times New Roman"/>
          <w:lang w:eastAsia="zh-CN"/>
        </w:rPr>
        <w:fldChar w:fldCharType="separate"/>
      </w:r>
      <w:r>
        <w:rPr>
          <w:rFonts w:hint="eastAsia" w:ascii="Times New Roman" w:hAnsi="Times New Roman" w:eastAsia="宋体" w:cs="Times New Roman"/>
          <w:lang w:eastAsia="zh-CN"/>
        </w:rPr>
        <w:t>15</w:t>
      </w:r>
      <w:r>
        <w:rPr>
          <w:rFonts w:hint="eastAsia" w:ascii="Times New Roman" w:hAnsi="Times New Roman" w:eastAsia="宋体" w:cs="Times New Roman"/>
          <w:lang w:eastAsia="zh-CN"/>
        </w:rPr>
        <w:fldChar w:fldCharType="end"/>
      </w:r>
    </w:p>
    <w:p w14:paraId="4CEC0216">
      <w:pPr>
        <w:pStyle w:val="38"/>
        <w:tabs>
          <w:tab w:val="right" w:leader="dot" w:pos="9412"/>
          <w:tab w:val="clear" w:pos="1260"/>
          <w:tab w:val="clear" w:pos="1685"/>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_Toc19091 </w:instrText>
      </w:r>
      <w:r>
        <w:rPr>
          <w:rFonts w:hint="eastAsia" w:ascii="方正仿宋_GBK" w:hAnsi="宋体" w:eastAsia="方正仿宋_GBK"/>
          <w:szCs w:val="21"/>
        </w:rPr>
        <w:fldChar w:fldCharType="separate"/>
      </w:r>
      <w:r>
        <w:rPr>
          <w:rFonts w:hint="eastAsia" w:ascii="宋体" w:hAnsi="宋体" w:eastAsia="宋体" w:cs="Times New Roman"/>
          <w:lang w:eastAsia="zh-CN"/>
        </w:rPr>
        <w:t>第四篇</w:t>
      </w:r>
      <w:r>
        <w:rPr>
          <w:rFonts w:hint="eastAsia" w:ascii="宋体" w:hAnsi="宋体" w:eastAsia="宋体" w:cs="Times New Roman"/>
          <w:lang w:val="en-US" w:eastAsia="zh-CN"/>
        </w:rPr>
        <w:t xml:space="preserve"> </w:t>
      </w:r>
      <w:r>
        <w:rPr>
          <w:rFonts w:hint="eastAsia" w:ascii="宋体" w:hAnsi="宋体" w:eastAsia="宋体" w:cs="Times New Roman"/>
        </w:rPr>
        <w:t>资格审查及</w:t>
      </w:r>
      <w:r>
        <w:rPr>
          <w:rFonts w:hint="eastAsia" w:ascii="宋体" w:hAnsi="宋体" w:eastAsia="宋体" w:cs="Times New Roman"/>
          <w:lang w:val="en-US" w:eastAsia="zh-CN"/>
        </w:rPr>
        <w:t>评审</w:t>
      </w:r>
      <w:r>
        <w:rPr>
          <w:rFonts w:hint="eastAsia" w:ascii="宋体" w:hAnsi="宋体" w:eastAsia="宋体" w:cs="Times New Roman"/>
        </w:rPr>
        <w:t>办法</w:t>
      </w:r>
      <w:r>
        <w:tab/>
      </w:r>
      <w:r>
        <w:fldChar w:fldCharType="begin"/>
      </w:r>
      <w:r>
        <w:instrText xml:space="preserve"> PAGEREF _Toc19091 \h </w:instrText>
      </w:r>
      <w:r>
        <w:fldChar w:fldCharType="separate"/>
      </w:r>
      <w:r>
        <w:t>19</w:t>
      </w:r>
      <w:r>
        <w:fldChar w:fldCharType="end"/>
      </w:r>
      <w:r>
        <w:rPr>
          <w:rFonts w:hint="eastAsia" w:ascii="方正仿宋_GBK" w:hAnsi="宋体" w:eastAsia="方正仿宋_GBK"/>
          <w:color w:val="000000"/>
          <w:szCs w:val="21"/>
        </w:rPr>
        <w:fldChar w:fldCharType="end"/>
      </w:r>
    </w:p>
    <w:p w14:paraId="54F43049">
      <w:pPr>
        <w:pStyle w:val="46"/>
        <w:tabs>
          <w:tab w:val="right" w:leader="dot" w:pos="9412"/>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_Toc15627 </w:instrText>
      </w:r>
      <w:r>
        <w:rPr>
          <w:rFonts w:hint="eastAsia" w:ascii="方正仿宋_GBK" w:hAnsi="宋体" w:eastAsia="方正仿宋_GBK"/>
          <w:szCs w:val="21"/>
        </w:rPr>
        <w:fldChar w:fldCharType="separate"/>
      </w:r>
      <w:r>
        <w:rPr>
          <w:rFonts w:hint="eastAsia"/>
          <w:szCs w:val="24"/>
        </w:rPr>
        <w:t>一、资格审查及符合性审查</w:t>
      </w:r>
      <w:r>
        <w:tab/>
      </w:r>
      <w:r>
        <w:fldChar w:fldCharType="begin"/>
      </w:r>
      <w:r>
        <w:instrText xml:space="preserve"> PAGEREF _Toc15627 \h </w:instrText>
      </w:r>
      <w:r>
        <w:fldChar w:fldCharType="separate"/>
      </w:r>
      <w:r>
        <w:t>19</w:t>
      </w:r>
      <w:r>
        <w:fldChar w:fldCharType="end"/>
      </w:r>
      <w:r>
        <w:rPr>
          <w:rFonts w:hint="eastAsia" w:ascii="方正仿宋_GBK" w:hAnsi="宋体" w:eastAsia="方正仿宋_GBK"/>
          <w:color w:val="000000"/>
          <w:szCs w:val="21"/>
        </w:rPr>
        <w:fldChar w:fldCharType="end"/>
      </w:r>
    </w:p>
    <w:p w14:paraId="25577FCD">
      <w:pPr>
        <w:pStyle w:val="46"/>
        <w:tabs>
          <w:tab w:val="right" w:leader="dot" w:pos="9412"/>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_Toc28571 </w:instrText>
      </w:r>
      <w:r>
        <w:rPr>
          <w:rFonts w:hint="eastAsia" w:ascii="方正仿宋_GBK" w:hAnsi="宋体" w:eastAsia="方正仿宋_GBK"/>
          <w:szCs w:val="21"/>
        </w:rPr>
        <w:fldChar w:fldCharType="separate"/>
      </w:r>
      <w:r>
        <w:rPr>
          <w:rFonts w:hint="eastAsia"/>
          <w:szCs w:val="24"/>
          <w:lang w:eastAsia="zh-CN"/>
        </w:rPr>
        <w:t>二、</w:t>
      </w:r>
      <w:r>
        <w:rPr>
          <w:rFonts w:hint="eastAsia"/>
          <w:szCs w:val="24"/>
        </w:rPr>
        <w:t>评审方法</w:t>
      </w:r>
      <w:r>
        <w:tab/>
      </w:r>
      <w:r>
        <w:fldChar w:fldCharType="begin"/>
      </w:r>
      <w:r>
        <w:instrText xml:space="preserve"> PAGEREF _Toc28571 \h </w:instrText>
      </w:r>
      <w:r>
        <w:fldChar w:fldCharType="separate"/>
      </w:r>
      <w:r>
        <w:t>20</w:t>
      </w:r>
      <w:r>
        <w:fldChar w:fldCharType="end"/>
      </w:r>
      <w:r>
        <w:rPr>
          <w:rFonts w:hint="eastAsia" w:ascii="方正仿宋_GBK" w:hAnsi="宋体" w:eastAsia="方正仿宋_GBK"/>
          <w:color w:val="000000"/>
          <w:szCs w:val="21"/>
        </w:rPr>
        <w:fldChar w:fldCharType="end"/>
      </w:r>
    </w:p>
    <w:p w14:paraId="133C90C3">
      <w:pPr>
        <w:pStyle w:val="46"/>
        <w:tabs>
          <w:tab w:val="right" w:leader="dot" w:pos="9412"/>
          <w:tab w:val="clear" w:pos="8400"/>
        </w:tabs>
      </w:pPr>
      <w:r>
        <w:rPr>
          <w:rFonts w:hint="eastAsia" w:ascii="方正仿宋_GBK" w:hAnsi="宋体" w:eastAsia="方正仿宋_GBK"/>
          <w:color w:val="000000"/>
          <w:szCs w:val="21"/>
        </w:rPr>
        <w:fldChar w:fldCharType="begin"/>
      </w:r>
      <w:r>
        <w:rPr>
          <w:rFonts w:hint="eastAsia" w:ascii="方正仿宋_GBK" w:hAnsi="宋体" w:eastAsia="方正仿宋_GBK"/>
          <w:szCs w:val="21"/>
        </w:rPr>
        <w:instrText xml:space="preserve"> HYPERLINK \l _Toc25329 </w:instrText>
      </w:r>
      <w:r>
        <w:rPr>
          <w:rFonts w:hint="eastAsia" w:ascii="方正仿宋_GBK" w:hAnsi="宋体" w:eastAsia="方正仿宋_GBK"/>
          <w:szCs w:val="21"/>
        </w:rPr>
        <w:fldChar w:fldCharType="separate"/>
      </w:r>
      <w:r>
        <w:rPr>
          <w:rFonts w:hint="eastAsia"/>
          <w:szCs w:val="24"/>
          <w:lang w:eastAsia="zh-CN"/>
        </w:rPr>
        <w:t>三、评审标准</w:t>
      </w:r>
      <w:r>
        <w:tab/>
      </w:r>
      <w:r>
        <w:fldChar w:fldCharType="begin"/>
      </w:r>
      <w:r>
        <w:instrText xml:space="preserve"> PAGEREF _Toc25329 \h </w:instrText>
      </w:r>
      <w:r>
        <w:fldChar w:fldCharType="separate"/>
      </w:r>
      <w:r>
        <w:t>21</w:t>
      </w:r>
      <w:r>
        <w:fldChar w:fldCharType="end"/>
      </w:r>
      <w:r>
        <w:rPr>
          <w:rFonts w:hint="eastAsia" w:ascii="方正仿宋_GBK" w:hAnsi="宋体" w:eastAsia="方正仿宋_GBK"/>
          <w:color w:val="000000"/>
          <w:szCs w:val="21"/>
        </w:rPr>
        <w:fldChar w:fldCharType="end"/>
      </w:r>
    </w:p>
    <w:p w14:paraId="4E68F981">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_Toc10774 </w:instrText>
      </w:r>
      <w:r>
        <w:rPr>
          <w:rFonts w:hint="eastAsia" w:ascii="Times New Roman" w:hAnsi="Times New Roman" w:eastAsia="宋体" w:cs="Times New Roman"/>
        </w:rPr>
        <w:fldChar w:fldCharType="separate"/>
      </w:r>
      <w:r>
        <w:rPr>
          <w:rFonts w:hint="eastAsia" w:ascii="Times New Roman" w:hAnsi="Times New Roman" w:eastAsia="宋体" w:cs="Times New Roman"/>
        </w:rPr>
        <w:t>四、响应文件无效</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_Toc10774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23</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2CD46766">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_Toc21214 </w:instrText>
      </w:r>
      <w:r>
        <w:rPr>
          <w:rFonts w:hint="eastAsia" w:ascii="Times New Roman" w:hAnsi="Times New Roman" w:eastAsia="宋体" w:cs="Times New Roman"/>
        </w:rPr>
        <w:fldChar w:fldCharType="separate"/>
      </w:r>
      <w:r>
        <w:rPr>
          <w:rFonts w:hint="eastAsia" w:ascii="Times New Roman" w:hAnsi="Times New Roman" w:eastAsia="宋体" w:cs="Times New Roman"/>
        </w:rPr>
        <w:t>五、</w:t>
      </w:r>
      <w:r>
        <w:rPr>
          <w:rFonts w:hint="eastAsia" w:ascii="Times New Roman" w:hAnsi="Times New Roman" w:eastAsia="宋体" w:cs="Times New Roman"/>
          <w:lang w:eastAsia="zh-CN"/>
        </w:rPr>
        <w:t>竞选</w:t>
      </w:r>
      <w:r>
        <w:rPr>
          <w:rFonts w:hint="eastAsia" w:ascii="Times New Roman" w:hAnsi="Times New Roman" w:eastAsia="宋体" w:cs="Times New Roman"/>
        </w:rPr>
        <w:t>失败</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_Toc21214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23</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23C2CD93">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_Toc8945 </w:instrText>
      </w:r>
      <w:r>
        <w:rPr>
          <w:rFonts w:hint="eastAsia" w:ascii="Times New Roman" w:hAnsi="Times New Roman" w:eastAsia="宋体" w:cs="Times New Roman"/>
        </w:rPr>
        <w:fldChar w:fldCharType="separate"/>
      </w:r>
      <w:r>
        <w:rPr>
          <w:rFonts w:hint="eastAsia" w:ascii="Times New Roman" w:hAnsi="Times New Roman" w:eastAsia="宋体" w:cs="Times New Roman"/>
        </w:rPr>
        <w:t>第</w:t>
      </w:r>
      <w:r>
        <w:rPr>
          <w:rFonts w:hint="eastAsia" w:ascii="Times New Roman" w:hAnsi="Times New Roman" w:eastAsia="宋体" w:cs="Times New Roman"/>
          <w:lang w:eastAsia="zh-CN"/>
        </w:rPr>
        <w:t>五</w:t>
      </w:r>
      <w:r>
        <w:rPr>
          <w:rFonts w:hint="eastAsia" w:ascii="Times New Roman" w:hAnsi="Times New Roman" w:eastAsia="宋体" w:cs="Times New Roman"/>
        </w:rPr>
        <w:t xml:space="preserve">篇  </w:t>
      </w:r>
      <w:r>
        <w:rPr>
          <w:rFonts w:hint="eastAsia" w:ascii="Times New Roman" w:hAnsi="Times New Roman" w:eastAsia="宋体" w:cs="Times New Roman"/>
          <w:lang w:eastAsia="zh-CN"/>
        </w:rPr>
        <w:t>竞选人</w:t>
      </w:r>
      <w:r>
        <w:rPr>
          <w:rFonts w:hint="eastAsia" w:ascii="Times New Roman" w:hAnsi="Times New Roman" w:eastAsia="宋体" w:cs="Times New Roman"/>
        </w:rPr>
        <w:t>须知</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_Toc8945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24</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49A660FF">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_Toc32294 </w:instrText>
      </w:r>
      <w:r>
        <w:rPr>
          <w:rFonts w:hint="eastAsia" w:ascii="Times New Roman" w:hAnsi="Times New Roman" w:eastAsia="宋体" w:cs="Times New Roman"/>
        </w:rPr>
        <w:fldChar w:fldCharType="separate"/>
      </w:r>
      <w:r>
        <w:rPr>
          <w:rFonts w:hint="eastAsia" w:ascii="Times New Roman" w:hAnsi="Times New Roman" w:eastAsia="宋体" w:cs="Times New Roman"/>
        </w:rPr>
        <w:t>一、法律依据</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_Toc32294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24</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160A8FB3">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_Toc18984 </w:instrText>
      </w:r>
      <w:r>
        <w:rPr>
          <w:rFonts w:hint="eastAsia" w:ascii="Times New Roman" w:hAnsi="Times New Roman" w:eastAsia="宋体" w:cs="Times New Roman"/>
        </w:rPr>
        <w:fldChar w:fldCharType="separate"/>
      </w:r>
      <w:r>
        <w:rPr>
          <w:rFonts w:hint="eastAsia" w:ascii="Times New Roman" w:hAnsi="Times New Roman" w:eastAsia="宋体" w:cs="Times New Roman"/>
        </w:rPr>
        <w:t>二、</w:t>
      </w:r>
      <w:r>
        <w:rPr>
          <w:rFonts w:hint="eastAsia" w:ascii="Times New Roman" w:hAnsi="Times New Roman" w:eastAsia="宋体" w:cs="Times New Roman"/>
          <w:lang w:eastAsia="zh-CN"/>
        </w:rPr>
        <w:t>竞选组织人</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_Toc18984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24</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3BCC93AE">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_Toc19820 </w:instrText>
      </w:r>
      <w:r>
        <w:rPr>
          <w:rFonts w:hint="eastAsia" w:ascii="Times New Roman" w:hAnsi="Times New Roman" w:eastAsia="宋体" w:cs="Times New Roman"/>
        </w:rPr>
        <w:fldChar w:fldCharType="separate"/>
      </w:r>
      <w:r>
        <w:rPr>
          <w:rFonts w:hint="eastAsia" w:ascii="Times New Roman" w:hAnsi="Times New Roman" w:eastAsia="宋体" w:cs="Times New Roman"/>
        </w:rPr>
        <w:t>三、</w:t>
      </w:r>
      <w:r>
        <w:rPr>
          <w:rFonts w:hint="eastAsia" w:ascii="Times New Roman" w:hAnsi="Times New Roman" w:eastAsia="宋体" w:cs="Times New Roman"/>
          <w:lang w:eastAsia="zh-CN"/>
        </w:rPr>
        <w:t>竞选</w:t>
      </w:r>
      <w:r>
        <w:rPr>
          <w:rFonts w:hint="eastAsia" w:ascii="Times New Roman" w:hAnsi="Times New Roman" w:eastAsia="宋体" w:cs="Times New Roman"/>
        </w:rPr>
        <w:t>文件</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_Toc19820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24</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14AF76B5">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_Toc19765 </w:instrText>
      </w:r>
      <w:r>
        <w:rPr>
          <w:rFonts w:hint="eastAsia" w:ascii="Times New Roman" w:hAnsi="Times New Roman" w:eastAsia="宋体" w:cs="Times New Roman"/>
        </w:rPr>
        <w:fldChar w:fldCharType="separate"/>
      </w:r>
      <w:r>
        <w:rPr>
          <w:rFonts w:hint="eastAsia" w:ascii="Times New Roman" w:hAnsi="Times New Roman" w:eastAsia="宋体" w:cs="Times New Roman"/>
          <w:lang w:eastAsia="zh-CN"/>
        </w:rPr>
        <w:t>四</w:t>
      </w:r>
      <w:r>
        <w:rPr>
          <w:rFonts w:hint="eastAsia" w:ascii="Times New Roman" w:hAnsi="Times New Roman" w:eastAsia="宋体" w:cs="Times New Roman"/>
        </w:rPr>
        <w:t>、响应文件</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_Toc19765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24</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5FF8A827">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_Toc13006 </w:instrText>
      </w:r>
      <w:r>
        <w:rPr>
          <w:rFonts w:hint="eastAsia" w:ascii="Times New Roman" w:hAnsi="Times New Roman" w:eastAsia="宋体" w:cs="Times New Roman"/>
        </w:rPr>
        <w:fldChar w:fldCharType="separate"/>
      </w:r>
      <w:r>
        <w:rPr>
          <w:rFonts w:hint="eastAsia" w:ascii="Times New Roman" w:hAnsi="Times New Roman" w:eastAsia="宋体" w:cs="Times New Roman"/>
          <w:lang w:eastAsia="zh-CN"/>
        </w:rPr>
        <w:t>五</w:t>
      </w:r>
      <w:r>
        <w:rPr>
          <w:rFonts w:hint="eastAsia" w:ascii="Times New Roman" w:hAnsi="Times New Roman" w:eastAsia="宋体" w:cs="Times New Roman"/>
        </w:rPr>
        <w:t>、</w:t>
      </w:r>
      <w:r>
        <w:rPr>
          <w:rFonts w:hint="eastAsia" w:ascii="Times New Roman" w:hAnsi="Times New Roman" w:eastAsia="宋体" w:cs="Times New Roman"/>
          <w:lang w:eastAsia="zh-CN"/>
        </w:rPr>
        <w:t>中选人</w:t>
      </w:r>
      <w:r>
        <w:rPr>
          <w:rFonts w:hint="eastAsia" w:ascii="Times New Roman" w:hAnsi="Times New Roman" w:eastAsia="宋体" w:cs="Times New Roman"/>
        </w:rPr>
        <w:t>的确认和</w:t>
      </w:r>
      <w:r>
        <w:rPr>
          <w:rFonts w:hint="eastAsia" w:ascii="Times New Roman" w:hAnsi="Times New Roman" w:eastAsia="宋体" w:cs="Times New Roman"/>
          <w:lang w:eastAsia="zh-CN"/>
        </w:rPr>
        <w:t>放弃处罚说明</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_Toc13006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25</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32879574">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_Toc3612 </w:instrText>
      </w:r>
      <w:r>
        <w:rPr>
          <w:rFonts w:hint="eastAsia" w:ascii="Times New Roman" w:hAnsi="Times New Roman" w:eastAsia="宋体" w:cs="Times New Roman"/>
        </w:rPr>
        <w:fldChar w:fldCharType="separate"/>
      </w:r>
      <w:r>
        <w:rPr>
          <w:rFonts w:hint="eastAsia" w:ascii="Times New Roman" w:hAnsi="Times New Roman" w:eastAsia="宋体" w:cs="Times New Roman"/>
          <w:lang w:eastAsia="zh-CN"/>
        </w:rPr>
        <w:t>六、中选通知</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_Toc3612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25</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2591E6DA">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_Toc26387 </w:instrText>
      </w:r>
      <w:r>
        <w:rPr>
          <w:rFonts w:hint="eastAsia" w:ascii="Times New Roman" w:hAnsi="Times New Roman" w:eastAsia="宋体" w:cs="Times New Roman"/>
        </w:rPr>
        <w:fldChar w:fldCharType="separate"/>
      </w:r>
      <w:r>
        <w:rPr>
          <w:rFonts w:hint="eastAsia" w:ascii="Times New Roman" w:hAnsi="Times New Roman" w:eastAsia="宋体" w:cs="Times New Roman"/>
          <w:lang w:eastAsia="zh-CN"/>
        </w:rPr>
        <w:t>七、关于质疑和投诉</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_Toc26387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25</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1D773E37">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_Toc11768 </w:instrText>
      </w:r>
      <w:r>
        <w:rPr>
          <w:rFonts w:hint="eastAsia" w:ascii="Times New Roman" w:hAnsi="Times New Roman" w:eastAsia="宋体" w:cs="Times New Roman"/>
        </w:rPr>
        <w:fldChar w:fldCharType="separate"/>
      </w:r>
      <w:r>
        <w:rPr>
          <w:rFonts w:hint="eastAsia" w:ascii="Times New Roman" w:hAnsi="Times New Roman" w:eastAsia="宋体" w:cs="Times New Roman"/>
          <w:lang w:eastAsia="zh-CN"/>
        </w:rPr>
        <w:t>八、签订协议</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_Toc11768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26</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4AEE1A58">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_Toc27802 </w:instrText>
      </w:r>
      <w:r>
        <w:rPr>
          <w:rFonts w:hint="eastAsia" w:ascii="Times New Roman" w:hAnsi="Times New Roman" w:eastAsia="宋体" w:cs="Times New Roman"/>
        </w:rPr>
        <w:fldChar w:fldCharType="separate"/>
      </w:r>
      <w:r>
        <w:rPr>
          <w:rFonts w:hint="eastAsia" w:ascii="Times New Roman" w:hAnsi="Times New Roman" w:eastAsia="宋体" w:cs="Times New Roman"/>
        </w:rPr>
        <w:t>第</w:t>
      </w:r>
      <w:r>
        <w:rPr>
          <w:rFonts w:hint="eastAsia" w:ascii="Times New Roman" w:hAnsi="Times New Roman" w:eastAsia="宋体" w:cs="Times New Roman"/>
          <w:lang w:eastAsia="zh-CN"/>
        </w:rPr>
        <w:t>六</w:t>
      </w:r>
      <w:r>
        <w:rPr>
          <w:rFonts w:hint="eastAsia" w:ascii="Times New Roman" w:hAnsi="Times New Roman" w:eastAsia="宋体" w:cs="Times New Roman"/>
        </w:rPr>
        <w:t xml:space="preserve">篇  </w:t>
      </w:r>
      <w:r>
        <w:rPr>
          <w:rFonts w:hint="eastAsia" w:ascii="Times New Roman" w:hAnsi="Times New Roman" w:eastAsia="宋体" w:cs="Times New Roman"/>
          <w:lang w:eastAsia="zh-CN"/>
        </w:rPr>
        <w:t>竞选协议</w:t>
      </w:r>
      <w:r>
        <w:rPr>
          <w:rFonts w:hint="eastAsia" w:ascii="Times New Roman" w:hAnsi="Times New Roman" w:eastAsia="宋体" w:cs="Times New Roman"/>
        </w:rPr>
        <w:t>文本</w:t>
      </w:r>
      <w:r>
        <w:rPr>
          <w:rFonts w:hint="eastAsia" w:ascii="Times New Roman" w:hAnsi="Times New Roman" w:eastAsia="宋体" w:cs="Times New Roman"/>
        </w:rPr>
        <w:tab/>
      </w: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PAGEREF _Toc27802 \h </w:instrText>
      </w:r>
      <w:r>
        <w:rPr>
          <w:rFonts w:hint="eastAsia" w:ascii="Times New Roman" w:hAnsi="Times New Roman" w:eastAsia="宋体" w:cs="Times New Roman"/>
        </w:rPr>
        <w:fldChar w:fldCharType="separate"/>
      </w:r>
      <w:r>
        <w:rPr>
          <w:rFonts w:hint="eastAsia" w:ascii="Times New Roman" w:hAnsi="Times New Roman" w:eastAsia="宋体" w:cs="Times New Roman"/>
        </w:rPr>
        <w:t>27</w:t>
      </w:r>
      <w:r>
        <w:rPr>
          <w:rFonts w:hint="eastAsia" w:ascii="Times New Roman" w:hAnsi="Times New Roman" w:eastAsia="宋体" w:cs="Times New Roman"/>
        </w:rPr>
        <w:fldChar w:fldCharType="end"/>
      </w:r>
      <w:r>
        <w:rPr>
          <w:rFonts w:hint="eastAsia" w:ascii="Times New Roman" w:hAnsi="Times New Roman" w:eastAsia="宋体" w:cs="Times New Roman"/>
        </w:rPr>
        <w:fldChar w:fldCharType="end"/>
      </w:r>
    </w:p>
    <w:p w14:paraId="06AB53B6">
      <w:pPr>
        <w:pStyle w:val="46"/>
        <w:tabs>
          <w:tab w:val="right" w:leader="dot" w:pos="9412"/>
          <w:tab w:val="clear" w:pos="8400"/>
        </w:tabs>
        <w:rPr>
          <w:rFonts w:hint="eastAsia" w:ascii="Times New Roman" w:hAnsi="Times New Roman" w:eastAsia="宋体" w:cs="Times New Roman"/>
          <w:lang w:val="en-US" w:eastAsia="zh-C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_Toc5796 </w:instrText>
      </w:r>
      <w:r>
        <w:rPr>
          <w:rFonts w:hint="eastAsia" w:ascii="Times New Roman" w:hAnsi="Times New Roman" w:eastAsia="宋体" w:cs="Times New Roman"/>
        </w:rPr>
        <w:fldChar w:fldCharType="separate"/>
      </w:r>
      <w:r>
        <w:rPr>
          <w:rFonts w:hint="eastAsia" w:cs="Times New Roman"/>
          <w:lang w:val="en-US" w:eastAsia="zh-CN"/>
        </w:rPr>
        <w:t>九龙坡区废弃食用油脂收运竞选入围</w:t>
      </w:r>
      <w:r>
        <w:rPr>
          <w:rFonts w:hint="eastAsia" w:ascii="Times New Roman" w:hAnsi="Times New Roman" w:eastAsia="宋体" w:cs="Times New Roman"/>
          <w:lang w:val="en-US" w:eastAsia="zh-CN"/>
        </w:rPr>
        <w:t>协议</w:t>
      </w:r>
      <w:r>
        <w:rPr>
          <w:rFonts w:hint="eastAsia" w:ascii="Times New Roman" w:hAnsi="Times New Roman" w:eastAsia="宋体" w:cs="Times New Roman"/>
        </w:rPr>
        <w:tab/>
      </w:r>
      <w:r>
        <w:rPr>
          <w:rFonts w:hint="eastAsia" w:ascii="Times New Roman" w:hAnsi="Times New Roman" w:eastAsia="宋体" w:cs="Times New Roman"/>
          <w:lang w:val="en-US" w:eastAsia="zh-CN"/>
        </w:rPr>
        <w:t>3</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4</w:t>
      </w:r>
    </w:p>
    <w:p w14:paraId="5AA4BC43">
      <w:pPr>
        <w:pStyle w:val="46"/>
        <w:tabs>
          <w:tab w:val="right" w:leader="dot" w:pos="9412"/>
          <w:tab w:val="clear" w:pos="8400"/>
        </w:tabs>
        <w:rPr>
          <w:rFonts w:hint="eastAsia" w:ascii="Times New Roman" w:hAnsi="Times New Roman" w:eastAsia="宋体" w:cs="Times New Roma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_Toc24471 </w:instrText>
      </w:r>
      <w:r>
        <w:rPr>
          <w:rFonts w:hint="eastAsia" w:ascii="Times New Roman" w:hAnsi="Times New Roman" w:eastAsia="宋体" w:cs="Times New Roman"/>
        </w:rPr>
        <w:fldChar w:fldCharType="separate"/>
      </w:r>
      <w:r>
        <w:rPr>
          <w:rFonts w:hint="eastAsia" w:ascii="Times New Roman" w:hAnsi="Times New Roman" w:eastAsia="宋体" w:cs="Times New Roman"/>
        </w:rPr>
        <w:t>第</w:t>
      </w:r>
      <w:r>
        <w:rPr>
          <w:rFonts w:hint="eastAsia" w:ascii="Times New Roman" w:hAnsi="Times New Roman" w:eastAsia="宋体" w:cs="Times New Roman"/>
          <w:lang w:eastAsia="zh-CN"/>
        </w:rPr>
        <w:t>七</w:t>
      </w:r>
      <w:r>
        <w:rPr>
          <w:rFonts w:hint="eastAsia" w:ascii="Times New Roman" w:hAnsi="Times New Roman" w:eastAsia="宋体" w:cs="Times New Roman"/>
        </w:rPr>
        <w:t>篇  响应文件格式</w:t>
      </w:r>
      <w:r>
        <w:rPr>
          <w:rFonts w:hint="eastAsia" w:ascii="Times New Roman" w:hAnsi="Times New Roman" w:eastAsia="宋体" w:cs="Times New Roman"/>
        </w:rPr>
        <w:tab/>
      </w:r>
      <w:r>
        <w:rPr>
          <w:rFonts w:hint="eastAsia" w:ascii="Times New Roman" w:hAnsi="Times New Roman" w:eastAsia="宋体" w:cs="Times New Roman"/>
          <w:lang w:val="en-US" w:eastAsia="zh-CN"/>
        </w:rPr>
        <w:t>3</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 xml:space="preserve">6 </w:t>
      </w:r>
    </w:p>
    <w:p w14:paraId="21591483">
      <w:pPr>
        <w:pStyle w:val="46"/>
        <w:tabs>
          <w:tab w:val="right" w:leader="dot" w:pos="9412"/>
          <w:tab w:val="clear" w:pos="8400"/>
        </w:tabs>
        <w:rPr>
          <w:rFonts w:hint="eastAsia" w:ascii="Times New Roman" w:hAnsi="Times New Roman" w:eastAsia="宋体" w:cs="Times New Roman"/>
          <w:lang w:val="en-US" w:eastAsia="zh-C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_Toc3520 </w:instrText>
      </w:r>
      <w:r>
        <w:rPr>
          <w:rFonts w:hint="eastAsia" w:ascii="Times New Roman" w:hAnsi="Times New Roman" w:eastAsia="宋体" w:cs="Times New Roman"/>
        </w:rPr>
        <w:fldChar w:fldCharType="separate"/>
      </w:r>
      <w:r>
        <w:rPr>
          <w:rFonts w:hint="eastAsia" w:ascii="Times New Roman" w:hAnsi="Times New Roman" w:eastAsia="宋体" w:cs="Times New Roman"/>
          <w:lang w:eastAsia="zh-CN"/>
        </w:rPr>
        <w:t>一</w:t>
      </w:r>
      <w:r>
        <w:rPr>
          <w:rFonts w:hint="eastAsia" w:ascii="Times New Roman" w:hAnsi="Times New Roman" w:eastAsia="宋体" w:cs="Times New Roman"/>
        </w:rPr>
        <w:t>、声明函（格式）</w:t>
      </w:r>
      <w:r>
        <w:rPr>
          <w:rFonts w:hint="eastAsia" w:ascii="Times New Roman" w:hAnsi="Times New Roman" w:eastAsia="宋体" w:cs="Times New Roman"/>
        </w:rPr>
        <w:tab/>
      </w:r>
      <w:r>
        <w:rPr>
          <w:rFonts w:hint="eastAsia" w:ascii="Times New Roman" w:hAnsi="Times New Roman" w:eastAsia="宋体" w:cs="Times New Roman"/>
          <w:lang w:val="en-US" w:eastAsia="zh-CN"/>
        </w:rPr>
        <w:t>3</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7</w:t>
      </w:r>
    </w:p>
    <w:p w14:paraId="4DCBC5E6">
      <w:pPr>
        <w:pStyle w:val="46"/>
        <w:tabs>
          <w:tab w:val="right" w:leader="dot" w:pos="9412"/>
          <w:tab w:val="clear" w:pos="8400"/>
        </w:tabs>
        <w:rPr>
          <w:rFonts w:hint="eastAsia" w:ascii="Times New Roman" w:hAnsi="Times New Roman" w:eastAsia="宋体" w:cs="Times New Roman"/>
          <w:lang w:val="en-US" w:eastAsia="zh-C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_Toc29860 </w:instrText>
      </w:r>
      <w:r>
        <w:rPr>
          <w:rFonts w:hint="eastAsia" w:ascii="Times New Roman" w:hAnsi="Times New Roman" w:eastAsia="宋体" w:cs="Times New Roman"/>
        </w:rPr>
        <w:fldChar w:fldCharType="separate"/>
      </w:r>
      <w:r>
        <w:rPr>
          <w:rFonts w:hint="eastAsia" w:ascii="Times New Roman" w:hAnsi="Times New Roman" w:eastAsia="宋体" w:cs="Times New Roman"/>
          <w:lang w:eastAsia="zh-CN"/>
        </w:rPr>
        <w:t>二</w:t>
      </w:r>
      <w:r>
        <w:rPr>
          <w:rFonts w:hint="eastAsia" w:ascii="Times New Roman" w:hAnsi="Times New Roman" w:eastAsia="宋体" w:cs="Times New Roman"/>
        </w:rPr>
        <w:t>、资格文件</w:t>
      </w:r>
      <w:r>
        <w:rPr>
          <w:rFonts w:hint="eastAsia" w:ascii="Times New Roman" w:hAnsi="Times New Roman" w:eastAsia="宋体" w:cs="Times New Roman"/>
        </w:rPr>
        <w:tab/>
      </w:r>
      <w:r>
        <w:rPr>
          <w:rFonts w:hint="eastAsia" w:ascii="Times New Roman" w:hAnsi="Times New Roman" w:eastAsia="宋体" w:cs="Times New Roman"/>
          <w:lang w:val="en-US" w:eastAsia="zh-CN"/>
        </w:rPr>
        <w:t>3</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8</w:t>
      </w:r>
    </w:p>
    <w:p w14:paraId="20C2E0D3">
      <w:pPr>
        <w:pStyle w:val="46"/>
        <w:tabs>
          <w:tab w:val="right" w:leader="dot" w:pos="9412"/>
          <w:tab w:val="clear" w:pos="8400"/>
        </w:tabs>
        <w:rPr>
          <w:rFonts w:hint="eastAsia" w:ascii="Times New Roman" w:hAnsi="Times New Roman" w:eastAsia="宋体" w:cs="Times New Roman"/>
          <w:lang w:val="en-US" w:eastAsia="zh-C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_Toc14416 </w:instrText>
      </w:r>
      <w:r>
        <w:rPr>
          <w:rFonts w:hint="eastAsia" w:ascii="Times New Roman" w:hAnsi="Times New Roman" w:eastAsia="宋体" w:cs="Times New Roman"/>
        </w:rPr>
        <w:fldChar w:fldCharType="separate"/>
      </w:r>
      <w:r>
        <w:rPr>
          <w:rFonts w:hint="eastAsia" w:ascii="Times New Roman" w:hAnsi="Times New Roman" w:eastAsia="宋体" w:cs="Times New Roman"/>
          <w:lang w:eastAsia="zh-CN"/>
        </w:rPr>
        <w:t>三</w:t>
      </w:r>
      <w:r>
        <w:rPr>
          <w:rFonts w:hint="eastAsia" w:ascii="Times New Roman" w:hAnsi="Times New Roman" w:eastAsia="宋体" w:cs="Times New Roman"/>
        </w:rPr>
        <w:t>、</w:t>
      </w:r>
      <w:r>
        <w:rPr>
          <w:rFonts w:hint="eastAsia" w:ascii="Times New Roman" w:hAnsi="Times New Roman" w:eastAsia="宋体" w:cs="Times New Roman"/>
          <w:lang w:eastAsia="zh-CN"/>
        </w:rPr>
        <w:t>竞选</w:t>
      </w:r>
      <w:r>
        <w:rPr>
          <w:rFonts w:hint="eastAsia" w:ascii="Times New Roman" w:hAnsi="Times New Roman" w:eastAsia="宋体" w:cs="Times New Roman"/>
        </w:rPr>
        <w:t>需求条款差异表</w:t>
      </w:r>
      <w:r>
        <w:rPr>
          <w:rFonts w:hint="eastAsia" w:ascii="Times New Roman" w:hAnsi="Times New Roman" w:eastAsia="宋体" w:cs="Times New Roman"/>
        </w:rPr>
        <w:tab/>
      </w:r>
      <w:r>
        <w:rPr>
          <w:rFonts w:hint="eastAsia" w:ascii="Times New Roman" w:hAnsi="Times New Roman" w:eastAsia="宋体" w:cs="Times New Roman"/>
          <w:lang w:val="en-US" w:eastAsia="zh-CN"/>
        </w:rPr>
        <w:t>4</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3</w:t>
      </w:r>
    </w:p>
    <w:p w14:paraId="1861A634">
      <w:pPr>
        <w:pStyle w:val="46"/>
        <w:tabs>
          <w:tab w:val="right" w:leader="dot" w:pos="9412"/>
          <w:tab w:val="clear" w:pos="8400"/>
        </w:tabs>
        <w:rPr>
          <w:rFonts w:hint="eastAsia" w:ascii="Times New Roman" w:hAnsi="Times New Roman" w:eastAsia="宋体" w:cs="Times New Roman"/>
          <w:lang w:val="en-US" w:eastAsia="zh-C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_Toc10990 </w:instrText>
      </w:r>
      <w:r>
        <w:rPr>
          <w:rFonts w:hint="eastAsia" w:ascii="Times New Roman" w:hAnsi="Times New Roman" w:eastAsia="宋体" w:cs="Times New Roman"/>
        </w:rPr>
        <w:fldChar w:fldCharType="separate"/>
      </w:r>
      <w:r>
        <w:rPr>
          <w:rFonts w:hint="eastAsia" w:ascii="Times New Roman" w:hAnsi="Times New Roman" w:eastAsia="宋体" w:cs="Times New Roman"/>
          <w:lang w:eastAsia="zh-CN"/>
        </w:rPr>
        <w:t>四</w:t>
      </w:r>
      <w:r>
        <w:rPr>
          <w:rFonts w:hint="eastAsia" w:ascii="Times New Roman" w:hAnsi="Times New Roman" w:eastAsia="宋体" w:cs="Times New Roman"/>
        </w:rPr>
        <w:t>、中小企业声明函、监狱企业证明文件、残疾人福利性单位声明函</w:t>
      </w:r>
      <w:r>
        <w:rPr>
          <w:rFonts w:hint="eastAsia" w:ascii="Times New Roman" w:hAnsi="Times New Roman" w:eastAsia="宋体" w:cs="Times New Roman"/>
        </w:rPr>
        <w:tab/>
      </w:r>
      <w:r>
        <w:rPr>
          <w:rFonts w:hint="eastAsia" w:ascii="Times New Roman" w:hAnsi="Times New Roman" w:eastAsia="宋体" w:cs="Times New Roman"/>
          <w:lang w:val="en-US" w:eastAsia="zh-CN"/>
        </w:rPr>
        <w:t>4</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4</w:t>
      </w:r>
    </w:p>
    <w:p w14:paraId="13A4DE53">
      <w:pPr>
        <w:pStyle w:val="46"/>
        <w:tabs>
          <w:tab w:val="right" w:leader="dot" w:pos="9412"/>
          <w:tab w:val="clear" w:pos="8400"/>
        </w:tabs>
        <w:rPr>
          <w:rFonts w:hint="eastAsia" w:ascii="Times New Roman" w:hAnsi="Times New Roman" w:eastAsia="宋体" w:cs="Times New Roman"/>
          <w:lang w:val="en-US" w:eastAsia="zh-CN"/>
        </w:rPr>
      </w:pPr>
      <w:r>
        <w:rPr>
          <w:rFonts w:hint="eastAsia" w:ascii="Times New Roman" w:hAnsi="Times New Roman" w:eastAsia="宋体" w:cs="Times New Roman"/>
        </w:rPr>
        <w:fldChar w:fldCharType="begin"/>
      </w:r>
      <w:r>
        <w:rPr>
          <w:rFonts w:hint="eastAsia" w:ascii="Times New Roman" w:hAnsi="Times New Roman" w:eastAsia="宋体" w:cs="Times New Roman"/>
        </w:rPr>
        <w:instrText xml:space="preserve"> HYPERLINK \l _Toc26142 </w:instrText>
      </w:r>
      <w:r>
        <w:rPr>
          <w:rFonts w:hint="eastAsia" w:ascii="Times New Roman" w:hAnsi="Times New Roman" w:eastAsia="宋体" w:cs="Times New Roman"/>
        </w:rPr>
        <w:fldChar w:fldCharType="separate"/>
      </w:r>
      <w:r>
        <w:rPr>
          <w:rFonts w:hint="eastAsia" w:ascii="Times New Roman" w:hAnsi="Times New Roman" w:eastAsia="宋体" w:cs="Times New Roman"/>
          <w:lang w:eastAsia="zh-CN"/>
        </w:rPr>
        <w:t>五</w:t>
      </w:r>
      <w:r>
        <w:rPr>
          <w:rFonts w:hint="eastAsia" w:ascii="Times New Roman" w:hAnsi="Times New Roman" w:eastAsia="宋体" w:cs="Times New Roman"/>
        </w:rPr>
        <w:t>、其他资料</w:t>
      </w:r>
      <w:r>
        <w:rPr>
          <w:rFonts w:hint="eastAsia" w:ascii="Times New Roman" w:hAnsi="Times New Roman" w:eastAsia="宋体" w:cs="Times New Roman"/>
        </w:rPr>
        <w:tab/>
      </w:r>
      <w:r>
        <w:rPr>
          <w:rFonts w:hint="eastAsia" w:ascii="Times New Roman" w:hAnsi="Times New Roman" w:eastAsia="宋体" w:cs="Times New Roman"/>
          <w:lang w:val="en-US" w:eastAsia="zh-CN"/>
        </w:rPr>
        <w:t>4</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8</w:t>
      </w:r>
    </w:p>
    <w:p w14:paraId="13C3AAD7">
      <w:pPr>
        <w:pStyle w:val="46"/>
        <w:tabs>
          <w:tab w:val="right" w:leader="dot" w:pos="9412"/>
          <w:tab w:val="clear" w:pos="8400"/>
        </w:tabs>
      </w:pPr>
    </w:p>
    <w:p w14:paraId="008BCE3B">
      <w:pPr>
        <w:pStyle w:val="38"/>
        <w:spacing w:line="400" w:lineRule="exact"/>
        <w:ind w:firstLine="0" w:firstLineChars="0"/>
        <w:rPr>
          <w:rFonts w:hint="eastAsia" w:ascii="方正仿宋_GBK" w:eastAsia="方正仿宋_GBK"/>
          <w:color w:val="000000"/>
          <w:sz w:val="32"/>
        </w:rPr>
        <w:sectPr>
          <w:footerReference r:id="rId6" w:type="default"/>
          <w:pgSz w:w="11907" w:h="16840"/>
          <w:pgMar w:top="1134" w:right="1191" w:bottom="1134" w:left="1304" w:header="964" w:footer="992" w:gutter="0"/>
          <w:pgNumType w:fmt="decimal" w:start="1"/>
          <w:cols w:space="720" w:num="1"/>
          <w:docGrid w:linePitch="312" w:charSpace="0"/>
        </w:sectPr>
      </w:pPr>
      <w:r>
        <w:rPr>
          <w:rFonts w:hint="eastAsia" w:ascii="方正仿宋_GBK" w:hAnsi="宋体" w:eastAsia="方正仿宋_GBK"/>
          <w:color w:val="000000"/>
          <w:szCs w:val="21"/>
        </w:rPr>
        <w:fldChar w:fldCharType="end"/>
      </w:r>
    </w:p>
    <w:p w14:paraId="6D95D92B">
      <w:pPr>
        <w:pStyle w:val="4"/>
        <w:spacing w:before="0" w:beforeLines="0" w:after="0" w:afterLines="0" w:line="360" w:lineRule="auto"/>
        <w:rPr>
          <w:rFonts w:hint="eastAsia" w:ascii="宋体" w:hAnsi="宋体" w:eastAsia="宋体"/>
          <w:b/>
          <w:color w:val="000000"/>
          <w:lang w:eastAsia="zh-CN"/>
        </w:rPr>
      </w:pPr>
      <w:bookmarkStart w:id="0" w:name="_Toc21173"/>
      <w:bookmarkStart w:id="1" w:name="_Toc26425"/>
      <w:r>
        <w:rPr>
          <w:rFonts w:hint="eastAsia" w:ascii="宋体" w:hAnsi="宋体" w:eastAsia="宋体"/>
          <w:b/>
          <w:color w:val="000000"/>
        </w:rPr>
        <w:t xml:space="preserve">第一篇 </w:t>
      </w:r>
      <w:r>
        <w:rPr>
          <w:rFonts w:hint="eastAsia" w:ascii="宋体" w:hAnsi="宋体" w:eastAsia="宋体"/>
          <w:b/>
          <w:color w:val="000000"/>
          <w:lang w:eastAsia="zh-CN"/>
        </w:rPr>
        <w:t>竞选</w:t>
      </w:r>
      <w:r>
        <w:rPr>
          <w:rFonts w:hint="eastAsia" w:ascii="宋体" w:hAnsi="宋体" w:eastAsia="宋体"/>
          <w:b/>
          <w:color w:val="000000"/>
        </w:rPr>
        <w:t>邀请</w:t>
      </w:r>
      <w:bookmarkEnd w:id="0"/>
      <w:r>
        <w:rPr>
          <w:rFonts w:hint="eastAsia" w:ascii="宋体" w:hAnsi="宋体" w:eastAsia="宋体"/>
          <w:b/>
          <w:color w:val="000000"/>
          <w:lang w:eastAsia="zh-CN"/>
        </w:rPr>
        <w:t>函</w:t>
      </w:r>
      <w:bookmarkEnd w:id="1"/>
    </w:p>
    <w:p w14:paraId="312405F8">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lang w:eastAsia="zh-CN"/>
        </w:rPr>
        <w:t>重庆方郡建设工</w:t>
      </w:r>
      <w:r>
        <w:rPr>
          <w:rFonts w:hint="eastAsia" w:ascii="宋体" w:hAnsi="宋体" w:eastAsia="宋体" w:cs="Times New Roman"/>
          <w:color w:val="000000"/>
          <w:sz w:val="24"/>
          <w:szCs w:val="24"/>
          <w:lang w:eastAsia="zh-CN"/>
        </w:rPr>
        <w:t>程咨询有限公司</w:t>
      </w:r>
      <w:r>
        <w:rPr>
          <w:rFonts w:hint="eastAsia" w:ascii="宋体" w:hAnsi="宋体" w:eastAsia="宋体" w:cs="Times New Roman"/>
          <w:color w:val="000000"/>
          <w:sz w:val="24"/>
          <w:szCs w:val="24"/>
        </w:rPr>
        <w:t>（以下简称：</w:t>
      </w:r>
      <w:r>
        <w:rPr>
          <w:rFonts w:hint="eastAsia" w:ascii="宋体" w:hAnsi="宋体" w:eastAsia="宋体" w:cs="Times New Roman"/>
          <w:color w:val="000000"/>
          <w:sz w:val="24"/>
          <w:szCs w:val="24"/>
          <w:lang w:eastAsia="zh-CN"/>
        </w:rPr>
        <w:t>竞选</w:t>
      </w:r>
      <w:r>
        <w:rPr>
          <w:rFonts w:hint="eastAsia" w:ascii="宋体" w:hAnsi="宋体" w:eastAsia="宋体" w:cs="Times New Roman"/>
          <w:color w:val="000000"/>
          <w:sz w:val="24"/>
          <w:szCs w:val="24"/>
        </w:rPr>
        <w:t>代理机构）受重庆市九龙坡区城市管理局的委托</w:t>
      </w:r>
      <w:r>
        <w:rPr>
          <w:rFonts w:hint="eastAsia" w:ascii="宋体" w:hAnsi="宋体"/>
          <w:color w:val="000000"/>
          <w:sz w:val="24"/>
          <w:szCs w:val="24"/>
        </w:rPr>
        <w:t>（以下简称：</w:t>
      </w:r>
      <w:r>
        <w:rPr>
          <w:rFonts w:hint="eastAsia" w:ascii="宋体" w:hAnsi="宋体"/>
          <w:color w:val="000000"/>
          <w:sz w:val="24"/>
          <w:szCs w:val="24"/>
          <w:lang w:eastAsia="zh-CN"/>
        </w:rPr>
        <w:t>竞选组织人</w:t>
      </w:r>
      <w:r>
        <w:rPr>
          <w:rFonts w:hint="eastAsia" w:ascii="宋体" w:hAnsi="宋体"/>
          <w:color w:val="000000"/>
          <w:sz w:val="24"/>
          <w:szCs w:val="24"/>
        </w:rPr>
        <w:t>），</w:t>
      </w:r>
      <w:r>
        <w:rPr>
          <w:rFonts w:hint="eastAsia" w:ascii="宋体" w:hAnsi="宋体" w:eastAsia="宋体" w:cs="Times New Roman"/>
          <w:color w:val="000000"/>
          <w:sz w:val="24"/>
          <w:szCs w:val="24"/>
        </w:rPr>
        <w:t>对九龙坡区</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收运单位</w:t>
      </w:r>
      <w:r>
        <w:rPr>
          <w:rFonts w:hint="eastAsia" w:ascii="宋体" w:hAnsi="宋体" w:eastAsia="宋体" w:cs="Times New Roman"/>
          <w:color w:val="000000"/>
          <w:sz w:val="24"/>
          <w:szCs w:val="24"/>
          <w:lang w:eastAsia="zh-CN"/>
        </w:rPr>
        <w:t>开展</w:t>
      </w:r>
      <w:r>
        <w:rPr>
          <w:rFonts w:hint="eastAsia" w:ascii="宋体" w:hAnsi="宋体" w:eastAsia="宋体" w:cs="Times New Roman"/>
          <w:color w:val="000000"/>
          <w:sz w:val="24"/>
          <w:szCs w:val="24"/>
        </w:rPr>
        <w:t>公开</w:t>
      </w:r>
      <w:r>
        <w:rPr>
          <w:rFonts w:hint="eastAsia" w:ascii="宋体" w:hAnsi="宋体" w:eastAsia="宋体" w:cs="Times New Roman"/>
          <w:color w:val="000000"/>
          <w:sz w:val="24"/>
          <w:szCs w:val="24"/>
          <w:lang w:eastAsia="zh-CN"/>
        </w:rPr>
        <w:t>竞选工作</w:t>
      </w:r>
      <w:r>
        <w:rPr>
          <w:rFonts w:hint="eastAsia" w:ascii="宋体" w:hAnsi="宋体"/>
          <w:color w:val="000000"/>
          <w:sz w:val="24"/>
          <w:szCs w:val="24"/>
        </w:rPr>
        <w:t>，欢迎符合资格条件的</w:t>
      </w:r>
      <w:r>
        <w:rPr>
          <w:rFonts w:hint="eastAsia" w:ascii="宋体" w:hAnsi="宋体"/>
          <w:color w:val="000000"/>
          <w:sz w:val="24"/>
          <w:szCs w:val="24"/>
          <w:lang w:eastAsia="zh-CN"/>
        </w:rPr>
        <w:t>竞选人</w:t>
      </w:r>
      <w:r>
        <w:rPr>
          <w:rFonts w:hint="eastAsia" w:ascii="宋体" w:hAnsi="宋体"/>
          <w:color w:val="000000"/>
          <w:sz w:val="24"/>
          <w:szCs w:val="24"/>
        </w:rPr>
        <w:t>积极响应。</w:t>
      </w:r>
    </w:p>
    <w:p w14:paraId="595DA2F4">
      <w:pPr>
        <w:pStyle w:val="5"/>
        <w:spacing w:line="400" w:lineRule="exact"/>
        <w:ind w:firstLine="482" w:firstLineChars="200"/>
        <w:rPr>
          <w:rFonts w:hint="eastAsia"/>
          <w:b/>
          <w:color w:val="000000"/>
          <w:sz w:val="24"/>
          <w:highlight w:val="none"/>
        </w:rPr>
      </w:pPr>
      <w:bookmarkStart w:id="2" w:name="_Toc4425"/>
      <w:bookmarkStart w:id="3" w:name="_Toc15743"/>
      <w:r>
        <w:rPr>
          <w:rFonts w:hint="eastAsia"/>
          <w:b/>
          <w:color w:val="000000"/>
          <w:sz w:val="24"/>
          <w:highlight w:val="none"/>
        </w:rPr>
        <w:t>一、项目简介</w:t>
      </w:r>
      <w:bookmarkEnd w:id="2"/>
      <w:bookmarkEnd w:id="3"/>
    </w:p>
    <w:p w14:paraId="0DDB40FE">
      <w:pPr>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highlight w:val="none"/>
        </w:rPr>
        <w:t>（一）</w:t>
      </w:r>
      <w:r>
        <w:rPr>
          <w:rFonts w:hint="eastAsia" w:ascii="宋体" w:hAnsi="宋体"/>
          <w:color w:val="000000"/>
          <w:sz w:val="24"/>
          <w:szCs w:val="24"/>
          <w:highlight w:val="none"/>
          <w:lang w:eastAsia="zh-CN"/>
        </w:rPr>
        <w:t>竞选</w:t>
      </w:r>
      <w:r>
        <w:rPr>
          <w:rFonts w:hint="eastAsia" w:ascii="宋体" w:hAnsi="宋体"/>
          <w:color w:val="000000"/>
          <w:sz w:val="24"/>
          <w:szCs w:val="24"/>
          <w:highlight w:val="none"/>
        </w:rPr>
        <w:t>内容</w:t>
      </w:r>
    </w:p>
    <w:p w14:paraId="059A6103">
      <w:pPr>
        <w:pStyle w:val="2"/>
        <w:ind w:firstLine="480" w:firstLineChars="200"/>
        <w:rPr>
          <w:rFonts w:hint="eastAsia"/>
          <w:highlight w:val="none"/>
        </w:rPr>
      </w:pPr>
      <w:r>
        <w:rPr>
          <w:rFonts w:hint="eastAsia" w:ascii="宋体" w:hAnsi="宋体" w:eastAsia="宋体" w:cs="Times New Roman"/>
          <w:color w:val="000000"/>
          <w:sz w:val="24"/>
          <w:szCs w:val="24"/>
          <w:highlight w:val="none"/>
        </w:rPr>
        <w:t>九龙坡区（不包含高新区代管区域）</w:t>
      </w:r>
      <w:r>
        <w:rPr>
          <w:rFonts w:hint="eastAsia" w:ascii="宋体" w:hAnsi="宋体" w:eastAsia="宋体" w:cs="Times New Roman"/>
          <w:color w:val="000000"/>
          <w:sz w:val="24"/>
          <w:szCs w:val="24"/>
          <w:highlight w:val="none"/>
          <w:lang w:eastAsia="zh-CN"/>
        </w:rPr>
        <w:t>废弃食用油脂</w:t>
      </w:r>
      <w:r>
        <w:rPr>
          <w:rFonts w:hint="eastAsia" w:ascii="宋体" w:hAnsi="宋体" w:eastAsia="宋体" w:cs="Times New Roman"/>
          <w:color w:val="000000"/>
          <w:sz w:val="24"/>
          <w:szCs w:val="24"/>
          <w:highlight w:val="none"/>
        </w:rPr>
        <w:t>收运公开</w:t>
      </w:r>
      <w:r>
        <w:rPr>
          <w:rFonts w:hint="eastAsia" w:ascii="宋体" w:hAnsi="宋体" w:eastAsia="宋体" w:cs="Times New Roman"/>
          <w:color w:val="000000"/>
          <w:sz w:val="24"/>
          <w:szCs w:val="24"/>
          <w:highlight w:val="none"/>
          <w:lang w:eastAsia="zh-CN"/>
        </w:rPr>
        <w:t>竞选</w:t>
      </w:r>
    </w:p>
    <w:p w14:paraId="126BA624">
      <w:pPr>
        <w:numPr>
          <w:ilvl w:val="0"/>
          <w:numId w:val="16"/>
        </w:numPr>
        <w:spacing w:line="400" w:lineRule="exact"/>
        <w:ind w:firstLine="480" w:firstLineChars="200"/>
        <w:rPr>
          <w:rFonts w:hint="eastAsia" w:ascii="宋体" w:hAnsi="宋体"/>
          <w:color w:val="000000"/>
          <w:sz w:val="24"/>
          <w:szCs w:val="24"/>
          <w:highlight w:val="none"/>
          <w:lang w:eastAsia="zh-CN"/>
        </w:rPr>
      </w:pPr>
      <w:r>
        <w:rPr>
          <w:rFonts w:hint="eastAsia" w:ascii="宋体" w:hAnsi="宋体"/>
          <w:color w:val="000000"/>
          <w:sz w:val="24"/>
          <w:szCs w:val="24"/>
          <w:highlight w:val="none"/>
          <w:lang w:eastAsia="zh-CN"/>
        </w:rPr>
        <w:t>竞选性质</w:t>
      </w:r>
    </w:p>
    <w:p w14:paraId="17757056">
      <w:pPr>
        <w:pStyle w:val="2"/>
        <w:numPr>
          <w:ilvl w:val="0"/>
          <w:numId w:val="0"/>
        </w:numPr>
        <w:rPr>
          <w:rFonts w:hint="default" w:ascii="宋体" w:hAnsi="宋体" w:eastAsia="宋体" w:cs="Times New Roman"/>
          <w:color w:val="000000"/>
          <w:sz w:val="24"/>
          <w:szCs w:val="24"/>
          <w:highlight w:val="none"/>
          <w:lang w:val="en-US" w:eastAsia="zh-CN"/>
        </w:rPr>
      </w:pPr>
      <w:r>
        <w:rPr>
          <w:rFonts w:hint="eastAsia"/>
          <w:highlight w:val="none"/>
          <w:lang w:val="en-US" w:eastAsia="zh-CN"/>
        </w:rPr>
        <w:t xml:space="preserve">   </w:t>
      </w:r>
      <w:r>
        <w:rPr>
          <w:rFonts w:hint="eastAsia" w:ascii="宋体" w:hAnsi="宋体" w:eastAsia="宋体" w:cs="Times New Roman"/>
          <w:color w:val="000000"/>
          <w:sz w:val="24"/>
          <w:szCs w:val="24"/>
          <w:highlight w:val="none"/>
          <w:lang w:val="en-US" w:eastAsia="zh-CN"/>
        </w:rPr>
        <w:t>本次竞选为框架入围竞选，竞选组织人和中选人不产生经济关系。</w:t>
      </w:r>
    </w:p>
    <w:p w14:paraId="4395FFD0">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lang w:eastAsia="zh-CN"/>
        </w:rPr>
        <w:t>（三）竞选</w:t>
      </w:r>
      <w:r>
        <w:rPr>
          <w:rFonts w:hint="eastAsia" w:ascii="宋体" w:hAnsi="宋体"/>
          <w:color w:val="000000"/>
          <w:sz w:val="24"/>
          <w:szCs w:val="24"/>
        </w:rPr>
        <w:t>形式：</w:t>
      </w:r>
      <w:r>
        <w:rPr>
          <w:rFonts w:hint="eastAsia" w:ascii="宋体" w:hAnsi="宋体"/>
          <w:color w:val="000000"/>
          <w:sz w:val="24"/>
          <w:szCs w:val="24"/>
          <w:lang w:eastAsia="zh-CN"/>
        </w:rPr>
        <w:t>公开竞选</w:t>
      </w:r>
      <w:r>
        <w:rPr>
          <w:rFonts w:hint="eastAsia" w:ascii="宋体" w:hAnsi="宋体"/>
          <w:color w:val="000000"/>
          <w:sz w:val="24"/>
          <w:szCs w:val="24"/>
        </w:rPr>
        <w:t>。</w:t>
      </w:r>
    </w:p>
    <w:p w14:paraId="06BBEC05">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lang w:eastAsia="zh-CN"/>
        </w:rPr>
        <w:t>（四）</w:t>
      </w:r>
      <w:r>
        <w:rPr>
          <w:rFonts w:hint="eastAsia" w:ascii="宋体" w:hAnsi="宋体"/>
          <w:color w:val="000000"/>
          <w:sz w:val="24"/>
          <w:szCs w:val="24"/>
        </w:rPr>
        <w:t>确定</w:t>
      </w:r>
      <w:r>
        <w:rPr>
          <w:rFonts w:hint="eastAsia" w:ascii="宋体" w:hAnsi="宋体"/>
          <w:color w:val="000000"/>
          <w:sz w:val="24"/>
          <w:szCs w:val="24"/>
          <w:lang w:eastAsia="zh-CN"/>
        </w:rPr>
        <w:t>中选人</w:t>
      </w:r>
      <w:r>
        <w:rPr>
          <w:rFonts w:hint="eastAsia" w:ascii="宋体" w:hAnsi="宋体"/>
          <w:color w:val="000000"/>
          <w:sz w:val="24"/>
          <w:szCs w:val="24"/>
        </w:rPr>
        <w:t>的评审方</w:t>
      </w:r>
      <w:r>
        <w:rPr>
          <w:rFonts w:hint="eastAsia" w:ascii="宋体" w:hAnsi="宋体" w:eastAsia="宋体" w:cs="Times New Roman"/>
          <w:bCs/>
          <w:color w:val="000000"/>
          <w:sz w:val="24"/>
          <w:szCs w:val="24"/>
        </w:rPr>
        <w:t>法：综合评审法</w:t>
      </w:r>
      <w:r>
        <w:rPr>
          <w:rFonts w:hint="eastAsia" w:ascii="宋体" w:hAnsi="宋体" w:eastAsia="宋体" w:cs="Times New Roman"/>
          <w:bCs/>
          <w:color w:val="000000"/>
          <w:sz w:val="24"/>
          <w:szCs w:val="24"/>
          <w:lang w:val="en-US" w:eastAsia="zh-CN"/>
        </w:rPr>
        <w:t>。</w:t>
      </w:r>
    </w:p>
    <w:p w14:paraId="724B437E">
      <w:pPr>
        <w:spacing w:line="400" w:lineRule="exact"/>
        <w:ind w:firstLine="480" w:firstLineChars="200"/>
        <w:rPr>
          <w:rFonts w:hint="default" w:ascii="宋体" w:hAnsi="宋体" w:eastAsia="宋体"/>
          <w:bCs/>
          <w:color w:val="000000"/>
          <w:sz w:val="24"/>
          <w:szCs w:val="24"/>
          <w:highlight w:val="none"/>
          <w:lang w:val="en-US" w:eastAsia="zh-CN"/>
        </w:rPr>
      </w:pPr>
      <w:r>
        <w:rPr>
          <w:rFonts w:hint="eastAsia" w:ascii="宋体" w:hAnsi="宋体"/>
          <w:bCs/>
          <w:color w:val="000000"/>
          <w:sz w:val="24"/>
          <w:szCs w:val="24"/>
        </w:rPr>
        <w:t>（</w:t>
      </w:r>
      <w:r>
        <w:rPr>
          <w:rFonts w:hint="eastAsia" w:ascii="宋体" w:hAnsi="宋体"/>
          <w:bCs/>
          <w:color w:val="000000"/>
          <w:sz w:val="24"/>
          <w:szCs w:val="24"/>
          <w:lang w:eastAsia="zh-CN"/>
        </w:rPr>
        <w:t>五</w:t>
      </w:r>
      <w:r>
        <w:rPr>
          <w:rFonts w:hint="eastAsia" w:ascii="宋体" w:hAnsi="宋体"/>
          <w:bCs/>
          <w:color w:val="000000"/>
          <w:sz w:val="24"/>
          <w:szCs w:val="24"/>
        </w:rPr>
        <w:t>）</w:t>
      </w:r>
      <w:r>
        <w:rPr>
          <w:rFonts w:hint="eastAsia" w:ascii="宋体" w:hAnsi="宋体"/>
          <w:bCs/>
          <w:color w:val="000000"/>
          <w:sz w:val="24"/>
          <w:szCs w:val="24"/>
          <w:lang w:eastAsia="zh-CN"/>
        </w:rPr>
        <w:t>作业</w:t>
      </w:r>
      <w:r>
        <w:rPr>
          <w:rFonts w:hint="eastAsia" w:ascii="宋体" w:hAnsi="宋体" w:eastAsia="宋体" w:cs="Times New Roman"/>
          <w:bCs/>
          <w:color w:val="000000"/>
          <w:sz w:val="24"/>
          <w:szCs w:val="24"/>
          <w:lang w:eastAsia="zh-CN"/>
        </w:rPr>
        <w:t>年限</w:t>
      </w:r>
      <w:r>
        <w:rPr>
          <w:rFonts w:hint="eastAsia" w:ascii="宋体" w:hAnsi="宋体" w:eastAsia="宋体" w:cs="Times New Roman"/>
          <w:bCs/>
          <w:color w:val="000000"/>
          <w:sz w:val="24"/>
          <w:szCs w:val="24"/>
        </w:rPr>
        <w:t>：本次收运</w:t>
      </w:r>
      <w:r>
        <w:rPr>
          <w:rFonts w:hint="eastAsia" w:ascii="宋体" w:hAnsi="宋体" w:eastAsia="宋体" w:cs="Times New Roman"/>
          <w:bCs/>
          <w:color w:val="000000"/>
          <w:sz w:val="24"/>
          <w:szCs w:val="24"/>
          <w:lang w:eastAsia="zh-CN"/>
        </w:rPr>
        <w:t>作业</w:t>
      </w:r>
      <w:r>
        <w:rPr>
          <w:rFonts w:hint="eastAsia" w:ascii="宋体" w:hAnsi="宋体" w:eastAsia="宋体" w:cs="Times New Roman"/>
          <w:bCs/>
          <w:color w:val="000000"/>
          <w:sz w:val="24"/>
          <w:szCs w:val="24"/>
        </w:rPr>
        <w:t>期限最长为3年（36个月），</w:t>
      </w:r>
      <w:r>
        <w:rPr>
          <w:rFonts w:hint="eastAsia" w:ascii="宋体" w:hAnsi="宋体" w:eastAsia="宋体" w:cs="Times New Roman"/>
          <w:bCs/>
          <w:color w:val="000000"/>
          <w:sz w:val="24"/>
          <w:szCs w:val="24"/>
          <w:lang w:eastAsia="zh-CN"/>
        </w:rPr>
        <w:t>协议</w:t>
      </w:r>
      <w:r>
        <w:rPr>
          <w:rFonts w:hint="eastAsia" w:ascii="宋体" w:hAnsi="宋体" w:eastAsia="宋体" w:cs="Times New Roman"/>
          <w:bCs/>
          <w:color w:val="000000"/>
          <w:sz w:val="24"/>
          <w:szCs w:val="24"/>
        </w:rPr>
        <w:t>一年一签，</w:t>
      </w:r>
      <w:r>
        <w:rPr>
          <w:rFonts w:hint="eastAsia" w:ascii="宋体" w:hAnsi="宋体" w:eastAsia="宋体" w:cs="Times New Roman"/>
          <w:bCs/>
          <w:color w:val="000000"/>
          <w:sz w:val="24"/>
          <w:szCs w:val="24"/>
          <w:lang w:eastAsia="zh-CN"/>
        </w:rPr>
        <w:t>竞选组织人</w:t>
      </w:r>
      <w:r>
        <w:rPr>
          <w:rFonts w:hint="eastAsia" w:ascii="宋体" w:hAnsi="宋体" w:eastAsia="宋体" w:cs="Times New Roman"/>
          <w:bCs/>
          <w:color w:val="000000"/>
          <w:sz w:val="24"/>
          <w:szCs w:val="24"/>
        </w:rPr>
        <w:t>每月对</w:t>
      </w:r>
      <w:r>
        <w:rPr>
          <w:rFonts w:hint="eastAsia" w:ascii="宋体" w:hAnsi="宋体" w:eastAsia="宋体" w:cs="Times New Roman"/>
          <w:bCs/>
          <w:color w:val="000000"/>
          <w:sz w:val="24"/>
          <w:szCs w:val="24"/>
          <w:lang w:eastAsia="zh-CN"/>
        </w:rPr>
        <w:t>作业</w:t>
      </w:r>
      <w:r>
        <w:rPr>
          <w:rFonts w:hint="eastAsia" w:ascii="宋体" w:hAnsi="宋体" w:eastAsia="宋体" w:cs="Times New Roman"/>
          <w:bCs/>
          <w:color w:val="000000"/>
          <w:sz w:val="24"/>
          <w:szCs w:val="24"/>
        </w:rPr>
        <w:t>单位进行</w:t>
      </w:r>
      <w:r>
        <w:rPr>
          <w:rFonts w:hint="eastAsia" w:ascii="宋体" w:hAnsi="宋体" w:eastAsia="宋体" w:cs="Times New Roman"/>
          <w:bCs/>
          <w:color w:val="000000"/>
          <w:sz w:val="24"/>
          <w:szCs w:val="24"/>
          <w:lang w:eastAsia="zh-CN"/>
        </w:rPr>
        <w:t>作业</w:t>
      </w:r>
      <w:r>
        <w:rPr>
          <w:rFonts w:hint="eastAsia" w:ascii="宋体" w:hAnsi="宋体" w:eastAsia="宋体" w:cs="Times New Roman"/>
          <w:bCs/>
          <w:color w:val="000000"/>
          <w:sz w:val="24"/>
          <w:szCs w:val="24"/>
        </w:rPr>
        <w:t>质量考评，并将</w:t>
      </w:r>
      <w:r>
        <w:rPr>
          <w:rFonts w:hint="eastAsia" w:ascii="宋体" w:hAnsi="宋体" w:eastAsia="宋体" w:cs="Times New Roman"/>
          <w:bCs/>
          <w:color w:val="000000"/>
          <w:sz w:val="24"/>
          <w:szCs w:val="24"/>
          <w:lang w:eastAsia="zh-CN"/>
        </w:rPr>
        <w:t>作业</w:t>
      </w:r>
      <w:r>
        <w:rPr>
          <w:rFonts w:hint="eastAsia" w:ascii="宋体" w:hAnsi="宋体" w:eastAsia="宋体" w:cs="Times New Roman"/>
          <w:bCs/>
          <w:color w:val="000000"/>
          <w:sz w:val="24"/>
          <w:szCs w:val="24"/>
        </w:rPr>
        <w:t>考评情况作为下一年度</w:t>
      </w:r>
      <w:r>
        <w:rPr>
          <w:rFonts w:hint="eastAsia" w:ascii="宋体" w:hAnsi="宋体" w:eastAsia="宋体" w:cs="Times New Roman"/>
          <w:bCs/>
          <w:color w:val="000000"/>
          <w:sz w:val="24"/>
          <w:szCs w:val="24"/>
          <w:lang w:eastAsia="zh-CN"/>
        </w:rPr>
        <w:t>协议</w:t>
      </w:r>
      <w:r>
        <w:rPr>
          <w:rFonts w:hint="eastAsia" w:ascii="宋体" w:hAnsi="宋体" w:eastAsia="宋体" w:cs="Times New Roman"/>
          <w:bCs/>
          <w:color w:val="000000"/>
          <w:sz w:val="24"/>
          <w:szCs w:val="24"/>
        </w:rPr>
        <w:t>签订的重要参考依据。本次竞选服务期内，</w:t>
      </w:r>
      <w:r>
        <w:rPr>
          <w:rFonts w:hint="eastAsia" w:ascii="宋体" w:hAnsi="宋体" w:eastAsia="宋体" w:cs="Times New Roman"/>
          <w:bCs/>
          <w:color w:val="000000"/>
          <w:sz w:val="24"/>
          <w:szCs w:val="24"/>
          <w:lang w:eastAsia="zh-CN"/>
        </w:rPr>
        <w:t>中选人至少</w:t>
      </w:r>
      <w:r>
        <w:rPr>
          <w:rFonts w:hint="eastAsia" w:ascii="宋体" w:hAnsi="宋体" w:eastAsia="宋体" w:cs="Times New Roman"/>
          <w:bCs/>
          <w:color w:val="000000"/>
          <w:sz w:val="24"/>
          <w:szCs w:val="24"/>
        </w:rPr>
        <w:t xml:space="preserve">保持 </w:t>
      </w:r>
      <w:r>
        <w:rPr>
          <w:rFonts w:hint="eastAsia" w:ascii="宋体" w:hAnsi="宋体" w:eastAsia="宋体" w:cs="Times New Roman"/>
          <w:bCs/>
          <w:color w:val="000000"/>
          <w:sz w:val="24"/>
          <w:szCs w:val="24"/>
          <w:lang w:val="en-US" w:eastAsia="zh-CN"/>
        </w:rPr>
        <w:t>2</w:t>
      </w:r>
      <w:r>
        <w:rPr>
          <w:rFonts w:hint="eastAsia" w:ascii="宋体" w:hAnsi="宋体" w:eastAsia="宋体" w:cs="Times New Roman"/>
          <w:bCs/>
          <w:color w:val="000000"/>
          <w:sz w:val="24"/>
          <w:szCs w:val="24"/>
        </w:rPr>
        <w:t xml:space="preserve"> 家及以上同步提供收运服务；若因考核不合格、主动退出、违规清退等原因导致</w:t>
      </w:r>
      <w:r>
        <w:rPr>
          <w:rFonts w:hint="eastAsia" w:ascii="宋体" w:hAnsi="宋体" w:eastAsia="宋体" w:cs="Times New Roman"/>
          <w:bCs/>
          <w:color w:val="000000"/>
          <w:sz w:val="24"/>
          <w:szCs w:val="24"/>
          <w:lang w:eastAsia="zh-CN"/>
        </w:rPr>
        <w:t>中选人</w:t>
      </w:r>
      <w:r>
        <w:rPr>
          <w:rFonts w:hint="eastAsia" w:ascii="宋体" w:hAnsi="宋体" w:eastAsia="宋体" w:cs="Times New Roman"/>
          <w:bCs/>
          <w:color w:val="000000"/>
          <w:sz w:val="24"/>
          <w:szCs w:val="24"/>
        </w:rPr>
        <w:t>数量不</w:t>
      </w:r>
      <w:r>
        <w:rPr>
          <w:rFonts w:hint="eastAsia" w:ascii="宋体" w:hAnsi="宋体" w:eastAsia="宋体" w:cs="Times New Roman"/>
          <w:bCs/>
          <w:color w:val="000000"/>
          <w:sz w:val="24"/>
          <w:szCs w:val="24"/>
          <w:highlight w:val="none"/>
        </w:rPr>
        <w:t xml:space="preserve">足 </w:t>
      </w:r>
      <w:r>
        <w:rPr>
          <w:rFonts w:hint="eastAsia" w:ascii="宋体" w:hAnsi="宋体" w:eastAsia="宋体" w:cs="Times New Roman"/>
          <w:bCs/>
          <w:color w:val="000000"/>
          <w:sz w:val="24"/>
          <w:szCs w:val="24"/>
          <w:highlight w:val="none"/>
          <w:lang w:val="en-US" w:eastAsia="zh-CN"/>
        </w:rPr>
        <w:t>2</w:t>
      </w:r>
      <w:r>
        <w:rPr>
          <w:rFonts w:hint="eastAsia" w:ascii="宋体" w:hAnsi="宋体" w:eastAsia="宋体" w:cs="Times New Roman"/>
          <w:bCs/>
          <w:color w:val="000000"/>
          <w:sz w:val="24"/>
          <w:szCs w:val="24"/>
          <w:highlight w:val="none"/>
        </w:rPr>
        <w:t>家，</w:t>
      </w:r>
      <w:r>
        <w:rPr>
          <w:rFonts w:hint="eastAsia" w:ascii="宋体" w:hAnsi="宋体" w:eastAsia="宋体" w:cs="Times New Roman"/>
          <w:bCs/>
          <w:color w:val="000000"/>
          <w:sz w:val="24"/>
          <w:szCs w:val="24"/>
          <w:highlight w:val="none"/>
          <w:lang w:eastAsia="zh-CN"/>
        </w:rPr>
        <w:t>竞选组织人</w:t>
      </w:r>
      <w:r>
        <w:rPr>
          <w:rFonts w:hint="eastAsia" w:ascii="宋体" w:hAnsi="宋体" w:eastAsia="宋体" w:cs="Times New Roman"/>
          <w:bCs/>
          <w:color w:val="000000"/>
          <w:sz w:val="24"/>
          <w:szCs w:val="24"/>
          <w:highlight w:val="none"/>
        </w:rPr>
        <w:t>将</w:t>
      </w:r>
      <w:r>
        <w:rPr>
          <w:rFonts w:hint="eastAsia" w:ascii="宋体" w:hAnsi="宋体" w:eastAsia="宋体" w:cs="Times New Roman"/>
          <w:bCs/>
          <w:color w:val="000000"/>
          <w:sz w:val="24"/>
          <w:szCs w:val="24"/>
          <w:highlight w:val="none"/>
          <w:lang w:val="en-US" w:eastAsia="zh-CN"/>
        </w:rPr>
        <w:t>有权</w:t>
      </w:r>
      <w:r>
        <w:rPr>
          <w:rFonts w:hint="eastAsia" w:ascii="宋体" w:hAnsi="宋体" w:eastAsia="宋体" w:cs="Times New Roman"/>
          <w:bCs/>
          <w:color w:val="000000"/>
          <w:sz w:val="24"/>
          <w:szCs w:val="24"/>
          <w:highlight w:val="none"/>
        </w:rPr>
        <w:t>重新组织竞选</w:t>
      </w:r>
      <w:r>
        <w:rPr>
          <w:rFonts w:hint="eastAsia" w:ascii="宋体" w:hAnsi="宋体" w:eastAsia="宋体" w:cs="Times New Roman"/>
          <w:bCs/>
          <w:color w:val="000000"/>
          <w:sz w:val="24"/>
          <w:szCs w:val="24"/>
          <w:highlight w:val="none"/>
          <w:lang w:eastAsia="zh-CN"/>
        </w:rPr>
        <w:t>，</w:t>
      </w:r>
      <w:r>
        <w:rPr>
          <w:rFonts w:hint="eastAsia" w:ascii="宋体" w:hAnsi="宋体" w:eastAsia="宋体" w:cs="Times New Roman"/>
          <w:bCs/>
          <w:color w:val="000000"/>
          <w:sz w:val="24"/>
          <w:szCs w:val="24"/>
          <w:highlight w:val="none"/>
        </w:rPr>
        <w:t>无需等待年度考核周期</w:t>
      </w:r>
      <w:r>
        <w:rPr>
          <w:rFonts w:hint="eastAsia" w:ascii="宋体" w:hAnsi="宋体" w:eastAsia="宋体" w:cs="Times New Roman"/>
          <w:bCs/>
          <w:color w:val="000000"/>
          <w:sz w:val="24"/>
          <w:szCs w:val="24"/>
          <w:highlight w:val="none"/>
          <w:lang w:eastAsia="zh-CN"/>
        </w:rPr>
        <w:t>。重新组织的中选人</w:t>
      </w:r>
      <w:r>
        <w:rPr>
          <w:rFonts w:hint="eastAsia" w:ascii="宋体" w:hAnsi="宋体" w:eastAsia="宋体" w:cs="Times New Roman"/>
          <w:bCs/>
          <w:color w:val="000000"/>
          <w:sz w:val="24"/>
          <w:szCs w:val="24"/>
          <w:highlight w:val="none"/>
          <w:lang w:val="en-US" w:eastAsia="zh-CN"/>
        </w:rPr>
        <w:t>确定并</w:t>
      </w:r>
      <w:r>
        <w:rPr>
          <w:rFonts w:hint="eastAsia" w:ascii="宋体" w:hAnsi="宋体" w:eastAsia="宋体" w:cs="Times New Roman"/>
          <w:bCs/>
          <w:color w:val="000000"/>
          <w:sz w:val="24"/>
          <w:szCs w:val="24"/>
          <w:highlight w:val="none"/>
          <w:lang w:eastAsia="zh-CN"/>
        </w:rPr>
        <w:t>入场时，</w:t>
      </w:r>
      <w:r>
        <w:rPr>
          <w:rFonts w:hint="eastAsia" w:ascii="宋体" w:hAnsi="宋体" w:eastAsia="宋体" w:cs="Times New Roman"/>
          <w:bCs/>
          <w:color w:val="000000"/>
          <w:sz w:val="24"/>
          <w:szCs w:val="24"/>
          <w:highlight w:val="none"/>
        </w:rPr>
        <w:t>本轮</w:t>
      </w:r>
      <w:r>
        <w:rPr>
          <w:rFonts w:hint="eastAsia" w:ascii="宋体" w:hAnsi="宋体" w:eastAsia="宋体" w:cs="Times New Roman"/>
          <w:bCs/>
          <w:color w:val="000000"/>
          <w:sz w:val="24"/>
          <w:szCs w:val="24"/>
          <w:highlight w:val="none"/>
          <w:lang w:val="en-US" w:eastAsia="zh-CN"/>
        </w:rPr>
        <w:t>剩余原中选人的</w:t>
      </w:r>
      <w:r>
        <w:rPr>
          <w:rFonts w:hint="eastAsia" w:ascii="宋体" w:hAnsi="宋体" w:eastAsia="宋体" w:cs="Times New Roman"/>
          <w:bCs/>
          <w:color w:val="000000"/>
          <w:sz w:val="24"/>
          <w:szCs w:val="24"/>
          <w:highlight w:val="none"/>
        </w:rPr>
        <w:t>服务同步结束。</w:t>
      </w:r>
      <w:r>
        <w:rPr>
          <w:rFonts w:hint="eastAsia" w:ascii="宋体" w:hAnsi="宋体" w:eastAsia="宋体" w:cs="Times New Roman"/>
          <w:bCs/>
          <w:color w:val="000000"/>
          <w:sz w:val="24"/>
          <w:szCs w:val="24"/>
          <w:highlight w:val="none"/>
          <w:lang w:val="en-US" w:eastAsia="zh-CN"/>
        </w:rPr>
        <w:t>重新竞选期间，原中选人不得拒绝提供收运服务。</w:t>
      </w:r>
    </w:p>
    <w:p w14:paraId="20019F9F">
      <w:pPr>
        <w:spacing w:line="400" w:lineRule="exact"/>
        <w:ind w:firstLine="480" w:firstLineChars="200"/>
        <w:rPr>
          <w:rFonts w:hint="eastAsia" w:ascii="宋体" w:hAnsi="宋体"/>
          <w:bCs/>
          <w:color w:val="000000"/>
          <w:sz w:val="24"/>
          <w:szCs w:val="24"/>
          <w:highlight w:val="none"/>
        </w:rPr>
      </w:pPr>
      <w:r>
        <w:rPr>
          <w:rFonts w:hint="eastAsia" w:ascii="宋体" w:hAnsi="宋体"/>
          <w:bCs/>
          <w:color w:val="000000"/>
          <w:sz w:val="24"/>
          <w:szCs w:val="24"/>
        </w:rPr>
        <w:t>注：</w:t>
      </w:r>
      <w:r>
        <w:rPr>
          <w:rFonts w:hint="eastAsia" w:ascii="宋体" w:hAnsi="宋体"/>
          <w:bCs/>
          <w:color w:val="000000"/>
          <w:sz w:val="24"/>
          <w:szCs w:val="24"/>
          <w:lang w:eastAsia="zh-CN"/>
        </w:rPr>
        <w:t>竞选组织人</w:t>
      </w:r>
      <w:r>
        <w:rPr>
          <w:rFonts w:hint="eastAsia" w:ascii="宋体" w:hAnsi="宋体"/>
          <w:bCs/>
          <w:color w:val="000000"/>
          <w:sz w:val="24"/>
          <w:szCs w:val="24"/>
        </w:rPr>
        <w:t>自</w:t>
      </w:r>
      <w:r>
        <w:rPr>
          <w:rFonts w:hint="eastAsia" w:ascii="宋体" w:hAnsi="宋体"/>
          <w:bCs/>
          <w:color w:val="000000"/>
          <w:sz w:val="24"/>
          <w:szCs w:val="24"/>
          <w:lang w:eastAsia="zh-CN"/>
        </w:rPr>
        <w:t>中选</w:t>
      </w:r>
      <w:r>
        <w:rPr>
          <w:rFonts w:hint="eastAsia" w:ascii="宋体" w:hAnsi="宋体"/>
          <w:bCs/>
          <w:color w:val="000000"/>
          <w:sz w:val="24"/>
          <w:szCs w:val="24"/>
        </w:rPr>
        <w:t>通知书发出之日起20个日历</w:t>
      </w:r>
      <w:r>
        <w:rPr>
          <w:rFonts w:hint="eastAsia" w:ascii="宋体" w:hAnsi="宋体"/>
          <w:bCs/>
          <w:color w:val="000000"/>
          <w:sz w:val="24"/>
          <w:szCs w:val="24"/>
          <w:lang w:eastAsia="zh-CN"/>
        </w:rPr>
        <w:t>天</w:t>
      </w:r>
      <w:r>
        <w:rPr>
          <w:rFonts w:hint="eastAsia" w:ascii="宋体" w:hAnsi="宋体"/>
          <w:bCs/>
          <w:color w:val="000000"/>
          <w:sz w:val="24"/>
          <w:szCs w:val="24"/>
        </w:rPr>
        <w:t>内，</w:t>
      </w:r>
      <w:r>
        <w:rPr>
          <w:rFonts w:hint="eastAsia" w:ascii="宋体" w:hAnsi="宋体" w:eastAsia="宋体" w:cs="Times New Roman"/>
          <w:color w:val="000000"/>
          <w:kern w:val="0"/>
          <w:sz w:val="24"/>
          <w:szCs w:val="24"/>
        </w:rPr>
        <w:t>按照</w:t>
      </w:r>
      <w:r>
        <w:rPr>
          <w:rFonts w:hint="eastAsia" w:ascii="宋体" w:hAnsi="宋体" w:eastAsia="宋体" w:cs="Times New Roman"/>
          <w:color w:val="000000"/>
          <w:kern w:val="0"/>
          <w:sz w:val="24"/>
          <w:szCs w:val="24"/>
          <w:lang w:eastAsia="zh-CN"/>
        </w:rPr>
        <w:t>竞选</w:t>
      </w:r>
      <w:r>
        <w:rPr>
          <w:rFonts w:hint="eastAsia" w:ascii="宋体" w:hAnsi="宋体" w:eastAsia="宋体" w:cs="Times New Roman"/>
          <w:color w:val="000000"/>
          <w:kern w:val="0"/>
          <w:sz w:val="24"/>
          <w:szCs w:val="24"/>
        </w:rPr>
        <w:t>文件和</w:t>
      </w:r>
      <w:r>
        <w:rPr>
          <w:rFonts w:hint="eastAsia" w:ascii="宋体" w:hAnsi="宋体" w:eastAsia="宋体" w:cs="Times New Roman"/>
          <w:color w:val="000000"/>
          <w:kern w:val="0"/>
          <w:sz w:val="24"/>
          <w:szCs w:val="24"/>
          <w:lang w:eastAsia="zh-CN"/>
        </w:rPr>
        <w:t>中选人</w:t>
      </w:r>
      <w:r>
        <w:rPr>
          <w:rFonts w:hint="eastAsia" w:ascii="宋体" w:hAnsi="宋体" w:eastAsia="宋体" w:cs="Times New Roman"/>
          <w:color w:val="000000"/>
          <w:kern w:val="0"/>
          <w:sz w:val="24"/>
          <w:szCs w:val="24"/>
        </w:rPr>
        <w:t>响应文件的约定，与</w:t>
      </w:r>
      <w:r>
        <w:rPr>
          <w:rFonts w:hint="eastAsia" w:ascii="宋体" w:hAnsi="宋体" w:eastAsia="宋体" w:cs="Times New Roman"/>
          <w:color w:val="000000"/>
          <w:kern w:val="0"/>
          <w:sz w:val="24"/>
          <w:szCs w:val="24"/>
          <w:lang w:eastAsia="zh-CN"/>
        </w:rPr>
        <w:t>中选人</w:t>
      </w:r>
      <w:r>
        <w:rPr>
          <w:rFonts w:hint="eastAsia" w:ascii="宋体" w:hAnsi="宋体" w:eastAsia="宋体" w:cs="Times New Roman"/>
          <w:color w:val="000000"/>
          <w:kern w:val="0"/>
          <w:sz w:val="24"/>
          <w:szCs w:val="24"/>
        </w:rPr>
        <w:t>签订书面</w:t>
      </w:r>
      <w:r>
        <w:rPr>
          <w:rFonts w:hint="eastAsia" w:ascii="宋体" w:hAnsi="宋体" w:eastAsia="宋体" w:cs="Times New Roman"/>
          <w:color w:val="000000"/>
          <w:kern w:val="0"/>
          <w:sz w:val="24"/>
          <w:szCs w:val="24"/>
          <w:lang w:eastAsia="zh-CN"/>
        </w:rPr>
        <w:t>协议，</w:t>
      </w:r>
      <w:r>
        <w:rPr>
          <w:rFonts w:hint="eastAsia" w:ascii="宋体" w:hAnsi="宋体"/>
          <w:bCs/>
          <w:color w:val="000000"/>
          <w:sz w:val="24"/>
          <w:szCs w:val="24"/>
        </w:rPr>
        <w:t>无正当理由不得拒绝或拖延协议签订，协议经双方签章后生效</w:t>
      </w:r>
      <w:r>
        <w:rPr>
          <w:rFonts w:hint="eastAsia" w:ascii="宋体" w:hAnsi="宋体"/>
          <w:bCs/>
          <w:color w:val="000000"/>
          <w:sz w:val="24"/>
          <w:szCs w:val="24"/>
          <w:highlight w:val="none"/>
        </w:rPr>
        <w:t>。</w:t>
      </w:r>
      <w:r>
        <w:rPr>
          <w:rFonts w:hint="eastAsia" w:ascii="宋体" w:hAnsi="宋体" w:eastAsia="宋体" w:cs="Times New Roman"/>
          <w:color w:val="000000"/>
          <w:kern w:val="0"/>
          <w:sz w:val="24"/>
          <w:szCs w:val="24"/>
          <w:highlight w:val="none"/>
        </w:rPr>
        <w:t>所签订的</w:t>
      </w:r>
      <w:r>
        <w:rPr>
          <w:rFonts w:hint="eastAsia" w:ascii="宋体" w:hAnsi="宋体" w:eastAsia="宋体" w:cs="Times New Roman"/>
          <w:color w:val="000000"/>
          <w:kern w:val="0"/>
          <w:sz w:val="24"/>
          <w:szCs w:val="24"/>
          <w:highlight w:val="none"/>
          <w:lang w:eastAsia="zh-CN"/>
        </w:rPr>
        <w:t>协议</w:t>
      </w:r>
      <w:r>
        <w:rPr>
          <w:rFonts w:hint="eastAsia" w:ascii="宋体" w:hAnsi="宋体" w:eastAsia="宋体" w:cs="Times New Roman"/>
          <w:color w:val="000000"/>
          <w:kern w:val="0"/>
          <w:sz w:val="24"/>
          <w:szCs w:val="24"/>
          <w:highlight w:val="none"/>
        </w:rPr>
        <w:t>不得对</w:t>
      </w:r>
      <w:r>
        <w:rPr>
          <w:rFonts w:hint="eastAsia" w:ascii="宋体" w:hAnsi="宋体" w:eastAsia="宋体" w:cs="Times New Roman"/>
          <w:color w:val="000000"/>
          <w:kern w:val="0"/>
          <w:sz w:val="24"/>
          <w:szCs w:val="24"/>
          <w:highlight w:val="none"/>
          <w:lang w:eastAsia="zh-CN"/>
        </w:rPr>
        <w:t>竞选</w:t>
      </w:r>
      <w:r>
        <w:rPr>
          <w:rFonts w:hint="eastAsia" w:ascii="宋体" w:hAnsi="宋体" w:eastAsia="宋体" w:cs="Times New Roman"/>
          <w:color w:val="000000"/>
          <w:kern w:val="0"/>
          <w:sz w:val="24"/>
          <w:szCs w:val="24"/>
          <w:highlight w:val="none"/>
        </w:rPr>
        <w:t>文件和</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的响应文件作实质性修改。</w:t>
      </w:r>
    </w:p>
    <w:p w14:paraId="254E8BEC">
      <w:pPr>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color w:val="000000"/>
          <w:sz w:val="24"/>
          <w:szCs w:val="24"/>
          <w:highlight w:val="none"/>
        </w:rPr>
      </w:pPr>
      <w:r>
        <w:rPr>
          <w:rFonts w:hint="eastAsia" w:ascii="宋体" w:hAnsi="宋体"/>
          <w:color w:val="000000"/>
          <w:sz w:val="24"/>
          <w:szCs w:val="24"/>
          <w:highlight w:val="none"/>
        </w:rPr>
        <w:t>（</w:t>
      </w:r>
      <w:r>
        <w:rPr>
          <w:rFonts w:hint="eastAsia" w:ascii="宋体" w:hAnsi="宋体"/>
          <w:color w:val="000000"/>
          <w:sz w:val="24"/>
          <w:szCs w:val="24"/>
          <w:highlight w:val="none"/>
          <w:lang w:eastAsia="zh-CN"/>
        </w:rPr>
        <w:t>六</w:t>
      </w:r>
      <w:r>
        <w:rPr>
          <w:rFonts w:hint="eastAsia" w:ascii="宋体" w:hAnsi="宋体"/>
          <w:color w:val="000000"/>
          <w:sz w:val="24"/>
          <w:szCs w:val="24"/>
          <w:highlight w:val="none"/>
        </w:rPr>
        <w:t>）确定</w:t>
      </w:r>
      <w:r>
        <w:rPr>
          <w:rFonts w:hint="eastAsia" w:ascii="宋体" w:hAnsi="宋体"/>
          <w:color w:val="000000"/>
          <w:sz w:val="24"/>
          <w:szCs w:val="24"/>
          <w:highlight w:val="none"/>
          <w:lang w:eastAsia="zh-CN"/>
        </w:rPr>
        <w:t>中选人</w:t>
      </w:r>
      <w:r>
        <w:rPr>
          <w:rFonts w:hint="eastAsia" w:ascii="宋体" w:hAnsi="宋体"/>
          <w:color w:val="000000"/>
          <w:sz w:val="24"/>
          <w:szCs w:val="24"/>
          <w:highlight w:val="none"/>
        </w:rPr>
        <w:t>的方式：</w:t>
      </w:r>
      <w:r>
        <w:rPr>
          <w:rFonts w:hint="eastAsia" w:ascii="宋体" w:hAnsi="宋体" w:eastAsia="宋体" w:cs="Times New Roman"/>
          <w:bCs/>
          <w:color w:val="000000"/>
          <w:sz w:val="24"/>
          <w:szCs w:val="24"/>
          <w:highlight w:val="none"/>
          <w:lang w:eastAsia="zh-CN"/>
        </w:rPr>
        <w:t>经评审委员会公开评审</w:t>
      </w:r>
      <w:r>
        <w:rPr>
          <w:rFonts w:hint="eastAsia" w:ascii="宋体" w:hAnsi="宋体" w:eastAsia="宋体" w:cs="Times New Roman"/>
          <w:bCs/>
          <w:color w:val="000000"/>
          <w:sz w:val="24"/>
          <w:szCs w:val="24"/>
          <w:highlight w:val="none"/>
          <w:lang w:val="en-US" w:eastAsia="zh-CN"/>
        </w:rPr>
        <w:t>后，分数在65分及以上的参与竞选竞选人为中选人</w:t>
      </w:r>
      <w:r>
        <w:rPr>
          <w:rFonts w:hint="eastAsia" w:ascii="宋体" w:hAnsi="宋体"/>
          <w:color w:val="000000"/>
          <w:sz w:val="24"/>
          <w:szCs w:val="24"/>
          <w:highlight w:val="none"/>
        </w:rPr>
        <w:t>。当中选人不足三家时，</w:t>
      </w:r>
      <w:r>
        <w:rPr>
          <w:rFonts w:hint="eastAsia" w:ascii="宋体" w:hAnsi="宋体"/>
          <w:color w:val="000000"/>
          <w:sz w:val="24"/>
          <w:szCs w:val="24"/>
          <w:highlight w:val="none"/>
          <w:lang w:eastAsia="zh-CN"/>
        </w:rPr>
        <w:t>竞选组织人</w:t>
      </w:r>
      <w:r>
        <w:rPr>
          <w:rFonts w:hint="eastAsia" w:ascii="宋体" w:hAnsi="宋体"/>
          <w:color w:val="000000"/>
          <w:sz w:val="24"/>
          <w:szCs w:val="24"/>
          <w:highlight w:val="none"/>
        </w:rPr>
        <w:t>将重新组织竞选。</w:t>
      </w:r>
    </w:p>
    <w:p w14:paraId="3CAE1343">
      <w:pPr>
        <w:pageBreakBefore w:val="0"/>
        <w:widowControl w:val="0"/>
        <w:kinsoku/>
        <w:wordWrap/>
        <w:overflowPunct/>
        <w:topLinePunct w:val="0"/>
        <w:autoSpaceDE/>
        <w:autoSpaceDN/>
        <w:bidi w:val="0"/>
        <w:spacing w:line="400" w:lineRule="exact"/>
        <w:ind w:firstLine="480" w:firstLineChars="200"/>
        <w:textAlignment w:val="auto"/>
        <w:rPr>
          <w:rFonts w:hint="eastAsia" w:ascii="宋体" w:hAnsi="宋体"/>
          <w:bCs/>
          <w:color w:val="000000"/>
          <w:sz w:val="24"/>
          <w:szCs w:val="24"/>
          <w:highlight w:val="none"/>
        </w:rPr>
      </w:pPr>
      <w:r>
        <w:rPr>
          <w:rFonts w:hint="eastAsia" w:ascii="宋体" w:hAnsi="宋体"/>
          <w:bCs/>
          <w:color w:val="000000"/>
          <w:sz w:val="24"/>
          <w:szCs w:val="24"/>
          <w:highlight w:val="none"/>
        </w:rPr>
        <w:t>（</w:t>
      </w:r>
      <w:r>
        <w:rPr>
          <w:rFonts w:hint="eastAsia" w:ascii="宋体" w:hAnsi="宋体"/>
          <w:bCs/>
          <w:color w:val="000000"/>
          <w:sz w:val="24"/>
          <w:szCs w:val="24"/>
          <w:highlight w:val="none"/>
          <w:lang w:eastAsia="zh-CN"/>
        </w:rPr>
        <w:t>七</w:t>
      </w:r>
      <w:r>
        <w:rPr>
          <w:rFonts w:hint="eastAsia" w:ascii="宋体" w:hAnsi="宋体"/>
          <w:bCs/>
          <w:color w:val="000000"/>
          <w:sz w:val="24"/>
          <w:szCs w:val="24"/>
          <w:highlight w:val="none"/>
        </w:rPr>
        <w:t>）</w:t>
      </w:r>
      <w:r>
        <w:rPr>
          <w:rFonts w:hint="eastAsia" w:ascii="宋体" w:hAnsi="宋体"/>
          <w:bCs/>
          <w:color w:val="000000"/>
          <w:sz w:val="24"/>
          <w:szCs w:val="24"/>
          <w:highlight w:val="none"/>
          <w:lang w:eastAsia="zh-CN"/>
        </w:rPr>
        <w:t>竞选</w:t>
      </w:r>
      <w:r>
        <w:rPr>
          <w:rFonts w:hint="eastAsia" w:ascii="宋体" w:hAnsi="宋体"/>
          <w:bCs/>
          <w:color w:val="000000"/>
          <w:sz w:val="24"/>
          <w:szCs w:val="24"/>
          <w:highlight w:val="none"/>
        </w:rPr>
        <w:t>标的对应的中小企业划分标准所属行业：</w:t>
      </w:r>
      <w:r>
        <w:rPr>
          <w:rFonts w:hint="eastAsia" w:ascii="宋体" w:hAnsi="宋体" w:eastAsia="宋体" w:cs="Times New Roman"/>
          <w:bCs/>
          <w:color w:val="000000"/>
          <w:sz w:val="24"/>
          <w:szCs w:val="24"/>
          <w:highlight w:val="none"/>
        </w:rPr>
        <w:t>交通运输业</w:t>
      </w:r>
      <w:r>
        <w:rPr>
          <w:rFonts w:hint="eastAsia" w:ascii="宋体" w:hAnsi="宋体"/>
          <w:bCs/>
          <w:color w:val="000000"/>
          <w:sz w:val="24"/>
          <w:szCs w:val="24"/>
          <w:highlight w:val="none"/>
        </w:rPr>
        <w:t>。</w:t>
      </w:r>
    </w:p>
    <w:p w14:paraId="1ACD3383">
      <w:pPr>
        <w:pStyle w:val="5"/>
        <w:pageBreakBefore w:val="0"/>
        <w:widowControl w:val="0"/>
        <w:kinsoku/>
        <w:wordWrap/>
        <w:overflowPunct/>
        <w:topLinePunct w:val="0"/>
        <w:autoSpaceDE/>
        <w:autoSpaceDN/>
        <w:bidi w:val="0"/>
        <w:spacing w:line="400" w:lineRule="exact"/>
        <w:ind w:firstLine="482" w:firstLineChars="200"/>
        <w:textAlignment w:val="auto"/>
        <w:rPr>
          <w:rFonts w:hint="eastAsia"/>
          <w:b/>
          <w:color w:val="000000"/>
          <w:sz w:val="24"/>
          <w:highlight w:val="none"/>
        </w:rPr>
      </w:pPr>
      <w:bookmarkStart w:id="4" w:name="_Toc30955"/>
      <w:bookmarkStart w:id="5" w:name="_Toc13617"/>
      <w:bookmarkStart w:id="6" w:name="_Toc23530"/>
      <w:r>
        <w:rPr>
          <w:rFonts w:hint="eastAsia"/>
          <w:b/>
          <w:color w:val="000000"/>
          <w:sz w:val="24"/>
          <w:highlight w:val="none"/>
        </w:rPr>
        <w:t>二、</w:t>
      </w:r>
      <w:r>
        <w:rPr>
          <w:rFonts w:hint="eastAsia"/>
          <w:b/>
          <w:color w:val="000000"/>
          <w:sz w:val="24"/>
          <w:highlight w:val="none"/>
          <w:lang w:eastAsia="zh-CN"/>
        </w:rPr>
        <w:t>竞选人</w:t>
      </w:r>
      <w:r>
        <w:rPr>
          <w:rFonts w:hint="eastAsia"/>
          <w:b/>
          <w:color w:val="000000"/>
          <w:sz w:val="24"/>
          <w:highlight w:val="none"/>
        </w:rPr>
        <w:t>的资格条件</w:t>
      </w:r>
      <w:bookmarkEnd w:id="4"/>
      <w:bookmarkEnd w:id="5"/>
      <w:bookmarkEnd w:id="6"/>
    </w:p>
    <w:p w14:paraId="1DAD9900">
      <w:pPr>
        <w:pStyle w:val="2"/>
        <w:pageBreakBefore w:val="0"/>
        <w:widowControl w:val="0"/>
        <w:kinsoku/>
        <w:wordWrap/>
        <w:overflowPunct/>
        <w:topLinePunct w:val="0"/>
        <w:autoSpaceDE/>
        <w:autoSpaceDN/>
        <w:bidi w:val="0"/>
        <w:spacing w:line="400" w:lineRule="exact"/>
        <w:ind w:leftChars="0" w:right="210" w:firstLine="480" w:firstLineChars="200"/>
        <w:jc w:val="left"/>
        <w:textAlignment w:val="auto"/>
        <w:rPr>
          <w:rFonts w:hint="eastAsia" w:ascii="宋体" w:hAnsi="宋体" w:eastAsia="宋体" w:cs="Times New Roman"/>
          <w:bCs/>
          <w:color w:val="000000"/>
          <w:sz w:val="24"/>
          <w:szCs w:val="24"/>
          <w:highlight w:val="none"/>
        </w:rPr>
      </w:pPr>
      <w:r>
        <w:rPr>
          <w:rFonts w:hint="eastAsia" w:ascii="宋体" w:hAnsi="宋体" w:eastAsia="宋体" w:cs="Times New Roman"/>
          <w:bCs/>
          <w:color w:val="000000"/>
          <w:sz w:val="24"/>
          <w:szCs w:val="24"/>
          <w:highlight w:val="none"/>
        </w:rPr>
        <w:t>（一）参照政府</w:t>
      </w:r>
      <w:r>
        <w:rPr>
          <w:rFonts w:hint="eastAsia" w:ascii="宋体" w:hAnsi="宋体" w:eastAsia="宋体" w:cs="Times New Roman"/>
          <w:bCs/>
          <w:color w:val="000000"/>
          <w:sz w:val="24"/>
          <w:szCs w:val="24"/>
          <w:highlight w:val="none"/>
          <w:lang w:eastAsia="zh-CN"/>
        </w:rPr>
        <w:t>采购</w:t>
      </w:r>
      <w:r>
        <w:rPr>
          <w:rFonts w:hint="eastAsia" w:ascii="宋体" w:hAnsi="宋体" w:eastAsia="宋体" w:cs="Times New Roman"/>
          <w:bCs/>
          <w:color w:val="000000"/>
          <w:sz w:val="24"/>
          <w:szCs w:val="24"/>
          <w:highlight w:val="none"/>
        </w:rPr>
        <w:t>法第二十二条规定的基本条件</w:t>
      </w:r>
      <w:r>
        <w:rPr>
          <w:rFonts w:hint="eastAsia" w:ascii="宋体" w:hAnsi="宋体" w:cs="Times New Roman"/>
          <w:bCs/>
          <w:color w:val="000000"/>
          <w:sz w:val="24"/>
          <w:szCs w:val="24"/>
          <w:highlight w:val="none"/>
          <w:lang w:eastAsia="zh-CN"/>
        </w:rPr>
        <w:t>和</w:t>
      </w:r>
      <w:r>
        <w:rPr>
          <w:rFonts w:hint="eastAsia" w:ascii="宋体" w:hAnsi="宋体" w:eastAsia="宋体" w:cs="Times New Roman"/>
          <w:bCs/>
          <w:color w:val="000000"/>
          <w:sz w:val="24"/>
          <w:szCs w:val="24"/>
          <w:highlight w:val="none"/>
        </w:rPr>
        <w:t>《重庆市废弃食用油脂管理规定（试行）》。</w:t>
      </w:r>
    </w:p>
    <w:p w14:paraId="33827E11">
      <w:pPr>
        <w:spacing w:line="400" w:lineRule="exact"/>
        <w:ind w:firstLine="480" w:firstLineChars="200"/>
        <w:rPr>
          <w:rFonts w:hint="eastAsia" w:ascii="宋体" w:hAnsi="宋体" w:eastAsia="宋体" w:cs="Times New Roman"/>
          <w:bCs/>
          <w:color w:val="000000"/>
          <w:sz w:val="24"/>
          <w:szCs w:val="24"/>
          <w:highlight w:val="none"/>
        </w:rPr>
      </w:pPr>
      <w:r>
        <w:rPr>
          <w:rFonts w:hint="eastAsia" w:ascii="宋体" w:hAnsi="宋体" w:eastAsia="宋体" w:cs="Times New Roman"/>
          <w:bCs/>
          <w:color w:val="000000"/>
          <w:sz w:val="24"/>
          <w:szCs w:val="24"/>
          <w:highlight w:val="none"/>
        </w:rPr>
        <w:t>1.具有独立承担民事责任能力</w:t>
      </w:r>
      <w:r>
        <w:rPr>
          <w:rFonts w:hint="eastAsia" w:ascii="宋体" w:hAnsi="宋体" w:cs="Times New Roman"/>
          <w:bCs/>
          <w:color w:val="000000"/>
          <w:sz w:val="24"/>
          <w:szCs w:val="24"/>
          <w:highlight w:val="none"/>
          <w:lang w:eastAsia="zh-CN"/>
        </w:rPr>
        <w:t>的企（事）业单位或社会团体</w:t>
      </w:r>
      <w:r>
        <w:rPr>
          <w:rFonts w:hint="eastAsia" w:ascii="宋体" w:hAnsi="宋体" w:eastAsia="宋体" w:cs="Times New Roman"/>
          <w:bCs/>
          <w:color w:val="000000"/>
          <w:sz w:val="24"/>
          <w:szCs w:val="24"/>
          <w:highlight w:val="none"/>
        </w:rPr>
        <w:t>；</w:t>
      </w:r>
    </w:p>
    <w:p w14:paraId="045E6511">
      <w:pPr>
        <w:spacing w:line="400" w:lineRule="exact"/>
        <w:ind w:firstLine="480" w:firstLineChars="200"/>
        <w:rPr>
          <w:rFonts w:hint="eastAsia" w:ascii="宋体" w:hAnsi="宋体" w:eastAsia="宋体" w:cs="Times New Roman"/>
          <w:bCs/>
          <w:color w:val="000000"/>
          <w:sz w:val="24"/>
          <w:szCs w:val="24"/>
        </w:rPr>
      </w:pPr>
      <w:r>
        <w:rPr>
          <w:rFonts w:hint="eastAsia" w:ascii="宋体" w:hAnsi="宋体" w:eastAsia="宋体" w:cs="Times New Roman"/>
          <w:bCs/>
          <w:color w:val="000000"/>
          <w:sz w:val="24"/>
          <w:szCs w:val="24"/>
        </w:rPr>
        <w:t>2.具有良好的商业信誉和健全的财务会计制度；</w:t>
      </w:r>
    </w:p>
    <w:p w14:paraId="5AAA6C5F">
      <w:pPr>
        <w:spacing w:line="400" w:lineRule="exact"/>
        <w:ind w:firstLine="480" w:firstLineChars="200"/>
        <w:rPr>
          <w:rFonts w:hint="eastAsia" w:ascii="宋体" w:hAnsi="宋体" w:eastAsia="宋体" w:cs="Times New Roman"/>
          <w:bCs/>
          <w:color w:val="000000"/>
          <w:sz w:val="24"/>
          <w:szCs w:val="24"/>
        </w:rPr>
      </w:pPr>
      <w:r>
        <w:rPr>
          <w:rFonts w:hint="eastAsia" w:ascii="宋体" w:hAnsi="宋体" w:eastAsia="宋体" w:cs="Times New Roman"/>
          <w:bCs/>
          <w:color w:val="000000"/>
          <w:sz w:val="24"/>
          <w:szCs w:val="24"/>
        </w:rPr>
        <w:t>3.具有履行</w:t>
      </w:r>
      <w:r>
        <w:rPr>
          <w:rFonts w:hint="eastAsia" w:ascii="宋体" w:hAnsi="宋体" w:eastAsia="宋体" w:cs="Times New Roman"/>
          <w:bCs/>
          <w:color w:val="000000"/>
          <w:sz w:val="24"/>
          <w:szCs w:val="24"/>
          <w:lang w:eastAsia="zh-CN"/>
        </w:rPr>
        <w:t>协议</w:t>
      </w:r>
      <w:r>
        <w:rPr>
          <w:rFonts w:hint="eastAsia" w:ascii="宋体" w:hAnsi="宋体" w:eastAsia="宋体" w:cs="Times New Roman"/>
          <w:bCs/>
          <w:color w:val="000000"/>
          <w:sz w:val="24"/>
          <w:szCs w:val="24"/>
        </w:rPr>
        <w:t>所必需的设备和专业技术能力；</w:t>
      </w:r>
    </w:p>
    <w:p w14:paraId="6BFC710D">
      <w:pPr>
        <w:spacing w:line="400" w:lineRule="exact"/>
        <w:ind w:firstLine="480" w:firstLineChars="200"/>
        <w:rPr>
          <w:rFonts w:hint="eastAsia" w:ascii="宋体" w:hAnsi="宋体" w:eastAsia="宋体" w:cs="Times New Roman"/>
          <w:bCs/>
          <w:color w:val="000000"/>
          <w:sz w:val="24"/>
          <w:szCs w:val="24"/>
        </w:rPr>
      </w:pPr>
      <w:r>
        <w:rPr>
          <w:rFonts w:hint="eastAsia" w:ascii="宋体" w:hAnsi="宋体" w:eastAsia="宋体" w:cs="Times New Roman"/>
          <w:bCs/>
          <w:color w:val="000000"/>
          <w:sz w:val="24"/>
          <w:szCs w:val="24"/>
        </w:rPr>
        <w:t>4.有依法缴纳税收和社会保障金的良好记录；</w:t>
      </w:r>
    </w:p>
    <w:p w14:paraId="54FC6996">
      <w:pPr>
        <w:spacing w:line="400" w:lineRule="exact"/>
        <w:ind w:firstLine="480" w:firstLineChars="200"/>
        <w:rPr>
          <w:rFonts w:hint="eastAsia" w:ascii="宋体" w:hAnsi="宋体" w:eastAsia="宋体" w:cs="Times New Roman"/>
          <w:bCs/>
          <w:color w:val="000000"/>
          <w:sz w:val="24"/>
          <w:szCs w:val="24"/>
        </w:rPr>
      </w:pPr>
      <w:r>
        <w:rPr>
          <w:rFonts w:hint="eastAsia" w:ascii="宋体" w:hAnsi="宋体" w:eastAsia="宋体" w:cs="Times New Roman"/>
          <w:bCs/>
          <w:color w:val="000000"/>
          <w:sz w:val="24"/>
          <w:szCs w:val="24"/>
        </w:rPr>
        <w:t>5.参加政府</w:t>
      </w:r>
      <w:r>
        <w:rPr>
          <w:rFonts w:hint="eastAsia" w:ascii="宋体" w:hAnsi="宋体" w:eastAsia="宋体" w:cs="Times New Roman"/>
          <w:bCs/>
          <w:color w:val="000000"/>
          <w:sz w:val="24"/>
          <w:szCs w:val="24"/>
          <w:lang w:eastAsia="zh-CN"/>
        </w:rPr>
        <w:t>竞选</w:t>
      </w:r>
      <w:r>
        <w:rPr>
          <w:rFonts w:hint="eastAsia" w:ascii="宋体" w:hAnsi="宋体" w:eastAsia="宋体" w:cs="Times New Roman"/>
          <w:bCs/>
          <w:color w:val="000000"/>
          <w:sz w:val="24"/>
          <w:szCs w:val="24"/>
        </w:rPr>
        <w:t>活动前三年内，在经营活动中没有重大违法记录；</w:t>
      </w:r>
    </w:p>
    <w:p w14:paraId="1CC8E3EF">
      <w:pPr>
        <w:spacing w:line="400" w:lineRule="exact"/>
        <w:ind w:firstLine="480" w:firstLineChars="200"/>
        <w:rPr>
          <w:rFonts w:hint="eastAsia" w:ascii="宋体" w:hAnsi="宋体" w:eastAsia="宋体" w:cs="Times New Roman"/>
          <w:bCs/>
          <w:color w:val="000000"/>
          <w:sz w:val="24"/>
          <w:szCs w:val="24"/>
        </w:rPr>
      </w:pPr>
      <w:r>
        <w:rPr>
          <w:rFonts w:hint="eastAsia" w:ascii="宋体" w:hAnsi="宋体" w:eastAsia="宋体" w:cs="Times New Roman"/>
          <w:bCs/>
          <w:color w:val="000000"/>
          <w:sz w:val="24"/>
          <w:szCs w:val="24"/>
        </w:rPr>
        <w:t>6.法律、行政法规规定的其他条件。</w:t>
      </w:r>
    </w:p>
    <w:p w14:paraId="480D2647">
      <w:pPr>
        <w:spacing w:line="400" w:lineRule="exact"/>
        <w:ind w:firstLine="480" w:firstLineChars="200"/>
        <w:rPr>
          <w:rFonts w:hint="eastAsia" w:ascii="宋体" w:hAnsi="宋体" w:eastAsia="宋体" w:cs="Times New Roman"/>
          <w:bCs/>
          <w:color w:val="000000"/>
          <w:sz w:val="24"/>
          <w:szCs w:val="24"/>
          <w:lang w:eastAsia="zh-CN"/>
        </w:rPr>
      </w:pPr>
      <w:bookmarkStart w:id="7" w:name="_Toc12430"/>
      <w:bookmarkStart w:id="8" w:name="_Toc5614"/>
      <w:bookmarkStart w:id="9" w:name="_Toc31682"/>
      <w:r>
        <w:rPr>
          <w:rFonts w:hint="eastAsia" w:ascii="宋体" w:hAnsi="宋体" w:eastAsia="宋体" w:cs="Times New Roman"/>
          <w:bCs/>
          <w:color w:val="000000"/>
          <w:sz w:val="24"/>
          <w:szCs w:val="24"/>
          <w:lang w:eastAsia="zh-CN"/>
        </w:rPr>
        <w:t>（二）</w:t>
      </w:r>
      <w:r>
        <w:rPr>
          <w:rFonts w:hint="eastAsia" w:ascii="宋体" w:hAnsi="宋体" w:eastAsia="宋体" w:cs="Times New Roman"/>
          <w:bCs/>
          <w:color w:val="000000"/>
          <w:sz w:val="24"/>
          <w:szCs w:val="24"/>
          <w:lang w:val="zh-CN"/>
        </w:rPr>
        <w:t>特定资格条件：无。</w:t>
      </w:r>
    </w:p>
    <w:p w14:paraId="4595E62D">
      <w:pPr>
        <w:spacing w:line="400" w:lineRule="exact"/>
        <w:ind w:firstLine="482" w:firstLineChars="200"/>
        <w:outlineLvl w:val="1"/>
        <w:rPr>
          <w:rFonts w:hint="eastAsia"/>
          <w:b/>
          <w:color w:val="000000"/>
          <w:sz w:val="24"/>
        </w:rPr>
      </w:pPr>
      <w:r>
        <w:rPr>
          <w:rFonts w:hint="eastAsia" w:ascii="宋体" w:hAnsi="宋体" w:eastAsia="宋体" w:cs="Times New Roman"/>
          <w:b/>
          <w:color w:val="000000"/>
          <w:kern w:val="2"/>
          <w:sz w:val="24"/>
          <w:lang w:val="en-US" w:eastAsia="zh-CN" w:bidi="ar-SA"/>
        </w:rPr>
        <w:t>三、获取竞选文件的时间、地点和方式</w:t>
      </w:r>
      <w:bookmarkEnd w:id="7"/>
      <w:bookmarkEnd w:id="8"/>
      <w:bookmarkEnd w:id="9"/>
    </w:p>
    <w:p w14:paraId="07DC63A6">
      <w:pPr>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（一）</w:t>
      </w:r>
      <w:r>
        <w:rPr>
          <w:rFonts w:hint="eastAsia" w:ascii="宋体" w:hAnsi="宋体"/>
          <w:color w:val="000000"/>
          <w:sz w:val="24"/>
          <w:szCs w:val="24"/>
          <w:lang w:eastAsia="zh-CN"/>
        </w:rPr>
        <w:t>竞选</w:t>
      </w:r>
      <w:r>
        <w:rPr>
          <w:rFonts w:hint="eastAsia" w:ascii="宋体" w:hAnsi="宋体"/>
          <w:color w:val="000000"/>
          <w:sz w:val="24"/>
          <w:szCs w:val="24"/>
        </w:rPr>
        <w:t>文件公告期限：自</w:t>
      </w:r>
      <w:r>
        <w:rPr>
          <w:rFonts w:hint="eastAsia" w:ascii="宋体" w:hAnsi="宋体"/>
          <w:color w:val="000000"/>
          <w:sz w:val="24"/>
          <w:szCs w:val="24"/>
          <w:lang w:eastAsia="zh-CN"/>
        </w:rPr>
        <w:t>竞选</w:t>
      </w:r>
      <w:r>
        <w:rPr>
          <w:rFonts w:hint="eastAsia" w:ascii="宋体" w:hAnsi="宋体"/>
          <w:color w:val="000000"/>
          <w:sz w:val="24"/>
          <w:szCs w:val="24"/>
        </w:rPr>
        <w:t>公告发布之日起五个工作日。</w:t>
      </w:r>
    </w:p>
    <w:p w14:paraId="5B3C807C">
      <w:pPr>
        <w:spacing w:line="400" w:lineRule="exact"/>
        <w:ind w:firstLine="480" w:firstLineChars="200"/>
        <w:rPr>
          <w:rFonts w:hint="eastAsia" w:ascii="宋体" w:hAnsi="宋体"/>
          <w:bCs/>
          <w:color w:val="000000"/>
          <w:sz w:val="24"/>
          <w:szCs w:val="24"/>
        </w:rPr>
      </w:pPr>
      <w:r>
        <w:rPr>
          <w:rFonts w:hint="eastAsia" w:ascii="宋体" w:hAnsi="宋体"/>
          <w:bCs/>
          <w:color w:val="000000"/>
          <w:sz w:val="24"/>
          <w:szCs w:val="24"/>
        </w:rPr>
        <w:t>（二）</w:t>
      </w:r>
      <w:r>
        <w:rPr>
          <w:rFonts w:hint="eastAsia" w:ascii="宋体" w:hAnsi="宋体"/>
          <w:bCs/>
          <w:color w:val="000000"/>
          <w:sz w:val="24"/>
          <w:szCs w:val="24"/>
          <w:lang w:eastAsia="zh-CN"/>
        </w:rPr>
        <w:t>竞选</w:t>
      </w:r>
      <w:r>
        <w:rPr>
          <w:rFonts w:hint="eastAsia" w:ascii="宋体" w:hAnsi="宋体"/>
          <w:bCs/>
          <w:color w:val="000000"/>
          <w:sz w:val="24"/>
          <w:szCs w:val="24"/>
        </w:rPr>
        <w:t>文件获取期限：2025年</w:t>
      </w:r>
      <w:r>
        <w:rPr>
          <w:rFonts w:hint="eastAsia" w:ascii="宋体" w:hAnsi="宋体"/>
          <w:bCs/>
          <w:color w:val="000000"/>
          <w:sz w:val="24"/>
          <w:szCs w:val="24"/>
          <w:lang w:val="en-US" w:eastAsia="zh-CN"/>
        </w:rPr>
        <w:t>12</w:t>
      </w:r>
      <w:r>
        <w:rPr>
          <w:rFonts w:hint="eastAsia" w:ascii="宋体" w:hAnsi="宋体"/>
          <w:bCs/>
          <w:color w:val="000000"/>
          <w:sz w:val="24"/>
          <w:szCs w:val="24"/>
        </w:rPr>
        <w:t>月</w:t>
      </w:r>
      <w:r>
        <w:rPr>
          <w:rFonts w:hint="eastAsia" w:ascii="宋体" w:hAnsi="宋体"/>
          <w:bCs/>
          <w:color w:val="000000"/>
          <w:sz w:val="24"/>
          <w:szCs w:val="24"/>
          <w:lang w:val="en-US" w:eastAsia="zh-CN"/>
        </w:rPr>
        <w:t>8</w:t>
      </w:r>
      <w:r>
        <w:rPr>
          <w:rFonts w:hint="eastAsia" w:ascii="宋体" w:hAnsi="宋体"/>
          <w:bCs/>
          <w:color w:val="000000"/>
          <w:sz w:val="24"/>
          <w:szCs w:val="24"/>
        </w:rPr>
        <w:t>日至2025年</w:t>
      </w:r>
      <w:r>
        <w:rPr>
          <w:rFonts w:hint="eastAsia" w:ascii="宋体" w:hAnsi="宋体"/>
          <w:bCs/>
          <w:color w:val="000000"/>
          <w:sz w:val="24"/>
          <w:szCs w:val="24"/>
          <w:lang w:val="en-US" w:eastAsia="zh-CN"/>
        </w:rPr>
        <w:t>12</w:t>
      </w:r>
      <w:r>
        <w:rPr>
          <w:rFonts w:hint="eastAsia" w:ascii="宋体" w:hAnsi="宋体"/>
          <w:bCs/>
          <w:color w:val="000000"/>
          <w:sz w:val="24"/>
          <w:szCs w:val="24"/>
        </w:rPr>
        <w:t>月</w:t>
      </w:r>
      <w:r>
        <w:rPr>
          <w:rFonts w:hint="eastAsia" w:ascii="宋体" w:hAnsi="宋体"/>
          <w:bCs/>
          <w:color w:val="000000"/>
          <w:sz w:val="24"/>
          <w:szCs w:val="24"/>
          <w:lang w:val="en-US" w:eastAsia="zh-CN"/>
        </w:rPr>
        <w:t>15</w:t>
      </w:r>
      <w:r>
        <w:rPr>
          <w:rFonts w:hint="eastAsia" w:ascii="宋体" w:hAnsi="宋体"/>
          <w:bCs/>
          <w:color w:val="000000"/>
          <w:sz w:val="24"/>
          <w:szCs w:val="24"/>
        </w:rPr>
        <w:t>日。</w:t>
      </w:r>
    </w:p>
    <w:p w14:paraId="0EDD6ABC">
      <w:pPr>
        <w:spacing w:line="400" w:lineRule="exact"/>
        <w:ind w:firstLine="480" w:firstLineChars="200"/>
        <w:rPr>
          <w:rFonts w:hint="eastAsia" w:ascii="宋体" w:hAnsi="宋体" w:eastAsia="宋体" w:cs="Times New Roman"/>
          <w:color w:val="000000"/>
          <w:sz w:val="24"/>
          <w:szCs w:val="24"/>
          <w:lang w:val="en-US" w:eastAsia="zh-CN"/>
        </w:rPr>
      </w:pPr>
      <w:r>
        <w:rPr>
          <w:rFonts w:hint="eastAsia" w:ascii="宋体" w:hAnsi="宋体"/>
          <w:color w:val="000000"/>
          <w:sz w:val="24"/>
          <w:szCs w:val="24"/>
        </w:rPr>
        <w:t>（三）</w:t>
      </w:r>
      <w:r>
        <w:rPr>
          <w:rFonts w:hint="eastAsia" w:ascii="宋体" w:hAnsi="宋体"/>
          <w:color w:val="000000"/>
          <w:sz w:val="24"/>
          <w:szCs w:val="24"/>
          <w:lang w:eastAsia="zh-CN"/>
        </w:rPr>
        <w:t>竞选</w:t>
      </w:r>
      <w:r>
        <w:rPr>
          <w:rFonts w:hint="eastAsia" w:ascii="宋体" w:hAnsi="宋体"/>
          <w:color w:val="000000"/>
          <w:sz w:val="24"/>
          <w:szCs w:val="24"/>
        </w:rPr>
        <w:t>文</w:t>
      </w:r>
      <w:r>
        <w:rPr>
          <w:rFonts w:hint="eastAsia" w:ascii="宋体" w:hAnsi="宋体" w:eastAsia="宋体" w:cs="Times New Roman"/>
          <w:color w:val="000000"/>
          <w:sz w:val="24"/>
          <w:szCs w:val="24"/>
        </w:rPr>
        <w:t>件获取地点和方式：</w:t>
      </w:r>
    </w:p>
    <w:p w14:paraId="57CD6B5B">
      <w:pPr>
        <w:spacing w:line="400" w:lineRule="exact"/>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凡有意参加竞</w:t>
      </w:r>
      <w:r>
        <w:rPr>
          <w:rFonts w:hint="eastAsia" w:ascii="宋体" w:hAnsi="宋体" w:eastAsia="宋体" w:cs="Times New Roman"/>
          <w:color w:val="000000"/>
          <w:sz w:val="24"/>
          <w:szCs w:val="24"/>
          <w:highlight w:val="none"/>
          <w:lang w:val="en-US" w:eastAsia="zh-CN"/>
        </w:rPr>
        <w:t>选的</w:t>
      </w:r>
      <w:r>
        <w:rPr>
          <w:rFonts w:hint="eastAsia" w:ascii="宋体" w:hAnsi="宋体" w:cs="Times New Roman"/>
          <w:color w:val="000000"/>
          <w:sz w:val="24"/>
          <w:szCs w:val="24"/>
          <w:highlight w:val="none"/>
          <w:lang w:val="en-US" w:eastAsia="zh-CN"/>
        </w:rPr>
        <w:t>潜在</w:t>
      </w:r>
      <w:r>
        <w:rPr>
          <w:rFonts w:hint="eastAsia" w:ascii="宋体" w:hAnsi="宋体" w:eastAsia="宋体" w:cs="Times New Roman"/>
          <w:color w:val="000000"/>
          <w:sz w:val="24"/>
          <w:szCs w:val="24"/>
          <w:highlight w:val="none"/>
          <w:lang w:val="en-US" w:eastAsia="zh-CN"/>
        </w:rPr>
        <w:t>竞选人，请在九龙坡区城市管理局门户网站（https://cqjlp.gov.cn/bmjz/qzfbm_97119/qcgj_97723/）下</w:t>
      </w:r>
      <w:r>
        <w:rPr>
          <w:rFonts w:hint="eastAsia" w:ascii="宋体" w:hAnsi="宋体" w:eastAsia="宋体" w:cs="Times New Roman"/>
          <w:color w:val="000000"/>
          <w:sz w:val="24"/>
          <w:szCs w:val="24"/>
          <w:lang w:val="en-US" w:eastAsia="zh-CN"/>
        </w:rPr>
        <w:t>载本项目竞选文件、补遗文件（如有）等评审前公布的所有项目资料，无论潜在竞选人领取或下载与否，均视为已知晓所有竞选实质性要求内容。</w:t>
      </w:r>
    </w:p>
    <w:p w14:paraId="32BDDB10">
      <w:pPr>
        <w:spacing w:line="400" w:lineRule="exact"/>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报名</w:t>
      </w:r>
      <w:r>
        <w:rPr>
          <w:rFonts w:hint="default" w:ascii="宋体" w:hAnsi="宋体" w:eastAsia="宋体" w:cs="Times New Roman"/>
          <w:color w:val="000000"/>
          <w:sz w:val="24"/>
          <w:szCs w:val="24"/>
          <w:lang w:val="en-US" w:eastAsia="zh-CN"/>
        </w:rPr>
        <w:t>方式：</w:t>
      </w:r>
      <w:r>
        <w:rPr>
          <w:rFonts w:hint="eastAsia" w:ascii="宋体" w:hAnsi="宋体" w:eastAsia="宋体" w:cs="Times New Roman"/>
          <w:color w:val="000000"/>
          <w:sz w:val="24"/>
          <w:szCs w:val="24"/>
          <w:lang w:val="en-US" w:eastAsia="zh-CN"/>
        </w:rPr>
        <w:t>凡有意参与竞选的竞选人，请在竞选文件获取期限内将《竞选文件登记表》（加盖公章）扫描后发送至214140340@qq.com(邮箱），否则响应文件将不予接收</w:t>
      </w:r>
      <w:r>
        <w:rPr>
          <w:rFonts w:hint="default" w:ascii="宋体" w:hAnsi="宋体" w:eastAsia="宋体" w:cs="Times New Roman"/>
          <w:color w:val="000000"/>
          <w:sz w:val="24"/>
          <w:szCs w:val="24"/>
          <w:lang w:val="en-US" w:eastAsia="zh-CN"/>
        </w:rPr>
        <w:t>。</w:t>
      </w:r>
    </w:p>
    <w:p w14:paraId="6A4E6B86">
      <w:pPr>
        <w:pStyle w:val="5"/>
        <w:spacing w:line="400" w:lineRule="exact"/>
        <w:ind w:firstLine="482" w:firstLineChars="200"/>
        <w:rPr>
          <w:rFonts w:hint="eastAsia"/>
          <w:b/>
          <w:color w:val="000000"/>
          <w:sz w:val="24"/>
        </w:rPr>
      </w:pPr>
      <w:bookmarkStart w:id="10" w:name="_Toc105687195"/>
      <w:bookmarkStart w:id="11" w:name="_Toc32235"/>
      <w:bookmarkStart w:id="12" w:name="_Toc19364"/>
      <w:bookmarkStart w:id="13" w:name="_Toc7147"/>
      <w:bookmarkStart w:id="14" w:name="_Toc23974"/>
      <w:r>
        <w:rPr>
          <w:rFonts w:hint="eastAsia"/>
          <w:b/>
          <w:color w:val="000000"/>
          <w:sz w:val="24"/>
        </w:rPr>
        <w:t>四、</w:t>
      </w:r>
      <w:bookmarkEnd w:id="10"/>
      <w:r>
        <w:rPr>
          <w:rFonts w:hint="eastAsia"/>
          <w:b/>
          <w:color w:val="000000"/>
          <w:sz w:val="24"/>
        </w:rPr>
        <w:t>响应文件的提交及解密</w:t>
      </w:r>
      <w:bookmarkEnd w:id="11"/>
      <w:bookmarkEnd w:id="12"/>
      <w:bookmarkEnd w:id="13"/>
      <w:bookmarkEnd w:id="14"/>
    </w:p>
    <w:p w14:paraId="49E86E1C">
      <w:pPr>
        <w:spacing w:line="400" w:lineRule="exact"/>
        <w:ind w:firstLine="480" w:firstLineChars="200"/>
        <w:rPr>
          <w:rFonts w:hint="eastAsia" w:ascii="宋体" w:hAnsi="宋体" w:eastAsia="宋体" w:cs="Times New Roman"/>
          <w:color w:val="000000"/>
          <w:sz w:val="24"/>
          <w:szCs w:val="24"/>
          <w:lang w:eastAsia="zh-CN"/>
        </w:rPr>
      </w:pPr>
      <w:r>
        <w:rPr>
          <w:rFonts w:hint="eastAsia" w:ascii="宋体" w:hAnsi="宋体"/>
          <w:color w:val="000000"/>
          <w:sz w:val="24"/>
          <w:szCs w:val="24"/>
        </w:rPr>
        <w:t>（一）</w:t>
      </w:r>
      <w:r>
        <w:rPr>
          <w:rFonts w:hint="eastAsia" w:ascii="宋体" w:hAnsi="宋体"/>
          <w:color w:val="000000"/>
          <w:sz w:val="24"/>
        </w:rPr>
        <w:t>响应文件</w:t>
      </w:r>
      <w:r>
        <w:rPr>
          <w:rFonts w:hint="eastAsia" w:ascii="宋体" w:hAnsi="宋体"/>
          <w:color w:val="000000"/>
          <w:sz w:val="24"/>
          <w:lang w:eastAsia="zh-CN"/>
        </w:rPr>
        <w:t>递交</w:t>
      </w:r>
      <w:r>
        <w:rPr>
          <w:rFonts w:hint="eastAsia" w:ascii="宋体" w:hAnsi="宋体"/>
          <w:color w:val="000000"/>
          <w:sz w:val="24"/>
        </w:rPr>
        <w:t>地点：</w:t>
      </w:r>
      <w:r>
        <w:rPr>
          <w:rFonts w:hint="eastAsia" w:ascii="宋体" w:hAnsi="宋体"/>
          <w:bCs/>
          <w:color w:val="000000"/>
          <w:sz w:val="24"/>
          <w:lang w:eastAsia="zh-CN"/>
        </w:rPr>
        <w:t>重庆市公共资源交易中心（</w:t>
      </w:r>
      <w:r>
        <w:rPr>
          <w:rFonts w:hint="eastAsia" w:ascii="宋体" w:hAnsi="宋体"/>
          <w:color w:val="000000"/>
          <w:sz w:val="24"/>
        </w:rPr>
        <w:t>重庆市渝北区青枫北路6号渝兴广场B10栋，</w:t>
      </w:r>
      <w:r>
        <w:rPr>
          <w:rFonts w:hint="eastAsia" w:ascii="宋体" w:hAnsi="宋体" w:eastAsia="宋体" w:cs="Times New Roman"/>
          <w:color w:val="000000"/>
          <w:sz w:val="24"/>
          <w:szCs w:val="24"/>
        </w:rPr>
        <w:t>见当日</w:t>
      </w:r>
      <w:r>
        <w:rPr>
          <w:rFonts w:hint="eastAsia" w:ascii="宋体" w:hAnsi="宋体" w:eastAsia="宋体" w:cs="Times New Roman"/>
          <w:color w:val="000000"/>
          <w:sz w:val="24"/>
          <w:szCs w:val="24"/>
          <w:lang w:eastAsia="zh-CN"/>
        </w:rPr>
        <w:t>二</w:t>
      </w:r>
      <w:r>
        <w:rPr>
          <w:rFonts w:hint="eastAsia" w:ascii="宋体" w:hAnsi="宋体" w:eastAsia="宋体" w:cs="Times New Roman"/>
          <w:color w:val="000000"/>
          <w:sz w:val="24"/>
          <w:szCs w:val="24"/>
        </w:rPr>
        <w:t>楼大厅指示牌</w:t>
      </w:r>
      <w:r>
        <w:rPr>
          <w:rFonts w:hint="eastAsia" w:ascii="宋体" w:hAnsi="宋体" w:eastAsia="宋体" w:cs="Times New Roman"/>
          <w:color w:val="000000"/>
          <w:sz w:val="24"/>
          <w:szCs w:val="24"/>
          <w:lang w:eastAsia="zh-CN"/>
        </w:rPr>
        <w:t>）</w:t>
      </w:r>
    </w:p>
    <w:p w14:paraId="4752A7CA">
      <w:pPr>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eastAsia="zh-CN"/>
        </w:rPr>
        <w:t>（二）竞选时间</w:t>
      </w:r>
      <w:r>
        <w:rPr>
          <w:rFonts w:hint="eastAsia" w:ascii="宋体" w:hAnsi="宋体" w:eastAsia="宋体" w:cs="Times New Roman"/>
          <w:color w:val="000000"/>
          <w:sz w:val="24"/>
          <w:szCs w:val="24"/>
        </w:rPr>
        <w:t>：2025年</w:t>
      </w:r>
      <w:r>
        <w:rPr>
          <w:rFonts w:hint="eastAsia" w:ascii="宋体" w:hAnsi="宋体" w:cs="Times New Roman"/>
          <w:color w:val="000000"/>
          <w:sz w:val="24"/>
          <w:szCs w:val="24"/>
          <w:lang w:val="en-US" w:eastAsia="zh-CN"/>
        </w:rPr>
        <w:t>12</w:t>
      </w:r>
      <w:r>
        <w:rPr>
          <w:rFonts w:hint="eastAsia" w:ascii="宋体" w:hAnsi="宋体" w:eastAsia="宋体" w:cs="Times New Roman"/>
          <w:color w:val="000000"/>
          <w:sz w:val="24"/>
          <w:szCs w:val="24"/>
        </w:rPr>
        <w:t>月</w:t>
      </w:r>
      <w:r>
        <w:rPr>
          <w:rFonts w:hint="eastAsia" w:ascii="宋体" w:hAnsi="宋体" w:cs="Times New Roman"/>
          <w:color w:val="000000"/>
          <w:sz w:val="24"/>
          <w:szCs w:val="24"/>
          <w:lang w:val="en-US" w:eastAsia="zh-CN"/>
        </w:rPr>
        <w:t>22</w:t>
      </w:r>
      <w:r>
        <w:rPr>
          <w:rFonts w:hint="eastAsia" w:ascii="宋体" w:hAnsi="宋体" w:eastAsia="宋体" w:cs="Times New Roman"/>
          <w:color w:val="000000"/>
          <w:sz w:val="24"/>
          <w:szCs w:val="24"/>
        </w:rPr>
        <w:t>日北京时间</w:t>
      </w:r>
      <w:r>
        <w:rPr>
          <w:rFonts w:hint="eastAsia" w:ascii="宋体" w:hAnsi="宋体" w:cs="Times New Roman"/>
          <w:color w:val="000000"/>
          <w:sz w:val="24"/>
          <w:szCs w:val="24"/>
          <w:lang w:val="en-US" w:eastAsia="zh-CN"/>
        </w:rPr>
        <w:t>14</w:t>
      </w:r>
      <w:r>
        <w:rPr>
          <w:rFonts w:hint="eastAsia" w:ascii="宋体" w:hAnsi="宋体" w:eastAsia="宋体" w:cs="Times New Roman"/>
          <w:color w:val="000000"/>
          <w:sz w:val="24"/>
          <w:szCs w:val="24"/>
        </w:rPr>
        <w:t>:00</w:t>
      </w:r>
    </w:p>
    <w:p w14:paraId="24243A84">
      <w:pPr>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（二）</w:t>
      </w:r>
      <w:r>
        <w:rPr>
          <w:rFonts w:hint="eastAsia" w:ascii="宋体" w:hAnsi="宋体" w:eastAsia="宋体" w:cs="Times New Roman"/>
          <w:color w:val="000000"/>
          <w:sz w:val="24"/>
          <w:szCs w:val="24"/>
          <w:lang w:val="en-US" w:eastAsia="zh-CN"/>
        </w:rPr>
        <w:t>评审</w:t>
      </w:r>
      <w:r>
        <w:rPr>
          <w:rFonts w:hint="eastAsia" w:ascii="宋体" w:hAnsi="宋体" w:eastAsia="宋体" w:cs="Times New Roman"/>
          <w:color w:val="000000"/>
          <w:sz w:val="24"/>
          <w:szCs w:val="24"/>
        </w:rPr>
        <w:t>时间：202</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年</w:t>
      </w:r>
      <w:r>
        <w:rPr>
          <w:rFonts w:hint="eastAsia" w:ascii="宋体" w:hAnsi="宋体" w:cs="Times New Roman"/>
          <w:color w:val="000000"/>
          <w:sz w:val="24"/>
          <w:szCs w:val="24"/>
          <w:lang w:val="en-US" w:eastAsia="zh-CN"/>
        </w:rPr>
        <w:t>12</w:t>
      </w:r>
      <w:r>
        <w:rPr>
          <w:rFonts w:hint="eastAsia" w:ascii="宋体" w:hAnsi="宋体" w:eastAsia="宋体" w:cs="Times New Roman"/>
          <w:color w:val="000000"/>
          <w:sz w:val="24"/>
          <w:szCs w:val="24"/>
        </w:rPr>
        <w:t>月</w:t>
      </w:r>
      <w:r>
        <w:rPr>
          <w:rFonts w:hint="eastAsia" w:ascii="宋体" w:hAnsi="宋体" w:cs="Times New Roman"/>
          <w:color w:val="000000"/>
          <w:sz w:val="24"/>
          <w:szCs w:val="24"/>
          <w:lang w:val="en-US" w:eastAsia="zh-CN"/>
        </w:rPr>
        <w:t>22</w:t>
      </w:r>
      <w:r>
        <w:rPr>
          <w:rFonts w:hint="eastAsia" w:ascii="宋体" w:hAnsi="宋体" w:eastAsia="宋体" w:cs="Times New Roman"/>
          <w:color w:val="000000"/>
          <w:sz w:val="24"/>
          <w:szCs w:val="24"/>
        </w:rPr>
        <w:t>日北京时间</w:t>
      </w:r>
      <w:r>
        <w:rPr>
          <w:rFonts w:hint="eastAsia" w:ascii="宋体" w:hAnsi="宋体" w:eastAsia="宋体" w:cs="Times New Roman"/>
          <w:color w:val="000000"/>
          <w:sz w:val="24"/>
          <w:szCs w:val="24"/>
          <w:lang w:val="en-US" w:eastAsia="zh-CN"/>
        </w:rPr>
        <w:t>1</w:t>
      </w:r>
      <w:r>
        <w:rPr>
          <w:rFonts w:hint="eastAsia" w:ascii="宋体" w:hAnsi="宋体" w:cs="Times New Roman"/>
          <w:color w:val="000000"/>
          <w:sz w:val="24"/>
          <w:szCs w:val="24"/>
          <w:lang w:val="en-US" w:eastAsia="zh-CN"/>
        </w:rPr>
        <w:t>4</w:t>
      </w:r>
      <w:r>
        <w:rPr>
          <w:rFonts w:hint="eastAsia" w:ascii="宋体" w:hAnsi="宋体" w:eastAsia="宋体" w:cs="Times New Roman"/>
          <w:color w:val="000000"/>
          <w:sz w:val="24"/>
          <w:szCs w:val="24"/>
          <w:lang w:val="en-US" w:eastAsia="zh-CN"/>
        </w:rPr>
        <w:t>:30</w:t>
      </w:r>
      <w:r>
        <w:rPr>
          <w:rFonts w:hint="eastAsia" w:ascii="宋体" w:hAnsi="宋体" w:eastAsia="宋体" w:cs="Times New Roman"/>
          <w:color w:val="000000"/>
          <w:sz w:val="24"/>
          <w:szCs w:val="24"/>
        </w:rPr>
        <w:t>；</w:t>
      </w:r>
    </w:p>
    <w:p w14:paraId="61EA2A86">
      <w:pPr>
        <w:spacing w:line="400" w:lineRule="exact"/>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（七）</w:t>
      </w:r>
      <w:r>
        <w:rPr>
          <w:rFonts w:hint="eastAsia" w:ascii="宋体" w:hAnsi="宋体" w:eastAsia="宋体" w:cs="Times New Roman"/>
          <w:color w:val="000000"/>
          <w:sz w:val="24"/>
          <w:szCs w:val="24"/>
          <w:lang w:val="en-US" w:eastAsia="zh-CN"/>
        </w:rPr>
        <w:t>评审</w:t>
      </w:r>
      <w:r>
        <w:rPr>
          <w:rFonts w:hint="eastAsia" w:ascii="宋体" w:hAnsi="宋体" w:eastAsia="宋体" w:cs="Times New Roman"/>
          <w:color w:val="000000"/>
          <w:sz w:val="24"/>
          <w:szCs w:val="24"/>
        </w:rPr>
        <w:t>地点：同</w:t>
      </w:r>
      <w:r>
        <w:rPr>
          <w:rFonts w:hint="eastAsia" w:ascii="宋体" w:hAnsi="宋体" w:eastAsia="宋体" w:cs="Times New Roman"/>
          <w:color w:val="000000"/>
          <w:sz w:val="24"/>
          <w:szCs w:val="24"/>
          <w:lang w:eastAsia="zh-CN"/>
        </w:rPr>
        <w:t>竞选</w:t>
      </w:r>
      <w:r>
        <w:rPr>
          <w:rFonts w:hint="eastAsia" w:ascii="宋体" w:hAnsi="宋体" w:eastAsia="宋体" w:cs="Times New Roman"/>
          <w:color w:val="000000"/>
          <w:sz w:val="24"/>
          <w:szCs w:val="24"/>
        </w:rPr>
        <w:t>地点。</w:t>
      </w:r>
    </w:p>
    <w:p w14:paraId="6F760D8E">
      <w:pPr>
        <w:pStyle w:val="5"/>
        <w:spacing w:line="400" w:lineRule="exact"/>
        <w:ind w:firstLine="482" w:firstLineChars="200"/>
        <w:rPr>
          <w:rFonts w:hint="eastAsia"/>
          <w:b/>
          <w:color w:val="000000"/>
          <w:sz w:val="24"/>
        </w:rPr>
      </w:pPr>
      <w:bookmarkStart w:id="15" w:name="_Toc1504"/>
      <w:bookmarkStart w:id="16" w:name="_Toc29535"/>
      <w:bookmarkStart w:id="17" w:name="_Toc105687196"/>
      <w:bookmarkStart w:id="18" w:name="_Toc29155"/>
      <w:bookmarkStart w:id="19" w:name="_Toc20340"/>
      <w:r>
        <w:rPr>
          <w:rFonts w:hint="eastAsia"/>
          <w:b/>
          <w:color w:val="000000"/>
          <w:sz w:val="24"/>
        </w:rPr>
        <w:t>五、</w:t>
      </w:r>
      <w:r>
        <w:rPr>
          <w:rFonts w:hint="eastAsia"/>
          <w:b/>
          <w:color w:val="000000"/>
          <w:sz w:val="24"/>
          <w:lang w:eastAsia="zh-CN"/>
        </w:rPr>
        <w:t>竞选</w:t>
      </w:r>
      <w:r>
        <w:rPr>
          <w:rFonts w:hint="eastAsia"/>
          <w:b/>
          <w:color w:val="000000"/>
          <w:sz w:val="24"/>
        </w:rPr>
        <w:t>保证金</w:t>
      </w:r>
      <w:bookmarkEnd w:id="15"/>
      <w:bookmarkEnd w:id="16"/>
      <w:bookmarkEnd w:id="17"/>
      <w:bookmarkEnd w:id="18"/>
      <w:bookmarkEnd w:id="19"/>
    </w:p>
    <w:p w14:paraId="1EFFAC24">
      <w:pPr>
        <w:snapToGrid w:val="0"/>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根据《重庆市人民政府办公厅关于印发重庆市2023年优化营商环境激发市场活力重点任务清单的通知》</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渝府办发〔2023〕41号</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，本项目免收</w:t>
      </w:r>
      <w:r>
        <w:rPr>
          <w:rFonts w:hint="eastAsia" w:ascii="宋体" w:hAnsi="宋体" w:eastAsia="宋体" w:cs="Times New Roman"/>
          <w:color w:val="000000"/>
          <w:sz w:val="24"/>
          <w:szCs w:val="24"/>
          <w:lang w:eastAsia="zh-CN"/>
        </w:rPr>
        <w:t>竞选</w:t>
      </w:r>
      <w:r>
        <w:rPr>
          <w:rFonts w:hint="eastAsia" w:ascii="宋体" w:hAnsi="宋体" w:eastAsia="宋体" w:cs="Times New Roman"/>
          <w:color w:val="000000"/>
          <w:sz w:val="24"/>
          <w:szCs w:val="24"/>
        </w:rPr>
        <w:t>保证金。</w:t>
      </w:r>
    </w:p>
    <w:p w14:paraId="09513CA7">
      <w:pPr>
        <w:pStyle w:val="5"/>
        <w:spacing w:line="400" w:lineRule="exact"/>
        <w:ind w:firstLine="482" w:firstLineChars="200"/>
        <w:rPr>
          <w:rFonts w:hint="eastAsia"/>
          <w:b/>
          <w:color w:val="000000"/>
          <w:sz w:val="24"/>
        </w:rPr>
      </w:pPr>
      <w:bookmarkStart w:id="20" w:name="_Toc14170"/>
      <w:bookmarkStart w:id="21" w:name="_Toc28481"/>
      <w:bookmarkStart w:id="22" w:name="_Toc105687197"/>
      <w:r>
        <w:rPr>
          <w:rFonts w:hint="eastAsia"/>
          <w:b/>
          <w:color w:val="000000"/>
          <w:sz w:val="24"/>
        </w:rPr>
        <w:t>六、</w:t>
      </w:r>
      <w:bookmarkStart w:id="23" w:name="OLE_LINK2"/>
      <w:bookmarkStart w:id="24" w:name="OLE_LINK1"/>
      <w:r>
        <w:rPr>
          <w:rFonts w:hint="eastAsia"/>
          <w:b/>
          <w:color w:val="000000"/>
          <w:sz w:val="24"/>
        </w:rPr>
        <w:t>政府</w:t>
      </w:r>
      <w:r>
        <w:rPr>
          <w:rFonts w:hint="eastAsia"/>
          <w:b/>
          <w:color w:val="000000"/>
          <w:sz w:val="24"/>
          <w:lang w:eastAsia="zh-CN"/>
        </w:rPr>
        <w:t>竞选</w:t>
      </w:r>
      <w:r>
        <w:rPr>
          <w:rFonts w:hint="eastAsia"/>
          <w:b/>
          <w:color w:val="000000"/>
          <w:sz w:val="24"/>
        </w:rPr>
        <w:t>政策要求以及政策执行措施</w:t>
      </w:r>
      <w:bookmarkEnd w:id="20"/>
      <w:bookmarkEnd w:id="21"/>
      <w:bookmarkEnd w:id="22"/>
    </w:p>
    <w:p w14:paraId="1595A325">
      <w:pPr>
        <w:snapToGrid w:val="0"/>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（一）</w:t>
      </w:r>
      <w:r>
        <w:rPr>
          <w:rFonts w:hint="eastAsia" w:ascii="宋体" w:hAnsi="宋体"/>
          <w:color w:val="000000"/>
          <w:sz w:val="24"/>
          <w:szCs w:val="24"/>
          <w:highlight w:val="none"/>
          <w:lang w:eastAsia="zh-CN"/>
        </w:rPr>
        <w:t>参</w:t>
      </w:r>
      <w:r>
        <w:rPr>
          <w:rFonts w:hint="eastAsia" w:ascii="宋体" w:hAnsi="宋体"/>
          <w:color w:val="000000"/>
          <w:sz w:val="24"/>
          <w:szCs w:val="24"/>
        </w:rPr>
        <w:t>照《财政部 生态环境部关于印发环境标志产品政府</w:t>
      </w:r>
      <w:r>
        <w:rPr>
          <w:rFonts w:hint="eastAsia" w:ascii="宋体" w:hAnsi="宋体"/>
          <w:color w:val="000000"/>
          <w:sz w:val="24"/>
          <w:szCs w:val="24"/>
          <w:lang w:eastAsia="zh-CN"/>
        </w:rPr>
        <w:t>采购</w:t>
      </w:r>
      <w:r>
        <w:rPr>
          <w:rFonts w:hint="eastAsia" w:ascii="宋体" w:hAnsi="宋体"/>
          <w:color w:val="000000"/>
          <w:sz w:val="24"/>
          <w:szCs w:val="24"/>
        </w:rPr>
        <w:t>品目清单的通知》（财库〔2019〕18号）和《财政部 发展改革委关于印发节能产品政府</w:t>
      </w:r>
      <w:r>
        <w:rPr>
          <w:rFonts w:hint="eastAsia" w:ascii="宋体" w:hAnsi="宋体"/>
          <w:color w:val="000000"/>
          <w:sz w:val="24"/>
          <w:szCs w:val="24"/>
          <w:lang w:eastAsia="zh-CN"/>
        </w:rPr>
        <w:t>采购</w:t>
      </w:r>
      <w:r>
        <w:rPr>
          <w:rFonts w:hint="eastAsia" w:ascii="宋体" w:hAnsi="宋体"/>
          <w:color w:val="000000"/>
          <w:sz w:val="24"/>
          <w:szCs w:val="24"/>
        </w:rPr>
        <w:t>品目清单的通知》（财库〔2019〕19号）的规定，落实国家节能环保政策。</w:t>
      </w:r>
    </w:p>
    <w:p w14:paraId="54D92543">
      <w:pPr>
        <w:snapToGrid w:val="0"/>
        <w:spacing w:line="400" w:lineRule="exact"/>
        <w:ind w:firstLine="480" w:firstLineChars="200"/>
        <w:rPr>
          <w:rFonts w:hint="eastAsia" w:ascii="宋体" w:hAnsi="宋体"/>
          <w:color w:val="000000"/>
          <w:sz w:val="24"/>
          <w:szCs w:val="24"/>
        </w:rPr>
      </w:pPr>
      <w:r>
        <w:rPr>
          <w:rFonts w:hint="eastAsia" w:ascii="宋体" w:hAnsi="宋体"/>
          <w:color w:val="000000"/>
          <w:sz w:val="24"/>
          <w:szCs w:val="24"/>
        </w:rPr>
        <w:t>（二）</w:t>
      </w:r>
      <w:r>
        <w:rPr>
          <w:rFonts w:hint="eastAsia" w:ascii="宋体" w:hAnsi="宋体"/>
          <w:color w:val="000000"/>
          <w:sz w:val="24"/>
          <w:szCs w:val="24"/>
          <w:highlight w:val="none"/>
          <w:lang w:eastAsia="zh-CN"/>
        </w:rPr>
        <w:t>参</w:t>
      </w:r>
      <w:r>
        <w:rPr>
          <w:rFonts w:hint="eastAsia" w:ascii="宋体" w:hAnsi="宋体"/>
          <w:color w:val="000000"/>
          <w:sz w:val="24"/>
          <w:szCs w:val="24"/>
        </w:rPr>
        <w:t>照财政部、工业和信息化部关于印发《政府</w:t>
      </w:r>
      <w:r>
        <w:rPr>
          <w:rFonts w:hint="eastAsia" w:ascii="宋体" w:hAnsi="宋体"/>
          <w:color w:val="000000"/>
          <w:sz w:val="24"/>
          <w:szCs w:val="24"/>
          <w:lang w:eastAsia="zh-CN"/>
        </w:rPr>
        <w:t>竞选</w:t>
      </w:r>
      <w:r>
        <w:rPr>
          <w:rFonts w:hint="eastAsia" w:ascii="宋体" w:hAnsi="宋体"/>
          <w:color w:val="000000"/>
          <w:sz w:val="24"/>
          <w:szCs w:val="24"/>
        </w:rPr>
        <w:t>促进中小企业发展管理办法》的通知（财库〔2020〕46号）的规定，落实促进中小企业发展政策。</w:t>
      </w:r>
    </w:p>
    <w:bookmarkEnd w:id="23"/>
    <w:bookmarkEnd w:id="24"/>
    <w:p w14:paraId="40788C9B">
      <w:pPr>
        <w:pStyle w:val="5"/>
        <w:spacing w:line="400" w:lineRule="exact"/>
        <w:ind w:firstLine="482" w:firstLineChars="200"/>
        <w:rPr>
          <w:rFonts w:hint="eastAsia"/>
          <w:b/>
          <w:color w:val="000000"/>
          <w:sz w:val="24"/>
        </w:rPr>
      </w:pPr>
      <w:bookmarkStart w:id="25" w:name="_Toc24974"/>
      <w:bookmarkStart w:id="26" w:name="_Toc30259"/>
      <w:bookmarkStart w:id="27" w:name="_Toc4251"/>
      <w:bookmarkStart w:id="28" w:name="_Toc105687198"/>
      <w:r>
        <w:rPr>
          <w:rFonts w:hint="eastAsia"/>
          <w:b/>
          <w:color w:val="000000"/>
          <w:sz w:val="24"/>
        </w:rPr>
        <w:t>七、其他说明</w:t>
      </w:r>
      <w:bookmarkEnd w:id="25"/>
      <w:bookmarkEnd w:id="26"/>
      <w:bookmarkEnd w:id="27"/>
      <w:bookmarkEnd w:id="28"/>
    </w:p>
    <w:p w14:paraId="1EE33C52">
      <w:pPr>
        <w:snapToGrid w:val="0"/>
        <w:spacing w:line="40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rPr>
        <w:t>（一</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eastAsia="zh-CN"/>
        </w:rPr>
        <w:t>合格</w:t>
      </w:r>
      <w:r>
        <w:rPr>
          <w:rFonts w:hint="eastAsia" w:ascii="宋体" w:hAnsi="宋体" w:eastAsia="宋体" w:cs="Times New Roman"/>
          <w:color w:val="000000"/>
          <w:sz w:val="24"/>
          <w:szCs w:val="24"/>
          <w:highlight w:val="none"/>
          <w:lang w:val="en-US" w:eastAsia="zh-CN"/>
        </w:rPr>
        <w:t>竞选人</w:t>
      </w:r>
      <w:r>
        <w:rPr>
          <w:rFonts w:hint="eastAsia" w:ascii="宋体" w:hAnsi="宋体" w:eastAsia="宋体" w:cs="Times New Roman"/>
          <w:color w:val="000000"/>
          <w:sz w:val="24"/>
          <w:szCs w:val="24"/>
          <w:highlight w:val="none"/>
          <w:lang w:eastAsia="zh-CN"/>
        </w:rPr>
        <w:t>要求</w:t>
      </w:r>
      <w:r>
        <w:rPr>
          <w:rFonts w:hint="eastAsia" w:ascii="宋体" w:hAnsi="宋体" w:eastAsia="宋体" w:cs="Times New Roman"/>
          <w:color w:val="000000"/>
          <w:sz w:val="24"/>
          <w:szCs w:val="24"/>
          <w:highlight w:val="none"/>
        </w:rPr>
        <w:t>：</w:t>
      </w:r>
    </w:p>
    <w:p w14:paraId="73B51AD3">
      <w:pPr>
        <w:snapToGrid w:val="0"/>
        <w:spacing w:line="400" w:lineRule="exact"/>
        <w:ind w:firstLine="480" w:firstLineChars="200"/>
        <w:rPr>
          <w:rFonts w:hint="eastAsia" w:ascii="宋体" w:hAnsi="宋体" w:eastAsia="宋体" w:cs="Times New Roman"/>
          <w:bCs/>
          <w:color w:val="000000"/>
          <w:sz w:val="24"/>
          <w:szCs w:val="24"/>
        </w:rPr>
      </w:pPr>
      <w:r>
        <w:rPr>
          <w:rFonts w:hint="eastAsia" w:ascii="宋体" w:hAnsi="宋体" w:eastAsia="宋体" w:cs="Times New Roman"/>
          <w:color w:val="000000"/>
          <w:sz w:val="24"/>
          <w:szCs w:val="24"/>
        </w:rPr>
        <w:t>1.负责人为同一人或者存在直接控股、管理关系的不同</w:t>
      </w:r>
      <w:r>
        <w:rPr>
          <w:rFonts w:hint="eastAsia" w:ascii="宋体" w:hAnsi="宋体" w:eastAsia="宋体" w:cs="Times New Roman"/>
          <w:color w:val="000000"/>
          <w:sz w:val="24"/>
          <w:szCs w:val="24"/>
          <w:lang w:val="en-US" w:eastAsia="zh-CN"/>
        </w:rPr>
        <w:t>竞选人</w:t>
      </w:r>
      <w:r>
        <w:rPr>
          <w:rFonts w:hint="eastAsia" w:ascii="宋体" w:hAnsi="宋体" w:eastAsia="宋体" w:cs="Times New Roman"/>
          <w:bCs/>
          <w:color w:val="000000"/>
          <w:sz w:val="24"/>
          <w:szCs w:val="24"/>
        </w:rPr>
        <w:t>，不得</w:t>
      </w:r>
      <w:r>
        <w:rPr>
          <w:rFonts w:hint="eastAsia" w:ascii="宋体" w:hAnsi="宋体" w:eastAsia="宋体" w:cs="Times New Roman"/>
          <w:bCs/>
          <w:color w:val="000000"/>
          <w:sz w:val="24"/>
          <w:szCs w:val="24"/>
          <w:lang w:eastAsia="zh-CN"/>
        </w:rPr>
        <w:t>同时</w:t>
      </w:r>
      <w:r>
        <w:rPr>
          <w:rFonts w:hint="eastAsia" w:ascii="宋体" w:hAnsi="宋体" w:eastAsia="宋体" w:cs="Times New Roman"/>
          <w:bCs/>
          <w:color w:val="000000"/>
          <w:sz w:val="24"/>
          <w:szCs w:val="24"/>
        </w:rPr>
        <w:t>参</w:t>
      </w:r>
      <w:r>
        <w:rPr>
          <w:rFonts w:hint="eastAsia" w:ascii="宋体" w:hAnsi="宋体" w:eastAsia="宋体" w:cs="Times New Roman"/>
          <w:bCs/>
          <w:color w:val="000000"/>
          <w:sz w:val="24"/>
          <w:szCs w:val="24"/>
          <w:lang w:eastAsia="zh-CN"/>
        </w:rPr>
        <w:t>与本次竞选活动</w:t>
      </w:r>
      <w:r>
        <w:rPr>
          <w:rFonts w:hint="eastAsia" w:ascii="宋体" w:hAnsi="宋体" w:eastAsia="宋体" w:cs="Times New Roman"/>
          <w:bCs/>
          <w:color w:val="000000"/>
          <w:sz w:val="24"/>
          <w:szCs w:val="24"/>
        </w:rPr>
        <w:t>。</w:t>
      </w:r>
    </w:p>
    <w:p w14:paraId="644994BC">
      <w:pPr>
        <w:spacing w:line="400" w:lineRule="exact"/>
        <w:ind w:firstLine="480" w:firstLineChars="200"/>
        <w:rPr>
          <w:rFonts w:hint="eastAsia" w:ascii="宋体" w:hAnsi="宋体" w:eastAsia="宋体" w:cs="Times New Roman"/>
          <w:bCs/>
          <w:color w:val="000000"/>
          <w:sz w:val="24"/>
          <w:szCs w:val="24"/>
        </w:rPr>
      </w:pPr>
      <w:r>
        <w:rPr>
          <w:rFonts w:hint="eastAsia" w:ascii="宋体" w:hAnsi="宋体" w:eastAsia="宋体" w:cs="Times New Roman"/>
          <w:bCs/>
          <w:color w:val="000000"/>
          <w:sz w:val="24"/>
          <w:szCs w:val="24"/>
        </w:rPr>
        <w:t>2.法人依法设立的分支机构以自己的名义参与竞选时，应提供依法登记的相关证明材料和由法人出具的授权其分支机构在其经营范围内参与竞选并承担全部民事责任的书面声明。法人与其分支机构不得同时参与</w:t>
      </w:r>
      <w:r>
        <w:rPr>
          <w:rFonts w:hint="eastAsia" w:ascii="宋体" w:hAnsi="宋体" w:eastAsia="宋体" w:cs="Times New Roman"/>
          <w:bCs/>
          <w:color w:val="000000"/>
          <w:sz w:val="24"/>
          <w:szCs w:val="24"/>
          <w:lang w:eastAsia="zh-CN"/>
        </w:rPr>
        <w:t>本次</w:t>
      </w:r>
      <w:r>
        <w:rPr>
          <w:rFonts w:hint="eastAsia" w:ascii="宋体" w:hAnsi="宋体" w:eastAsia="宋体" w:cs="Times New Roman"/>
          <w:bCs/>
          <w:color w:val="000000"/>
          <w:sz w:val="24"/>
          <w:szCs w:val="24"/>
        </w:rPr>
        <w:t>竞选活动。</w:t>
      </w:r>
    </w:p>
    <w:p w14:paraId="318059C9">
      <w:pPr>
        <w:spacing w:line="400" w:lineRule="exact"/>
        <w:ind w:firstLine="480" w:firstLineChars="200"/>
        <w:rPr>
          <w:rFonts w:hint="eastAsia" w:ascii="宋体" w:hAnsi="宋体" w:eastAsia="宋体" w:cs="Times New Roman"/>
          <w:bCs/>
          <w:color w:val="000000"/>
          <w:sz w:val="24"/>
          <w:szCs w:val="24"/>
        </w:rPr>
      </w:pPr>
      <w:r>
        <w:rPr>
          <w:rFonts w:hint="eastAsia" w:ascii="宋体" w:hAnsi="宋体" w:eastAsia="宋体" w:cs="Times New Roman"/>
          <w:bCs/>
          <w:color w:val="000000"/>
          <w:sz w:val="24"/>
          <w:szCs w:val="24"/>
        </w:rPr>
        <w:t>3.拒绝为</w:t>
      </w:r>
      <w:r>
        <w:rPr>
          <w:rFonts w:hint="eastAsia" w:ascii="宋体" w:hAnsi="宋体" w:eastAsia="宋体" w:cs="Times New Roman"/>
          <w:bCs/>
          <w:color w:val="000000"/>
          <w:sz w:val="24"/>
          <w:szCs w:val="24"/>
          <w:lang w:eastAsia="zh-CN"/>
        </w:rPr>
        <w:t>本次竞选</w:t>
      </w:r>
      <w:r>
        <w:rPr>
          <w:rFonts w:hint="eastAsia" w:ascii="宋体" w:hAnsi="宋体" w:eastAsia="宋体" w:cs="Times New Roman"/>
          <w:bCs/>
          <w:color w:val="000000"/>
          <w:sz w:val="24"/>
          <w:szCs w:val="24"/>
        </w:rPr>
        <w:t>提供整体设计、规范编制或者项目管理、监理、检测等</w:t>
      </w:r>
      <w:r>
        <w:rPr>
          <w:rFonts w:hint="eastAsia" w:ascii="宋体" w:hAnsi="宋体" w:eastAsia="宋体" w:cs="Times New Roman"/>
          <w:bCs/>
          <w:color w:val="000000"/>
          <w:sz w:val="24"/>
          <w:szCs w:val="24"/>
          <w:lang w:eastAsia="zh-CN"/>
        </w:rPr>
        <w:t>服务</w:t>
      </w:r>
      <w:r>
        <w:rPr>
          <w:rFonts w:hint="eastAsia" w:ascii="宋体" w:hAnsi="宋体" w:eastAsia="宋体" w:cs="Times New Roman"/>
          <w:bCs/>
          <w:color w:val="000000"/>
          <w:sz w:val="24"/>
          <w:szCs w:val="24"/>
        </w:rPr>
        <w:t>的</w:t>
      </w:r>
      <w:r>
        <w:rPr>
          <w:rFonts w:hint="eastAsia" w:ascii="宋体" w:hAnsi="宋体" w:eastAsia="宋体" w:cs="Times New Roman"/>
          <w:bCs/>
          <w:color w:val="000000"/>
          <w:sz w:val="24"/>
          <w:szCs w:val="24"/>
          <w:lang w:eastAsia="zh-CN"/>
        </w:rPr>
        <w:t>竞选人</w:t>
      </w:r>
      <w:r>
        <w:rPr>
          <w:rFonts w:hint="eastAsia" w:ascii="宋体" w:hAnsi="宋体" w:eastAsia="宋体" w:cs="Times New Roman"/>
          <w:bCs/>
          <w:color w:val="000000"/>
          <w:sz w:val="24"/>
          <w:szCs w:val="24"/>
        </w:rPr>
        <w:t>参加本次竞选活动。</w:t>
      </w:r>
    </w:p>
    <w:p w14:paraId="1F1066E4">
      <w:pPr>
        <w:snapToGrid w:val="0"/>
        <w:spacing w:line="400" w:lineRule="exact"/>
        <w:ind w:firstLine="480" w:firstLineChars="200"/>
        <w:rPr>
          <w:rFonts w:hint="eastAsia" w:ascii="宋体" w:hAnsi="宋体"/>
          <w:color w:val="000000"/>
          <w:sz w:val="24"/>
          <w:szCs w:val="24"/>
        </w:rPr>
      </w:pPr>
      <w:r>
        <w:rPr>
          <w:rFonts w:hint="eastAsia" w:ascii="宋体" w:hAnsi="宋体" w:eastAsia="宋体" w:cs="Times New Roman"/>
          <w:bCs/>
          <w:color w:val="000000"/>
          <w:sz w:val="24"/>
          <w:szCs w:val="24"/>
        </w:rPr>
        <w:t>4.本</w:t>
      </w:r>
      <w:r>
        <w:rPr>
          <w:rFonts w:hint="eastAsia" w:ascii="宋体" w:hAnsi="宋体" w:eastAsia="宋体" w:cs="Times New Roman"/>
          <w:bCs/>
          <w:color w:val="000000"/>
          <w:sz w:val="24"/>
          <w:szCs w:val="24"/>
          <w:lang w:eastAsia="zh-CN"/>
        </w:rPr>
        <w:t>次竞选活动项目内容</w:t>
      </w:r>
      <w:r>
        <w:rPr>
          <w:rFonts w:hint="eastAsia" w:ascii="宋体" w:hAnsi="宋体" w:eastAsia="宋体" w:cs="Times New Roman"/>
          <w:bCs/>
          <w:color w:val="000000"/>
          <w:sz w:val="24"/>
          <w:szCs w:val="24"/>
        </w:rPr>
        <w:t>为社会</w:t>
      </w:r>
      <w:r>
        <w:rPr>
          <w:rFonts w:hint="eastAsia" w:ascii="宋体" w:hAnsi="宋体" w:eastAsia="宋体" w:cs="Times New Roman"/>
          <w:bCs/>
          <w:color w:val="000000"/>
          <w:sz w:val="24"/>
          <w:szCs w:val="24"/>
          <w:lang w:eastAsia="zh-CN"/>
        </w:rPr>
        <w:t>公益性</w:t>
      </w:r>
      <w:r>
        <w:rPr>
          <w:rFonts w:hint="eastAsia" w:ascii="宋体" w:hAnsi="宋体" w:eastAsia="宋体" w:cs="Times New Roman"/>
          <w:bCs/>
          <w:color w:val="000000"/>
          <w:sz w:val="24"/>
          <w:szCs w:val="24"/>
        </w:rPr>
        <w:t>项目，拒绝不服从政府相关部门管理和调度的</w:t>
      </w:r>
      <w:r>
        <w:rPr>
          <w:rFonts w:hint="eastAsia" w:ascii="宋体" w:hAnsi="宋体" w:eastAsia="宋体" w:cs="Times New Roman"/>
          <w:bCs/>
          <w:color w:val="000000"/>
          <w:sz w:val="24"/>
          <w:szCs w:val="24"/>
          <w:lang w:eastAsia="zh-CN"/>
        </w:rPr>
        <w:t>竞选人</w:t>
      </w:r>
      <w:r>
        <w:rPr>
          <w:rFonts w:hint="eastAsia" w:ascii="宋体" w:hAnsi="宋体" w:eastAsia="宋体" w:cs="Times New Roman"/>
          <w:bCs/>
          <w:color w:val="000000"/>
          <w:sz w:val="24"/>
          <w:szCs w:val="24"/>
        </w:rPr>
        <w:t>参加本次竞选活动。</w:t>
      </w:r>
    </w:p>
    <w:p w14:paraId="577F751F">
      <w:pPr>
        <w:snapToGrid w:val="0"/>
        <w:spacing w:line="400" w:lineRule="exact"/>
        <w:ind w:firstLine="480" w:firstLineChars="200"/>
        <w:rPr>
          <w:rFonts w:hint="eastAsia" w:ascii="宋体" w:hAnsi="宋体" w:eastAsia="宋体"/>
          <w:color w:val="000000"/>
          <w:sz w:val="24"/>
          <w:szCs w:val="24"/>
          <w:highlight w:val="none"/>
          <w:lang w:eastAsia="zh-CN"/>
        </w:rPr>
      </w:pPr>
      <w:r>
        <w:rPr>
          <w:rFonts w:hint="eastAsia" w:ascii="宋体" w:hAnsi="宋体"/>
          <w:color w:val="000000"/>
          <w:sz w:val="24"/>
          <w:szCs w:val="24"/>
          <w:lang w:eastAsia="zh-CN"/>
        </w:rPr>
        <w:t>（二）</w:t>
      </w:r>
      <w:r>
        <w:rPr>
          <w:rFonts w:hint="eastAsia" w:ascii="宋体" w:hAnsi="宋体" w:eastAsia="宋体" w:cs="Times New Roman"/>
          <w:bCs/>
          <w:color w:val="000000"/>
          <w:sz w:val="24"/>
          <w:szCs w:val="24"/>
          <w:lang w:eastAsia="zh-CN"/>
        </w:rPr>
        <w:t>竞选人</w:t>
      </w:r>
      <w:r>
        <w:rPr>
          <w:rFonts w:hint="eastAsia" w:ascii="宋体" w:hAnsi="宋体" w:eastAsia="宋体" w:cs="Times New Roman"/>
          <w:bCs/>
          <w:color w:val="000000"/>
          <w:sz w:val="24"/>
          <w:szCs w:val="24"/>
        </w:rPr>
        <w:t>在参加本</w:t>
      </w:r>
      <w:r>
        <w:rPr>
          <w:rFonts w:hint="eastAsia" w:ascii="宋体" w:hAnsi="宋体" w:eastAsia="宋体" w:cs="Times New Roman"/>
          <w:bCs/>
          <w:color w:val="000000"/>
          <w:sz w:val="24"/>
          <w:szCs w:val="24"/>
          <w:lang w:eastAsia="zh-CN"/>
        </w:rPr>
        <w:t>次</w:t>
      </w:r>
      <w:r>
        <w:rPr>
          <w:rFonts w:hint="eastAsia" w:ascii="宋体" w:hAnsi="宋体" w:eastAsia="宋体" w:cs="Times New Roman"/>
          <w:bCs/>
          <w:color w:val="000000"/>
          <w:sz w:val="24"/>
          <w:szCs w:val="24"/>
        </w:rPr>
        <w:t>竞选活动前3年内因违法经营被禁止在一定期限内参加政府</w:t>
      </w:r>
      <w:r>
        <w:rPr>
          <w:rFonts w:hint="eastAsia" w:ascii="宋体" w:hAnsi="宋体" w:cs="Times New Roman"/>
          <w:bCs/>
          <w:color w:val="000000"/>
          <w:sz w:val="24"/>
          <w:szCs w:val="24"/>
          <w:highlight w:val="none"/>
          <w:lang w:eastAsia="zh-CN"/>
        </w:rPr>
        <w:t>采购</w:t>
      </w:r>
      <w:r>
        <w:rPr>
          <w:rFonts w:hint="eastAsia" w:ascii="宋体" w:hAnsi="宋体" w:eastAsia="宋体" w:cs="Times New Roman"/>
          <w:bCs/>
          <w:color w:val="000000"/>
          <w:sz w:val="24"/>
          <w:szCs w:val="24"/>
          <w:highlight w:val="none"/>
        </w:rPr>
        <w:t>活动的，在禁止活动期限届满后，可以依法参加本次竞选活动。</w:t>
      </w:r>
    </w:p>
    <w:p w14:paraId="75C7745B">
      <w:pPr>
        <w:snapToGrid w:val="0"/>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highlight w:val="none"/>
        </w:rPr>
        <w:t>（三）本项目若有澄清文件一律在</w:t>
      </w:r>
      <w:r>
        <w:rPr>
          <w:rFonts w:hint="eastAsia" w:ascii="宋体" w:hAnsi="宋体" w:eastAsia="宋体" w:cs="Times New Roman"/>
          <w:color w:val="000000"/>
          <w:sz w:val="24"/>
          <w:szCs w:val="24"/>
          <w:highlight w:val="none"/>
          <w:lang w:val="en-US" w:eastAsia="zh-CN"/>
        </w:rPr>
        <w:t>九龙坡区城市管理局门户网站（https://cqjlp.gov.cn/bmjz/qzfbm_97119/qcgj_97723/）</w:t>
      </w:r>
      <w:r>
        <w:rPr>
          <w:rFonts w:hint="eastAsia" w:ascii="宋体" w:hAnsi="宋体"/>
          <w:color w:val="000000"/>
          <w:sz w:val="24"/>
          <w:szCs w:val="24"/>
          <w:highlight w:val="none"/>
        </w:rPr>
        <w:t>上发布。</w:t>
      </w:r>
    </w:p>
    <w:p w14:paraId="7E9B1C79">
      <w:pPr>
        <w:snapToGrid w:val="0"/>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highlight w:val="none"/>
        </w:rPr>
        <w:t>（四）</w:t>
      </w:r>
      <w:r>
        <w:rPr>
          <w:rFonts w:hint="eastAsia" w:ascii="宋体" w:hAnsi="宋体"/>
          <w:color w:val="000000"/>
          <w:sz w:val="24"/>
          <w:szCs w:val="24"/>
          <w:highlight w:val="none"/>
          <w:lang w:eastAsia="zh-CN"/>
        </w:rPr>
        <w:t>竞选人</w:t>
      </w:r>
      <w:r>
        <w:rPr>
          <w:rFonts w:hint="eastAsia" w:ascii="宋体" w:hAnsi="宋体"/>
          <w:color w:val="000000"/>
          <w:sz w:val="24"/>
          <w:szCs w:val="24"/>
          <w:highlight w:val="none"/>
        </w:rPr>
        <w:t>参与本项目产生的所有费用均由</w:t>
      </w:r>
      <w:r>
        <w:rPr>
          <w:rFonts w:hint="eastAsia" w:ascii="宋体" w:hAnsi="宋体"/>
          <w:color w:val="000000"/>
          <w:sz w:val="24"/>
          <w:szCs w:val="24"/>
          <w:highlight w:val="none"/>
          <w:lang w:eastAsia="zh-CN"/>
        </w:rPr>
        <w:t>竞选人</w:t>
      </w:r>
      <w:r>
        <w:rPr>
          <w:rFonts w:hint="eastAsia" w:ascii="宋体" w:hAnsi="宋体"/>
          <w:color w:val="000000"/>
          <w:sz w:val="24"/>
          <w:szCs w:val="24"/>
          <w:highlight w:val="none"/>
        </w:rPr>
        <w:t>自理。</w:t>
      </w:r>
    </w:p>
    <w:p w14:paraId="44805271">
      <w:pPr>
        <w:snapToGrid w:val="0"/>
        <w:spacing w:line="400" w:lineRule="exact"/>
        <w:ind w:firstLine="480" w:firstLineChars="200"/>
        <w:rPr>
          <w:rFonts w:hint="eastAsia" w:ascii="宋体" w:hAnsi="宋体" w:eastAsia="宋体" w:cs="Times New Roman"/>
          <w:color w:val="000000"/>
          <w:sz w:val="24"/>
          <w:szCs w:val="24"/>
          <w:highlight w:val="none"/>
        </w:rPr>
      </w:pPr>
      <w:r>
        <w:rPr>
          <w:rFonts w:hint="eastAsia" w:ascii="宋体" w:hAnsi="宋体"/>
          <w:color w:val="000000"/>
          <w:sz w:val="24"/>
          <w:szCs w:val="24"/>
          <w:highlight w:val="none"/>
        </w:rPr>
        <w:t>（五）</w:t>
      </w:r>
      <w:r>
        <w:rPr>
          <w:rFonts w:hint="eastAsia" w:ascii="宋体" w:hAnsi="宋体" w:eastAsia="宋体" w:cs="Times New Roman"/>
          <w:color w:val="000000"/>
          <w:sz w:val="24"/>
          <w:szCs w:val="24"/>
          <w:highlight w:val="none"/>
        </w:rPr>
        <w:t>本项目不接受联合体参与</w:t>
      </w:r>
      <w:r>
        <w:rPr>
          <w:rFonts w:hint="eastAsia" w:ascii="宋体" w:hAnsi="宋体" w:eastAsia="宋体" w:cs="Times New Roman"/>
          <w:color w:val="000000"/>
          <w:sz w:val="24"/>
          <w:szCs w:val="24"/>
          <w:highlight w:val="none"/>
          <w:lang w:eastAsia="zh-CN"/>
        </w:rPr>
        <w:t>竞选</w:t>
      </w:r>
      <w:r>
        <w:rPr>
          <w:rFonts w:hint="eastAsia" w:ascii="宋体" w:hAnsi="宋体" w:eastAsia="宋体" w:cs="Times New Roman"/>
          <w:color w:val="000000"/>
          <w:sz w:val="24"/>
          <w:szCs w:val="24"/>
          <w:highlight w:val="none"/>
        </w:rPr>
        <w:t>。</w:t>
      </w:r>
    </w:p>
    <w:p w14:paraId="4E123B8C">
      <w:pPr>
        <w:snapToGrid w:val="0"/>
        <w:spacing w:line="400" w:lineRule="exact"/>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（六）本项目</w:t>
      </w:r>
      <w:r>
        <w:rPr>
          <w:rFonts w:hint="eastAsia" w:ascii="宋体" w:hAnsi="宋体" w:eastAsia="宋体" w:cs="Times New Roman"/>
          <w:color w:val="000000"/>
          <w:sz w:val="24"/>
          <w:szCs w:val="24"/>
          <w:highlight w:val="none"/>
          <w:lang w:val="en-US" w:eastAsia="zh-CN"/>
        </w:rPr>
        <w:t>不</w:t>
      </w:r>
      <w:r>
        <w:rPr>
          <w:rFonts w:hint="eastAsia" w:ascii="宋体" w:hAnsi="宋体" w:eastAsia="宋体" w:cs="Times New Roman"/>
          <w:color w:val="000000"/>
          <w:sz w:val="24"/>
          <w:szCs w:val="24"/>
          <w:highlight w:val="none"/>
        </w:rPr>
        <w:t>接受分包、转包</w:t>
      </w:r>
      <w:r>
        <w:rPr>
          <w:rFonts w:hint="eastAsia" w:ascii="宋体" w:hAnsi="宋体" w:eastAsia="宋体" w:cs="Times New Roman"/>
          <w:color w:val="000000"/>
          <w:sz w:val="24"/>
          <w:szCs w:val="24"/>
          <w:highlight w:val="none"/>
          <w:lang w:eastAsia="zh-CN"/>
        </w:rPr>
        <w:t>。</w:t>
      </w:r>
    </w:p>
    <w:p w14:paraId="343F9F5A">
      <w:pPr>
        <w:snapToGrid w:val="0"/>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highlight w:val="none"/>
          <w:lang w:eastAsia="zh-CN"/>
        </w:rPr>
        <w:t>（七）参照</w:t>
      </w:r>
      <w:r>
        <w:rPr>
          <w:rFonts w:hint="eastAsia" w:ascii="宋体" w:hAnsi="宋体"/>
          <w:color w:val="000000"/>
          <w:sz w:val="24"/>
          <w:szCs w:val="24"/>
          <w:highlight w:val="none"/>
        </w:rPr>
        <w:t>《财政部关于在政府</w:t>
      </w:r>
      <w:r>
        <w:rPr>
          <w:rFonts w:hint="eastAsia" w:ascii="宋体" w:hAnsi="宋体"/>
          <w:color w:val="000000"/>
          <w:sz w:val="24"/>
          <w:szCs w:val="24"/>
          <w:highlight w:val="none"/>
          <w:lang w:eastAsia="zh-CN"/>
        </w:rPr>
        <w:t>采购</w:t>
      </w:r>
      <w:r>
        <w:rPr>
          <w:rFonts w:hint="eastAsia" w:ascii="宋体" w:hAnsi="宋体"/>
          <w:color w:val="000000"/>
          <w:sz w:val="24"/>
          <w:szCs w:val="24"/>
          <w:highlight w:val="none"/>
        </w:rPr>
        <w:t>活动中查询及使用信用记录有关问题的通知》（财库〔2016〕125号），</w:t>
      </w:r>
      <w:r>
        <w:rPr>
          <w:rFonts w:hint="eastAsia" w:ascii="宋体" w:hAnsi="宋体"/>
          <w:color w:val="000000"/>
          <w:sz w:val="24"/>
          <w:szCs w:val="24"/>
          <w:highlight w:val="none"/>
          <w:lang w:eastAsia="zh-CN"/>
        </w:rPr>
        <w:t>投标人</w:t>
      </w:r>
      <w:r>
        <w:rPr>
          <w:rFonts w:hint="eastAsia" w:ascii="宋体" w:hAnsi="宋体"/>
          <w:color w:val="000000"/>
          <w:sz w:val="24"/>
          <w:szCs w:val="24"/>
          <w:highlight w:val="none"/>
        </w:rPr>
        <w:t>列入失信被执行人、重大税收违法案件当事人名单、政府</w:t>
      </w:r>
      <w:r>
        <w:rPr>
          <w:rFonts w:hint="eastAsia" w:ascii="宋体" w:hAnsi="宋体"/>
          <w:color w:val="000000"/>
          <w:sz w:val="24"/>
          <w:szCs w:val="24"/>
          <w:highlight w:val="none"/>
          <w:lang w:eastAsia="zh-CN"/>
        </w:rPr>
        <w:t>采购</w:t>
      </w:r>
      <w:r>
        <w:rPr>
          <w:rFonts w:hint="eastAsia" w:ascii="宋体" w:hAnsi="宋体"/>
          <w:color w:val="000000"/>
          <w:sz w:val="24"/>
          <w:szCs w:val="24"/>
          <w:highlight w:val="none"/>
        </w:rPr>
        <w:t>严重违法失信行为记录名单及其他不符合《中华人民共和国政府</w:t>
      </w:r>
      <w:r>
        <w:rPr>
          <w:rFonts w:hint="eastAsia" w:ascii="宋体" w:hAnsi="宋体"/>
          <w:color w:val="000000"/>
          <w:sz w:val="24"/>
          <w:szCs w:val="24"/>
          <w:highlight w:val="none"/>
          <w:lang w:eastAsia="zh-CN"/>
        </w:rPr>
        <w:t>采购</w:t>
      </w:r>
      <w:r>
        <w:rPr>
          <w:rFonts w:hint="eastAsia" w:ascii="宋体" w:hAnsi="宋体"/>
          <w:color w:val="000000"/>
          <w:sz w:val="24"/>
          <w:szCs w:val="24"/>
          <w:highlight w:val="none"/>
        </w:rPr>
        <w:t>法》第二十二条规定条件的</w:t>
      </w:r>
      <w:r>
        <w:rPr>
          <w:rFonts w:hint="eastAsia" w:ascii="宋体" w:hAnsi="宋体"/>
          <w:color w:val="000000"/>
          <w:sz w:val="24"/>
          <w:szCs w:val="24"/>
          <w:highlight w:val="none"/>
          <w:lang w:eastAsia="zh-CN"/>
        </w:rPr>
        <w:t>投标人</w:t>
      </w:r>
      <w:r>
        <w:rPr>
          <w:rFonts w:hint="eastAsia" w:ascii="宋体" w:hAnsi="宋体"/>
          <w:color w:val="000000"/>
          <w:sz w:val="24"/>
          <w:szCs w:val="24"/>
          <w:highlight w:val="none"/>
        </w:rPr>
        <w:t>，将被拒绝参与政府</w:t>
      </w:r>
      <w:r>
        <w:rPr>
          <w:rFonts w:hint="eastAsia" w:ascii="宋体" w:hAnsi="宋体"/>
          <w:color w:val="000000"/>
          <w:sz w:val="24"/>
          <w:szCs w:val="24"/>
          <w:highlight w:val="none"/>
          <w:lang w:eastAsia="zh-CN"/>
        </w:rPr>
        <w:t>采购</w:t>
      </w:r>
      <w:r>
        <w:rPr>
          <w:rFonts w:hint="eastAsia" w:ascii="宋体" w:hAnsi="宋体"/>
          <w:color w:val="000000"/>
          <w:sz w:val="24"/>
          <w:szCs w:val="24"/>
          <w:highlight w:val="none"/>
        </w:rPr>
        <w:t>活动。</w:t>
      </w:r>
      <w:bookmarkStart w:id="122" w:name="_GoBack"/>
      <w:bookmarkEnd w:id="122"/>
    </w:p>
    <w:p w14:paraId="3556D843">
      <w:pPr>
        <w:snapToGrid w:val="0"/>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highlight w:val="none"/>
        </w:rPr>
        <w:t>（</w:t>
      </w:r>
      <w:r>
        <w:rPr>
          <w:rFonts w:hint="eastAsia" w:ascii="宋体" w:hAnsi="宋体"/>
          <w:color w:val="000000"/>
          <w:sz w:val="24"/>
          <w:szCs w:val="24"/>
          <w:highlight w:val="none"/>
          <w:lang w:eastAsia="zh-CN"/>
        </w:rPr>
        <w:t>八</w:t>
      </w:r>
      <w:r>
        <w:rPr>
          <w:rFonts w:hint="eastAsia" w:ascii="宋体" w:hAnsi="宋体"/>
          <w:color w:val="000000"/>
          <w:sz w:val="24"/>
          <w:szCs w:val="24"/>
          <w:highlight w:val="none"/>
        </w:rPr>
        <w:t>）省级以上财政部门规定的其他事项：无。</w:t>
      </w:r>
    </w:p>
    <w:p w14:paraId="70D2C7FF">
      <w:pPr>
        <w:pStyle w:val="5"/>
        <w:spacing w:line="400" w:lineRule="exact"/>
        <w:ind w:firstLine="482" w:firstLineChars="200"/>
        <w:rPr>
          <w:rFonts w:hint="eastAsia"/>
          <w:b/>
          <w:color w:val="000000"/>
          <w:sz w:val="24"/>
          <w:highlight w:val="none"/>
        </w:rPr>
      </w:pPr>
      <w:bookmarkStart w:id="29" w:name="_Toc14168"/>
      <w:bookmarkStart w:id="30" w:name="_Toc18415"/>
      <w:bookmarkStart w:id="31" w:name="_Toc23351"/>
      <w:r>
        <w:rPr>
          <w:rFonts w:hint="eastAsia"/>
          <w:b/>
          <w:color w:val="000000"/>
          <w:sz w:val="24"/>
          <w:highlight w:val="none"/>
        </w:rPr>
        <w:t>八、联系方式</w:t>
      </w:r>
      <w:bookmarkEnd w:id="29"/>
      <w:bookmarkEnd w:id="30"/>
      <w:bookmarkEnd w:id="31"/>
    </w:p>
    <w:p w14:paraId="3D443650">
      <w:pPr>
        <w:snapToGrid w:val="0"/>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highlight w:val="none"/>
        </w:rPr>
        <w:t>（一）</w:t>
      </w:r>
      <w:r>
        <w:rPr>
          <w:rFonts w:hint="eastAsia" w:ascii="宋体" w:hAnsi="宋体"/>
          <w:color w:val="000000"/>
          <w:sz w:val="24"/>
          <w:szCs w:val="24"/>
          <w:highlight w:val="none"/>
          <w:lang w:eastAsia="zh-CN"/>
        </w:rPr>
        <w:t>竞选组织人：</w:t>
      </w:r>
      <w:r>
        <w:rPr>
          <w:rFonts w:hint="eastAsia" w:ascii="宋体" w:hAnsi="宋体" w:eastAsia="宋体" w:cs="Times New Roman"/>
          <w:color w:val="000000"/>
          <w:sz w:val="24"/>
          <w:szCs w:val="24"/>
          <w:highlight w:val="none"/>
        </w:rPr>
        <w:t>重庆市九龙坡区城市管理局</w:t>
      </w:r>
    </w:p>
    <w:p w14:paraId="46B84CC6">
      <w:pPr>
        <w:snapToGrid w:val="0"/>
        <w:spacing w:line="400" w:lineRule="exact"/>
        <w:ind w:firstLine="480" w:firstLineChars="200"/>
        <w:rPr>
          <w:rFonts w:ascii="宋体" w:hAnsi="宋体"/>
          <w:color w:val="000000"/>
          <w:sz w:val="24"/>
          <w:szCs w:val="24"/>
          <w:highlight w:val="none"/>
        </w:rPr>
      </w:pPr>
      <w:r>
        <w:rPr>
          <w:rFonts w:hint="eastAsia" w:ascii="宋体" w:hAnsi="宋体"/>
          <w:color w:val="000000"/>
          <w:sz w:val="24"/>
          <w:szCs w:val="24"/>
          <w:highlight w:val="none"/>
        </w:rPr>
        <w:t>联系人</w:t>
      </w:r>
      <w:r>
        <w:rPr>
          <w:rFonts w:hint="eastAsia" w:ascii="宋体" w:hAnsi="宋体"/>
          <w:color w:val="000000"/>
          <w:sz w:val="24"/>
          <w:szCs w:val="24"/>
          <w:highlight w:val="none"/>
          <w:lang w:eastAsia="zh-CN"/>
        </w:rPr>
        <w:t>：</w:t>
      </w:r>
      <w:r>
        <w:rPr>
          <w:rFonts w:hint="eastAsia" w:ascii="宋体" w:hAnsi="宋体"/>
          <w:color w:val="000000"/>
          <w:sz w:val="24"/>
          <w:szCs w:val="24"/>
          <w:highlight w:val="none"/>
          <w:lang w:val="en-US" w:eastAsia="zh-CN"/>
        </w:rPr>
        <w:t>李</w:t>
      </w:r>
      <w:r>
        <w:rPr>
          <w:rFonts w:hint="eastAsia" w:ascii="宋体" w:hAnsi="宋体"/>
          <w:color w:val="000000"/>
          <w:sz w:val="24"/>
          <w:szCs w:val="24"/>
          <w:highlight w:val="none"/>
        </w:rPr>
        <w:t>老师</w:t>
      </w:r>
    </w:p>
    <w:p w14:paraId="337F42F8">
      <w:pPr>
        <w:snapToGrid w:val="0"/>
        <w:spacing w:line="400" w:lineRule="exact"/>
        <w:ind w:firstLine="480" w:firstLineChars="200"/>
        <w:rPr>
          <w:rFonts w:hint="default" w:ascii="宋体" w:hAnsi="宋体" w:eastAsia="宋体"/>
          <w:color w:val="000000"/>
          <w:sz w:val="24"/>
          <w:szCs w:val="24"/>
          <w:highlight w:val="none"/>
          <w:lang w:val="en-US" w:eastAsia="zh-CN"/>
        </w:rPr>
      </w:pPr>
      <w:r>
        <w:rPr>
          <w:rFonts w:hint="eastAsia" w:ascii="宋体" w:hAnsi="宋体"/>
          <w:color w:val="000000"/>
          <w:sz w:val="24"/>
          <w:szCs w:val="24"/>
          <w:highlight w:val="none"/>
        </w:rPr>
        <w:t>电  话：</w:t>
      </w:r>
      <w:r>
        <w:rPr>
          <w:rFonts w:hint="eastAsia" w:ascii="宋体" w:hAnsi="宋体"/>
          <w:color w:val="000000"/>
          <w:sz w:val="24"/>
          <w:szCs w:val="24"/>
          <w:highlight w:val="none"/>
          <w:lang w:val="en-US" w:eastAsia="zh-CN"/>
        </w:rPr>
        <w:t>023-68880586</w:t>
      </w:r>
    </w:p>
    <w:p w14:paraId="530BE456">
      <w:pPr>
        <w:snapToGrid w:val="0"/>
        <w:spacing w:line="400" w:lineRule="exact"/>
        <w:ind w:firstLine="480" w:firstLineChars="200"/>
        <w:rPr>
          <w:rFonts w:ascii="宋体" w:hAnsi="宋体"/>
          <w:color w:val="000000"/>
          <w:sz w:val="24"/>
          <w:szCs w:val="24"/>
        </w:rPr>
      </w:pPr>
      <w:r>
        <w:rPr>
          <w:rFonts w:hint="eastAsia" w:ascii="宋体" w:hAnsi="宋体"/>
          <w:color w:val="000000"/>
          <w:sz w:val="24"/>
          <w:szCs w:val="24"/>
        </w:rPr>
        <w:t>地  址：重庆市九龙坡区直港大道17号建设大厦</w:t>
      </w:r>
      <w:r>
        <w:rPr>
          <w:rFonts w:hint="eastAsia" w:ascii="宋体" w:hAnsi="宋体"/>
          <w:color w:val="000000"/>
          <w:sz w:val="24"/>
          <w:szCs w:val="24"/>
          <w:lang w:val="en-US" w:eastAsia="zh-CN"/>
        </w:rPr>
        <w:t>16楼</w:t>
      </w:r>
    </w:p>
    <w:p w14:paraId="21A6B5D2">
      <w:pPr>
        <w:spacing w:line="400" w:lineRule="exact"/>
        <w:ind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（二）</w:t>
      </w:r>
      <w:r>
        <w:rPr>
          <w:rFonts w:hint="eastAsia" w:ascii="宋体" w:hAnsi="宋体"/>
          <w:color w:val="000000"/>
          <w:sz w:val="24"/>
          <w:szCs w:val="24"/>
          <w:lang w:eastAsia="zh-CN"/>
        </w:rPr>
        <w:t>竞选</w:t>
      </w:r>
      <w:r>
        <w:rPr>
          <w:rFonts w:hint="eastAsia" w:ascii="宋体" w:hAnsi="宋体"/>
          <w:color w:val="000000"/>
          <w:sz w:val="24"/>
          <w:szCs w:val="24"/>
        </w:rPr>
        <w:t>代理机构：</w:t>
      </w:r>
      <w:r>
        <w:rPr>
          <w:rFonts w:hint="eastAsia" w:ascii="宋体" w:hAnsi="宋体"/>
          <w:color w:val="000000"/>
          <w:sz w:val="24"/>
          <w:szCs w:val="24"/>
          <w:lang w:eastAsia="zh-CN"/>
        </w:rPr>
        <w:t>重庆方郡建设工程咨询有限公司</w:t>
      </w:r>
    </w:p>
    <w:p w14:paraId="0A2F3294">
      <w:pPr>
        <w:spacing w:line="400" w:lineRule="exact"/>
        <w:ind w:firstLine="480" w:firstLineChars="200"/>
        <w:rPr>
          <w:rFonts w:hint="eastAsia" w:ascii="宋体" w:hAnsi="宋体" w:eastAsia="宋体"/>
          <w:color w:val="000000"/>
          <w:sz w:val="24"/>
          <w:szCs w:val="24"/>
          <w:lang w:eastAsia="zh-CN"/>
        </w:rPr>
      </w:pPr>
      <w:r>
        <w:rPr>
          <w:rFonts w:hint="eastAsia" w:ascii="宋体" w:hAnsi="宋体"/>
          <w:color w:val="000000"/>
          <w:sz w:val="24"/>
          <w:szCs w:val="24"/>
        </w:rPr>
        <w:t>联系人：</w:t>
      </w:r>
      <w:r>
        <w:rPr>
          <w:rFonts w:hint="eastAsia" w:ascii="宋体" w:hAnsi="宋体"/>
          <w:color w:val="000000"/>
          <w:sz w:val="24"/>
          <w:szCs w:val="24"/>
          <w:lang w:eastAsia="zh-CN"/>
        </w:rPr>
        <w:t>姚老师</w:t>
      </w:r>
    </w:p>
    <w:p w14:paraId="204314D9">
      <w:pPr>
        <w:spacing w:line="400" w:lineRule="exact"/>
        <w:ind w:firstLine="480" w:firstLineChars="200"/>
        <w:rPr>
          <w:rFonts w:hint="default" w:ascii="宋体" w:hAnsi="宋体" w:eastAsia="宋体"/>
          <w:color w:val="000000"/>
          <w:sz w:val="24"/>
          <w:szCs w:val="24"/>
          <w:lang w:val="en-US" w:eastAsia="zh-CN"/>
        </w:rPr>
      </w:pPr>
      <w:r>
        <w:rPr>
          <w:rFonts w:hint="eastAsia" w:ascii="宋体" w:hAnsi="宋体"/>
          <w:color w:val="000000"/>
          <w:sz w:val="24"/>
          <w:szCs w:val="24"/>
        </w:rPr>
        <w:t>电  话：023-67</w:t>
      </w:r>
      <w:r>
        <w:rPr>
          <w:rFonts w:hint="eastAsia" w:ascii="宋体" w:hAnsi="宋体"/>
          <w:color w:val="000000"/>
          <w:sz w:val="24"/>
          <w:szCs w:val="24"/>
          <w:lang w:val="en-US" w:eastAsia="zh-CN"/>
        </w:rPr>
        <w:t>886687</w:t>
      </w:r>
    </w:p>
    <w:p w14:paraId="2A567CD8">
      <w:pPr>
        <w:spacing w:line="400" w:lineRule="exact"/>
        <w:ind w:firstLine="480" w:firstLineChars="200"/>
        <w:rPr>
          <w:rFonts w:hint="default" w:ascii="宋体" w:hAnsi="宋体" w:eastAsia="宋体"/>
          <w:color w:val="000000"/>
          <w:sz w:val="24"/>
          <w:szCs w:val="24"/>
          <w:lang w:val="en-US" w:eastAsia="zh-CN"/>
        </w:rPr>
      </w:pPr>
      <w:r>
        <w:rPr>
          <w:rFonts w:hint="eastAsia" w:ascii="宋体" w:hAnsi="宋体"/>
          <w:color w:val="000000"/>
          <w:sz w:val="24"/>
          <w:szCs w:val="24"/>
        </w:rPr>
        <w:t>地  址：重庆市</w:t>
      </w:r>
      <w:r>
        <w:rPr>
          <w:rFonts w:hint="eastAsia" w:ascii="宋体" w:hAnsi="宋体"/>
          <w:color w:val="000000"/>
          <w:sz w:val="24"/>
          <w:szCs w:val="24"/>
          <w:lang w:eastAsia="zh-CN"/>
        </w:rPr>
        <w:t>北部新区洪湖西路</w:t>
      </w:r>
      <w:r>
        <w:rPr>
          <w:rFonts w:hint="eastAsia" w:ascii="宋体" w:hAnsi="宋体"/>
          <w:color w:val="000000"/>
          <w:sz w:val="24"/>
          <w:szCs w:val="24"/>
          <w:lang w:val="en-US" w:eastAsia="zh-CN"/>
        </w:rPr>
        <w:t>18号1幢15-1</w:t>
      </w:r>
    </w:p>
    <w:p w14:paraId="31308198">
      <w:pPr>
        <w:pStyle w:val="4"/>
        <w:spacing w:before="0" w:beforeLines="0" w:after="0" w:afterLines="0" w:line="360" w:lineRule="auto"/>
        <w:rPr>
          <w:rFonts w:hint="eastAsia" w:ascii="宋体" w:hAnsi="宋体" w:eastAsia="宋体"/>
          <w:b/>
          <w:color w:val="000000"/>
        </w:rPr>
      </w:pPr>
      <w:bookmarkStart w:id="32" w:name="_Toc23889"/>
      <w:r>
        <w:rPr>
          <w:rFonts w:hint="eastAsia" w:ascii="宋体" w:hAnsi="宋体" w:eastAsia="宋体"/>
          <w:b/>
          <w:color w:val="000000"/>
        </w:rPr>
        <w:br w:type="page"/>
      </w:r>
      <w:bookmarkStart w:id="33" w:name="_Toc27518"/>
      <w:r>
        <w:rPr>
          <w:rFonts w:hint="eastAsia" w:ascii="宋体" w:hAnsi="宋体" w:eastAsia="宋体"/>
          <w:b/>
          <w:color w:val="000000"/>
        </w:rPr>
        <w:t xml:space="preserve">第二篇 </w:t>
      </w:r>
      <w:r>
        <w:rPr>
          <w:rFonts w:hint="eastAsia" w:ascii="宋体" w:hAnsi="宋体" w:eastAsia="宋体"/>
          <w:b/>
          <w:color w:val="000000"/>
          <w:lang w:eastAsia="zh-CN"/>
        </w:rPr>
        <w:t>竞选</w:t>
      </w:r>
      <w:r>
        <w:rPr>
          <w:rFonts w:hint="eastAsia" w:ascii="宋体" w:hAnsi="宋体" w:eastAsia="宋体"/>
          <w:b/>
          <w:color w:val="000000"/>
        </w:rPr>
        <w:t>需求</w:t>
      </w:r>
      <w:bookmarkEnd w:id="32"/>
      <w:bookmarkEnd w:id="33"/>
    </w:p>
    <w:p w14:paraId="1AE31C8C">
      <w:pPr>
        <w:shd w:val="clear" w:color="auto" w:fill="FFFFFF"/>
        <w:spacing w:line="400" w:lineRule="exact"/>
        <w:ind w:firstLine="482" w:firstLineChars="200"/>
        <w:outlineLvl w:val="1"/>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lang w:eastAsia="zh-CN"/>
        </w:rPr>
        <w:t>一、</w:t>
      </w:r>
      <w:r>
        <w:rPr>
          <w:rFonts w:hint="eastAsia" w:ascii="宋体" w:hAnsi="宋体" w:eastAsia="宋体" w:cs="Times New Roman"/>
          <w:b/>
          <w:color w:val="000000"/>
          <w:sz w:val="24"/>
          <w:szCs w:val="24"/>
        </w:rPr>
        <w:t>项目概况</w:t>
      </w:r>
    </w:p>
    <w:p w14:paraId="766A631E">
      <w:pPr>
        <w:shd w:val="clear" w:color="auto" w:fill="FFFFFF"/>
        <w:spacing w:line="40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（一）</w:t>
      </w:r>
      <w:r>
        <w:rPr>
          <w:rFonts w:hint="eastAsia" w:ascii="宋体" w:hAnsi="宋体" w:eastAsia="宋体" w:cs="Times New Roman"/>
          <w:color w:val="000000"/>
          <w:sz w:val="24"/>
          <w:szCs w:val="24"/>
          <w:lang w:eastAsia="zh-CN"/>
        </w:rPr>
        <w:t>本次竞选</w:t>
      </w:r>
      <w:r>
        <w:rPr>
          <w:rFonts w:hint="eastAsia" w:ascii="宋体" w:hAnsi="宋体" w:eastAsia="宋体" w:cs="Times New Roman"/>
          <w:color w:val="000000"/>
          <w:sz w:val="24"/>
          <w:szCs w:val="24"/>
        </w:rPr>
        <w:t>具体内容为：经九龙坡区城市管理局授权，在九龙坡区城市规划区域内（不包含高新区代管区域）从事</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收运</w:t>
      </w:r>
      <w:r>
        <w:rPr>
          <w:rFonts w:hint="eastAsia" w:ascii="宋体" w:hAnsi="宋体" w:eastAsia="宋体" w:cs="Times New Roman"/>
          <w:color w:val="000000"/>
          <w:sz w:val="24"/>
          <w:szCs w:val="24"/>
          <w:lang w:eastAsia="zh-CN"/>
        </w:rPr>
        <w:t>作业</w:t>
      </w:r>
      <w:r>
        <w:rPr>
          <w:rFonts w:hint="eastAsia" w:ascii="宋体" w:hAnsi="宋体" w:eastAsia="宋体" w:cs="Times New Roman"/>
          <w:color w:val="000000"/>
          <w:sz w:val="24"/>
          <w:szCs w:val="24"/>
        </w:rPr>
        <w:t>工作。</w:t>
      </w:r>
    </w:p>
    <w:p w14:paraId="52AE5EA7">
      <w:pPr>
        <w:shd w:val="clear" w:color="auto" w:fill="FFFFFF"/>
        <w:spacing w:line="400" w:lineRule="exact"/>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（二）</w:t>
      </w:r>
      <w:r>
        <w:rPr>
          <w:rFonts w:hint="eastAsia" w:ascii="宋体" w:hAnsi="宋体" w:eastAsia="宋体" w:cs="Times New Roman"/>
          <w:color w:val="000000"/>
          <w:sz w:val="24"/>
          <w:szCs w:val="24"/>
          <w:lang w:eastAsia="zh-CN"/>
        </w:rPr>
        <w:t>本次竞选</w:t>
      </w:r>
      <w:r>
        <w:rPr>
          <w:rFonts w:hint="eastAsia" w:ascii="宋体" w:hAnsi="宋体" w:eastAsia="宋体" w:cs="Times New Roman"/>
          <w:color w:val="000000"/>
          <w:sz w:val="24"/>
          <w:szCs w:val="24"/>
        </w:rPr>
        <w:t>所涉及的</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收运</w:t>
      </w:r>
      <w:r>
        <w:rPr>
          <w:rFonts w:hint="eastAsia" w:ascii="宋体" w:hAnsi="宋体" w:eastAsia="宋体" w:cs="Times New Roman"/>
          <w:color w:val="000000"/>
          <w:sz w:val="24"/>
          <w:szCs w:val="24"/>
          <w:lang w:eastAsia="zh-CN"/>
        </w:rPr>
        <w:t>作业</w:t>
      </w:r>
      <w:r>
        <w:rPr>
          <w:rFonts w:hint="eastAsia" w:ascii="宋体" w:hAnsi="宋体" w:eastAsia="宋体" w:cs="Times New Roman"/>
          <w:color w:val="000000"/>
          <w:sz w:val="24"/>
          <w:szCs w:val="24"/>
        </w:rPr>
        <w:t>，是指从餐饮业经营者、食堂供餐单位等</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产生单位（以下简称产生者）处，收集煎炸废油、火锅废油以及在排水管道、检查井和隔油池设施中捞取的油水混合物，运输到取得</w:t>
      </w:r>
      <w:r>
        <w:rPr>
          <w:rFonts w:hint="eastAsia" w:ascii="宋体" w:hAnsi="宋体" w:eastAsia="宋体" w:cs="Times New Roman"/>
          <w:color w:val="000000"/>
          <w:sz w:val="24"/>
          <w:szCs w:val="24"/>
          <w:lang w:eastAsia="zh-CN"/>
        </w:rPr>
        <w:t>重庆市城市管理局“生活垃圾（废弃食用油脂）处置特许经营权”</w:t>
      </w:r>
      <w:r>
        <w:rPr>
          <w:rFonts w:hint="eastAsia" w:ascii="宋体" w:hAnsi="宋体" w:eastAsia="宋体" w:cs="Times New Roman"/>
          <w:color w:val="000000"/>
          <w:sz w:val="24"/>
          <w:szCs w:val="24"/>
        </w:rPr>
        <w:t>的企业进行处理的行为。</w:t>
      </w:r>
    </w:p>
    <w:p w14:paraId="6CCCC1B7">
      <w:pPr>
        <w:shd w:val="clear" w:color="auto" w:fill="FFFFFF"/>
        <w:spacing w:line="400" w:lineRule="exact"/>
        <w:ind w:firstLine="480" w:firstLineChars="200"/>
        <w:outlineLvl w:val="1"/>
        <w:rPr>
          <w:rFonts w:hint="eastAsia" w:ascii="宋体" w:hAnsi="宋体" w:eastAsia="宋体" w:cs="Times New Roman"/>
          <w:b/>
          <w:color w:val="000000"/>
          <w:sz w:val="24"/>
          <w:szCs w:val="24"/>
          <w:lang w:eastAsia="zh-CN"/>
        </w:rPr>
      </w:pPr>
      <w:r>
        <w:rPr>
          <w:rFonts w:hint="eastAsia" w:ascii="宋体" w:hAnsi="宋体"/>
          <w:sz w:val="24"/>
          <w:szCs w:val="24"/>
        </w:rPr>
        <w:t>※</w:t>
      </w:r>
      <w:r>
        <w:rPr>
          <w:rFonts w:hint="eastAsia" w:ascii="宋体" w:hAnsi="宋体" w:eastAsia="宋体" w:cs="Times New Roman"/>
          <w:b/>
          <w:color w:val="000000"/>
          <w:sz w:val="24"/>
          <w:szCs w:val="24"/>
        </w:rPr>
        <w:t>二、</w:t>
      </w:r>
      <w:r>
        <w:rPr>
          <w:rFonts w:hint="eastAsia" w:ascii="宋体" w:hAnsi="宋体" w:eastAsia="宋体" w:cs="Times New Roman"/>
          <w:b/>
          <w:color w:val="000000"/>
          <w:sz w:val="24"/>
          <w:szCs w:val="24"/>
          <w:lang w:eastAsia="zh-CN"/>
        </w:rPr>
        <w:t>服务要求</w:t>
      </w:r>
    </w:p>
    <w:p w14:paraId="55D6099E">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（一）行政许可要求</w:t>
      </w:r>
    </w:p>
    <w:p w14:paraId="41490662">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eastAsia="zh-CN"/>
        </w:rPr>
        <w:t>中选人</w:t>
      </w:r>
      <w:r>
        <w:rPr>
          <w:rFonts w:hint="eastAsia" w:ascii="宋体" w:hAnsi="宋体" w:eastAsia="宋体" w:cs="Times New Roman"/>
          <w:color w:val="000000"/>
          <w:sz w:val="24"/>
          <w:szCs w:val="24"/>
        </w:rPr>
        <w:t>应在中选通知书发出（公示）后</w:t>
      </w:r>
      <w:r>
        <w:rPr>
          <w:rFonts w:hint="eastAsia" w:ascii="宋体" w:hAnsi="宋体" w:cs="Times New Roman"/>
          <w:color w:val="000000"/>
          <w:sz w:val="24"/>
          <w:szCs w:val="24"/>
          <w:lang w:val="en-US" w:eastAsia="zh-CN"/>
        </w:rPr>
        <w:t>20</w:t>
      </w:r>
      <w:r>
        <w:rPr>
          <w:rFonts w:hint="eastAsia" w:ascii="宋体" w:hAnsi="宋体" w:eastAsia="宋体" w:cs="Times New Roman"/>
          <w:color w:val="000000"/>
          <w:sz w:val="24"/>
          <w:szCs w:val="24"/>
        </w:rPr>
        <w:t>个</w:t>
      </w:r>
      <w:r>
        <w:rPr>
          <w:rFonts w:hint="eastAsia" w:ascii="宋体" w:hAnsi="宋体" w:cs="Times New Roman"/>
          <w:color w:val="000000"/>
          <w:sz w:val="24"/>
          <w:szCs w:val="24"/>
          <w:lang w:eastAsia="zh-CN"/>
        </w:rPr>
        <w:t>工作日</w:t>
      </w:r>
      <w:r>
        <w:rPr>
          <w:rFonts w:hint="eastAsia" w:ascii="宋体" w:hAnsi="宋体" w:eastAsia="宋体" w:cs="Times New Roman"/>
          <w:color w:val="000000"/>
          <w:sz w:val="24"/>
          <w:szCs w:val="24"/>
        </w:rPr>
        <w:t>内，取得本</w:t>
      </w:r>
      <w:r>
        <w:rPr>
          <w:rFonts w:hint="eastAsia" w:ascii="宋体" w:hAnsi="宋体" w:eastAsia="宋体" w:cs="Times New Roman"/>
          <w:color w:val="000000"/>
          <w:sz w:val="24"/>
          <w:szCs w:val="24"/>
          <w:lang w:eastAsia="zh-CN"/>
        </w:rPr>
        <w:t>次竞选项目</w:t>
      </w:r>
      <w:r>
        <w:rPr>
          <w:rFonts w:hint="eastAsia" w:ascii="宋体" w:hAnsi="宋体" w:eastAsia="宋体" w:cs="Times New Roman"/>
          <w:color w:val="000000"/>
          <w:sz w:val="24"/>
          <w:szCs w:val="24"/>
        </w:rPr>
        <w:t>的重庆市城市生活垃圾（</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）经营性收集、运输</w:t>
      </w:r>
      <w:r>
        <w:rPr>
          <w:rFonts w:hint="eastAsia" w:ascii="宋体" w:hAnsi="宋体" w:eastAsia="宋体" w:cs="Times New Roman"/>
          <w:color w:val="000000"/>
          <w:sz w:val="24"/>
          <w:szCs w:val="24"/>
          <w:lang w:eastAsia="zh-CN"/>
        </w:rPr>
        <w:t>作业</w:t>
      </w:r>
      <w:r>
        <w:rPr>
          <w:rFonts w:hint="eastAsia" w:ascii="宋体" w:hAnsi="宋体" w:eastAsia="宋体" w:cs="Times New Roman"/>
          <w:color w:val="000000"/>
          <w:sz w:val="24"/>
          <w:szCs w:val="24"/>
        </w:rPr>
        <w:t>行政许可，并向九龙坡区城市管理局报备（提供承诺书，格式自拟）。</w:t>
      </w:r>
    </w:p>
    <w:p w14:paraId="3FBA82E8">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（二）办公场地要求</w:t>
      </w:r>
    </w:p>
    <w:p w14:paraId="40B7BCE2">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eastAsia="zh-CN"/>
        </w:rPr>
        <w:t>中选人</w:t>
      </w:r>
      <w:r>
        <w:rPr>
          <w:rFonts w:hint="eastAsia" w:ascii="宋体" w:hAnsi="宋体" w:eastAsia="宋体" w:cs="Times New Roman"/>
          <w:color w:val="000000"/>
          <w:sz w:val="24"/>
          <w:szCs w:val="24"/>
        </w:rPr>
        <w:t>应在中选通知书发出（公示）后20个日历天内，</w:t>
      </w:r>
      <w:r>
        <w:rPr>
          <w:rFonts w:hint="eastAsia" w:ascii="宋体" w:hAnsi="宋体" w:eastAsia="宋体" w:cs="Times New Roman"/>
          <w:color w:val="000000"/>
          <w:sz w:val="24"/>
          <w:szCs w:val="24"/>
          <w:lang w:val="en-US" w:eastAsia="zh-CN"/>
        </w:rPr>
        <w:t>设置固定的办公场所、专用车辆停放场所</w:t>
      </w:r>
      <w:r>
        <w:rPr>
          <w:rFonts w:hint="eastAsia" w:ascii="宋体" w:hAnsi="宋体" w:eastAsia="宋体" w:cs="Times New Roman"/>
          <w:color w:val="000000"/>
          <w:sz w:val="24"/>
          <w:szCs w:val="24"/>
        </w:rPr>
        <w:t>，并向九龙坡区城市管理局报备（提供承诺书，格式自拟）。</w:t>
      </w:r>
    </w:p>
    <w:p w14:paraId="0066DC0C">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（三）环保要求</w:t>
      </w:r>
    </w:p>
    <w:p w14:paraId="2120578E">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val="en-US" w:eastAsia="zh-CN"/>
        </w:rPr>
        <w:t xml:space="preserve"> </w:t>
      </w:r>
      <w:r>
        <w:rPr>
          <w:rFonts w:hint="eastAsia" w:ascii="宋体" w:hAnsi="宋体" w:eastAsia="宋体" w:cs="Times New Roman"/>
          <w:color w:val="000000"/>
          <w:sz w:val="24"/>
          <w:szCs w:val="24"/>
        </w:rPr>
        <w:t>专用</w:t>
      </w:r>
      <w:r>
        <w:rPr>
          <w:rFonts w:hint="eastAsia" w:ascii="宋体" w:hAnsi="宋体" w:eastAsia="宋体" w:cs="Times New Roman"/>
          <w:color w:val="000000"/>
          <w:sz w:val="24"/>
          <w:szCs w:val="24"/>
          <w:lang w:eastAsia="zh-CN"/>
        </w:rPr>
        <w:t>车辆停放场所</w:t>
      </w:r>
      <w:r>
        <w:rPr>
          <w:rFonts w:hint="eastAsia" w:ascii="宋体" w:hAnsi="宋体" w:eastAsia="宋体" w:cs="Times New Roman"/>
          <w:color w:val="000000"/>
          <w:sz w:val="24"/>
          <w:szCs w:val="24"/>
        </w:rPr>
        <w:t>具有洗车或</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收集容器清洗功能的，</w:t>
      </w:r>
      <w:r>
        <w:rPr>
          <w:rFonts w:hint="eastAsia" w:ascii="宋体" w:hAnsi="宋体" w:eastAsia="宋体" w:cs="Times New Roman"/>
          <w:color w:val="000000"/>
          <w:sz w:val="24"/>
          <w:szCs w:val="24"/>
          <w:lang w:eastAsia="zh-CN"/>
        </w:rPr>
        <w:t>需符合污水收集及排放相关法律法规要求</w:t>
      </w:r>
      <w:r>
        <w:rPr>
          <w:rFonts w:hint="eastAsia" w:ascii="宋体" w:hAnsi="宋体" w:eastAsia="宋体" w:cs="Times New Roman"/>
          <w:color w:val="000000"/>
          <w:sz w:val="24"/>
          <w:szCs w:val="24"/>
        </w:rPr>
        <w:t>，并</w:t>
      </w:r>
      <w:r>
        <w:rPr>
          <w:rFonts w:hint="eastAsia" w:ascii="宋体" w:hAnsi="宋体" w:eastAsia="宋体" w:cs="Times New Roman"/>
          <w:color w:val="000000"/>
          <w:sz w:val="24"/>
          <w:szCs w:val="24"/>
          <w:lang w:eastAsia="zh-CN"/>
        </w:rPr>
        <w:t>编制污水排放方案</w:t>
      </w:r>
      <w:r>
        <w:rPr>
          <w:rFonts w:hint="eastAsia" w:ascii="宋体" w:hAnsi="宋体" w:eastAsia="宋体" w:cs="Times New Roman"/>
          <w:color w:val="000000"/>
          <w:sz w:val="24"/>
          <w:szCs w:val="24"/>
        </w:rPr>
        <w:t>向九龙坡区城市管理局报备（提供承诺书，格式自拟）。</w:t>
      </w:r>
    </w:p>
    <w:p w14:paraId="461E0129">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val="en-US" w:eastAsia="zh-CN"/>
        </w:rPr>
        <w:t xml:space="preserve"> </w:t>
      </w:r>
      <w:r>
        <w:rPr>
          <w:rFonts w:hint="eastAsia" w:ascii="宋体" w:hAnsi="宋体" w:eastAsia="宋体" w:cs="Times New Roman"/>
          <w:color w:val="000000"/>
          <w:sz w:val="24"/>
          <w:szCs w:val="24"/>
        </w:rPr>
        <w:t>委托第三方或在九龙坡行政区域外清洗车辆及收集容器的，</w:t>
      </w:r>
      <w:r>
        <w:rPr>
          <w:rFonts w:hint="eastAsia" w:ascii="宋体" w:hAnsi="宋体" w:eastAsia="宋体" w:cs="Times New Roman"/>
          <w:color w:val="000000"/>
          <w:sz w:val="24"/>
          <w:szCs w:val="24"/>
          <w:lang w:eastAsia="zh-CN"/>
        </w:rPr>
        <w:t>中选人应在</w:t>
      </w:r>
      <w:r>
        <w:rPr>
          <w:rFonts w:hint="eastAsia" w:ascii="宋体" w:hAnsi="宋体" w:eastAsia="宋体" w:cs="Times New Roman"/>
          <w:color w:val="000000"/>
          <w:sz w:val="24"/>
          <w:szCs w:val="24"/>
        </w:rPr>
        <w:t>中选通知书发出（公示）后30个日历天内，向九龙坡区城市管理局报备相关</w:t>
      </w:r>
      <w:r>
        <w:rPr>
          <w:rFonts w:hint="eastAsia" w:ascii="宋体" w:hAnsi="宋体" w:cs="Times New Roman"/>
          <w:color w:val="000000"/>
          <w:sz w:val="24"/>
          <w:szCs w:val="24"/>
          <w:lang w:eastAsia="zh-CN"/>
        </w:rPr>
        <w:t>合同</w:t>
      </w:r>
      <w:r>
        <w:rPr>
          <w:rFonts w:hint="eastAsia" w:ascii="宋体" w:hAnsi="宋体" w:eastAsia="宋体" w:cs="Times New Roman"/>
          <w:color w:val="000000"/>
          <w:sz w:val="24"/>
          <w:szCs w:val="24"/>
        </w:rPr>
        <w:t>或</w:t>
      </w:r>
      <w:r>
        <w:rPr>
          <w:rFonts w:hint="eastAsia" w:ascii="宋体" w:hAnsi="宋体" w:eastAsia="宋体" w:cs="Times New Roman"/>
          <w:color w:val="000000"/>
          <w:sz w:val="24"/>
          <w:szCs w:val="24"/>
          <w:lang w:eastAsia="zh-CN"/>
        </w:rPr>
        <w:t>协议</w:t>
      </w:r>
      <w:r>
        <w:rPr>
          <w:rFonts w:hint="eastAsia" w:ascii="宋体" w:hAnsi="宋体" w:eastAsia="宋体" w:cs="Times New Roman"/>
          <w:color w:val="000000"/>
          <w:sz w:val="24"/>
          <w:szCs w:val="24"/>
        </w:rPr>
        <w:t>（提供承诺书，格式自拟）。</w:t>
      </w:r>
    </w:p>
    <w:p w14:paraId="2A9B2F57">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（四）处置场要求</w:t>
      </w:r>
    </w:p>
    <w:p w14:paraId="793F3B94">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eastAsia="zh-CN"/>
        </w:rPr>
        <w:t>竞选人应在</w:t>
      </w:r>
      <w:r>
        <w:rPr>
          <w:rFonts w:hint="eastAsia" w:ascii="宋体" w:hAnsi="宋体" w:eastAsia="宋体" w:cs="Times New Roman"/>
          <w:color w:val="000000"/>
          <w:sz w:val="24"/>
          <w:szCs w:val="24"/>
        </w:rPr>
        <w:t>中选通知书发出（公示）后30个日历天内，与取得重庆市城市</w:t>
      </w:r>
      <w:r>
        <w:rPr>
          <w:rFonts w:hint="eastAsia" w:ascii="宋体" w:hAnsi="宋体" w:eastAsia="宋体" w:cs="Times New Roman"/>
          <w:color w:val="000000"/>
          <w:sz w:val="24"/>
          <w:szCs w:val="24"/>
          <w:lang w:eastAsia="zh-CN"/>
        </w:rPr>
        <w:t>管理局“</w:t>
      </w:r>
      <w:r>
        <w:rPr>
          <w:rFonts w:hint="eastAsia" w:ascii="宋体" w:hAnsi="宋体" w:eastAsia="宋体" w:cs="Times New Roman"/>
          <w:color w:val="000000"/>
          <w:sz w:val="24"/>
          <w:szCs w:val="24"/>
        </w:rPr>
        <w:t>生活垃圾（</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）处置</w:t>
      </w:r>
      <w:r>
        <w:rPr>
          <w:rFonts w:hint="eastAsia" w:ascii="宋体" w:hAnsi="宋体" w:eastAsia="宋体" w:cs="Times New Roman"/>
          <w:color w:val="000000"/>
          <w:sz w:val="24"/>
          <w:szCs w:val="24"/>
          <w:lang w:eastAsia="zh-CN"/>
        </w:rPr>
        <w:t>特许经营权”</w:t>
      </w:r>
      <w:r>
        <w:rPr>
          <w:rFonts w:hint="eastAsia" w:ascii="宋体" w:hAnsi="宋体" w:eastAsia="宋体" w:cs="Times New Roman"/>
          <w:color w:val="000000"/>
          <w:sz w:val="24"/>
          <w:szCs w:val="24"/>
        </w:rPr>
        <w:t>的</w:t>
      </w:r>
      <w:r>
        <w:rPr>
          <w:rFonts w:hint="eastAsia" w:ascii="宋体" w:hAnsi="宋体" w:eastAsia="宋体" w:cs="Times New Roman"/>
          <w:color w:val="000000"/>
          <w:sz w:val="24"/>
          <w:szCs w:val="24"/>
          <w:lang w:eastAsia="zh-CN"/>
        </w:rPr>
        <w:t>企业</w:t>
      </w:r>
      <w:r>
        <w:rPr>
          <w:rFonts w:hint="eastAsia" w:ascii="宋体" w:hAnsi="宋体" w:eastAsia="宋体" w:cs="Times New Roman"/>
          <w:color w:val="000000"/>
          <w:sz w:val="24"/>
          <w:szCs w:val="24"/>
        </w:rPr>
        <w:t>签订《</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处置</w:t>
      </w:r>
      <w:r>
        <w:rPr>
          <w:rFonts w:hint="eastAsia" w:ascii="宋体" w:hAnsi="宋体" w:eastAsia="宋体" w:cs="Times New Roman"/>
          <w:color w:val="000000"/>
          <w:sz w:val="24"/>
          <w:szCs w:val="24"/>
          <w:lang w:eastAsia="zh-CN"/>
        </w:rPr>
        <w:t>协议</w:t>
      </w:r>
      <w:r>
        <w:rPr>
          <w:rFonts w:hint="eastAsia" w:ascii="宋体" w:hAnsi="宋体" w:eastAsia="宋体" w:cs="Times New Roman"/>
          <w:color w:val="000000"/>
          <w:sz w:val="24"/>
          <w:szCs w:val="24"/>
        </w:rPr>
        <w:t>》，并向九龙坡区城市管理局报备（提供承诺书，格式自拟）。</w:t>
      </w:r>
    </w:p>
    <w:p w14:paraId="0C868C70">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（五）车辆要求</w:t>
      </w:r>
    </w:p>
    <w:p w14:paraId="5F068178">
      <w:pPr>
        <w:shd w:val="clear" w:color="auto" w:fill="FFFFFF"/>
        <w:spacing w:line="400" w:lineRule="exact"/>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1.拟投入</w:t>
      </w:r>
      <w:r>
        <w:rPr>
          <w:rFonts w:hint="eastAsia" w:ascii="宋体" w:hAnsi="宋体" w:eastAsia="宋体" w:cs="Times New Roman"/>
          <w:color w:val="000000"/>
          <w:sz w:val="24"/>
          <w:szCs w:val="24"/>
          <w:lang w:eastAsia="zh-CN"/>
        </w:rPr>
        <w:t>本次竞选</w:t>
      </w:r>
      <w:r>
        <w:rPr>
          <w:rFonts w:hint="eastAsia" w:ascii="宋体" w:hAnsi="宋体" w:eastAsia="宋体" w:cs="Times New Roman"/>
          <w:color w:val="000000"/>
          <w:sz w:val="24"/>
          <w:szCs w:val="24"/>
        </w:rPr>
        <w:t>的收运车辆不低于</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辆，每辆车总质量≥1000kg</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车辆总质量≥4500kg的，需提供道路运输车辆营运证复印件并加盖公章</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不得跨其他行政区收</w:t>
      </w:r>
      <w:r>
        <w:rPr>
          <w:rFonts w:hint="eastAsia" w:ascii="宋体" w:hAnsi="宋体" w:eastAsia="宋体" w:cs="Times New Roman"/>
          <w:color w:val="000000"/>
          <w:sz w:val="24"/>
          <w:szCs w:val="24"/>
          <w:lang w:eastAsia="zh-CN"/>
        </w:rPr>
        <w:t>运</w:t>
      </w:r>
      <w:r>
        <w:rPr>
          <w:rFonts w:hint="eastAsia" w:ascii="宋体" w:hAnsi="宋体" w:eastAsia="宋体" w:cs="Times New Roman"/>
          <w:color w:val="000000"/>
          <w:sz w:val="24"/>
          <w:szCs w:val="24"/>
        </w:rPr>
        <w:t>作业。</w:t>
      </w:r>
    </w:p>
    <w:p w14:paraId="1D06276A">
      <w:pPr>
        <w:shd w:val="clear" w:color="auto" w:fill="FFFFFF"/>
        <w:spacing w:line="400" w:lineRule="exact"/>
        <w:ind w:firstLine="480" w:firstLineChars="200"/>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rPr>
        <w:t>2.拟投入</w:t>
      </w:r>
      <w:r>
        <w:rPr>
          <w:rFonts w:hint="eastAsia" w:ascii="宋体" w:hAnsi="宋体" w:eastAsia="宋体" w:cs="Times New Roman"/>
          <w:color w:val="000000"/>
          <w:sz w:val="24"/>
          <w:szCs w:val="24"/>
          <w:lang w:eastAsia="zh-CN"/>
        </w:rPr>
        <w:t>本次竞选</w:t>
      </w:r>
      <w:r>
        <w:rPr>
          <w:rFonts w:hint="eastAsia" w:ascii="宋体" w:hAnsi="宋体" w:eastAsia="宋体" w:cs="Times New Roman"/>
          <w:color w:val="000000"/>
          <w:sz w:val="24"/>
          <w:szCs w:val="24"/>
        </w:rPr>
        <w:t>的收运车辆应符合《中华人民共和国道路交通安全法》《重庆市</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管理规定（试行）》等法律法规相关要求</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推荐使用属于工信部《节能与新能源汽车示范推广应用工程推荐车型目录》范围内的新能源车辆</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val="en-US" w:eastAsia="zh-CN"/>
        </w:rPr>
        <w:t xml:space="preserve">  </w:t>
      </w:r>
    </w:p>
    <w:p w14:paraId="14E3DA20">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3.拟投入</w:t>
      </w:r>
      <w:r>
        <w:rPr>
          <w:rFonts w:hint="eastAsia" w:ascii="宋体" w:hAnsi="宋体" w:eastAsia="宋体" w:cs="Times New Roman"/>
          <w:color w:val="000000"/>
          <w:sz w:val="24"/>
          <w:szCs w:val="24"/>
          <w:lang w:eastAsia="zh-CN"/>
        </w:rPr>
        <w:t>本次竞选</w:t>
      </w:r>
      <w:r>
        <w:rPr>
          <w:rFonts w:hint="eastAsia" w:ascii="宋体" w:hAnsi="宋体" w:eastAsia="宋体" w:cs="Times New Roman"/>
          <w:color w:val="000000"/>
          <w:sz w:val="24"/>
          <w:szCs w:val="24"/>
        </w:rPr>
        <w:t>的收运车辆均需安装卫星定位系统及装卸过程记录仪，配备物联网感知设备，并在</w:t>
      </w:r>
      <w:r>
        <w:rPr>
          <w:rFonts w:hint="eastAsia" w:ascii="宋体" w:hAnsi="宋体" w:eastAsia="宋体" w:cs="Times New Roman"/>
          <w:color w:val="000000"/>
          <w:sz w:val="24"/>
          <w:szCs w:val="24"/>
          <w:lang w:eastAsia="zh-CN"/>
        </w:rPr>
        <w:t>协议</w:t>
      </w:r>
      <w:r>
        <w:rPr>
          <w:rFonts w:hint="eastAsia" w:ascii="宋体" w:hAnsi="宋体" w:eastAsia="宋体" w:cs="Times New Roman"/>
          <w:color w:val="000000"/>
          <w:sz w:val="24"/>
          <w:szCs w:val="24"/>
        </w:rPr>
        <w:t>签订后30日历天内，完成市、区级相关平台对接及实现数据互联互通（提供承诺书，格式自拟）。</w:t>
      </w:r>
    </w:p>
    <w:p w14:paraId="199EFA58">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4.拟投入</w:t>
      </w:r>
      <w:r>
        <w:rPr>
          <w:rFonts w:hint="eastAsia" w:ascii="宋体" w:hAnsi="宋体" w:eastAsia="宋体" w:cs="Times New Roman"/>
          <w:color w:val="000000"/>
          <w:sz w:val="24"/>
          <w:szCs w:val="24"/>
          <w:lang w:eastAsia="zh-CN"/>
        </w:rPr>
        <w:t>本次竞选</w:t>
      </w:r>
      <w:r>
        <w:rPr>
          <w:rFonts w:hint="eastAsia" w:ascii="宋体" w:hAnsi="宋体" w:eastAsia="宋体" w:cs="Times New Roman"/>
          <w:color w:val="000000"/>
          <w:sz w:val="24"/>
          <w:szCs w:val="24"/>
        </w:rPr>
        <w:t>的收运车辆自有或租赁均可。</w:t>
      </w:r>
    </w:p>
    <w:p w14:paraId="14E82295">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（1）自有车辆设备需提供车辆购置发票复印件、车辆行驶证复印件、车辆照片。车辆购置人和车辆行驶证中车辆所有人与</w:t>
      </w:r>
      <w:r>
        <w:rPr>
          <w:rFonts w:hint="eastAsia" w:ascii="宋体" w:hAnsi="宋体" w:eastAsia="宋体" w:cs="Times New Roman"/>
          <w:color w:val="000000"/>
          <w:sz w:val="24"/>
          <w:szCs w:val="24"/>
          <w:lang w:eastAsia="zh-CN"/>
        </w:rPr>
        <w:t>竞选人</w:t>
      </w:r>
      <w:r>
        <w:rPr>
          <w:rFonts w:hint="eastAsia" w:ascii="宋体" w:hAnsi="宋体" w:eastAsia="宋体" w:cs="Times New Roman"/>
          <w:color w:val="000000"/>
          <w:sz w:val="24"/>
          <w:szCs w:val="24"/>
        </w:rPr>
        <w:t>名称必须一致，车辆购置发票中车辆型号与车辆行驶证中品牌型号必须一致，车辆行驶证中号牌号码与车辆照片显示号牌必须一致。</w:t>
      </w:r>
    </w:p>
    <w:p w14:paraId="009EB131">
      <w:pPr>
        <w:shd w:val="clear" w:color="auto" w:fill="FFFFFF"/>
        <w:spacing w:line="40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rPr>
        <w:t>（2）租赁车辆需提供租赁</w:t>
      </w:r>
      <w:r>
        <w:rPr>
          <w:rFonts w:hint="eastAsia" w:ascii="宋体" w:hAnsi="宋体" w:cs="Times New Roman"/>
          <w:color w:val="000000"/>
          <w:sz w:val="24"/>
          <w:szCs w:val="24"/>
          <w:lang w:eastAsia="zh-CN"/>
        </w:rPr>
        <w:t>合同</w:t>
      </w:r>
      <w:r>
        <w:rPr>
          <w:rFonts w:hint="eastAsia" w:ascii="宋体" w:hAnsi="宋体" w:eastAsia="宋体" w:cs="Times New Roman"/>
          <w:color w:val="000000"/>
          <w:sz w:val="24"/>
          <w:szCs w:val="24"/>
        </w:rPr>
        <w:t>（协议）复印件、车辆购置发票复印件、车辆行驶证复印件、车辆照片。车辆租赁</w:t>
      </w:r>
      <w:r>
        <w:rPr>
          <w:rFonts w:hint="eastAsia" w:ascii="宋体" w:hAnsi="宋体" w:cs="Times New Roman"/>
          <w:color w:val="000000"/>
          <w:sz w:val="24"/>
          <w:szCs w:val="24"/>
          <w:lang w:eastAsia="zh-CN"/>
        </w:rPr>
        <w:t>合同</w:t>
      </w:r>
      <w:r>
        <w:rPr>
          <w:rFonts w:hint="eastAsia" w:ascii="宋体" w:hAnsi="宋体" w:eastAsia="宋体" w:cs="Times New Roman"/>
          <w:color w:val="000000"/>
          <w:sz w:val="24"/>
          <w:szCs w:val="24"/>
        </w:rPr>
        <w:t>或协议的租赁期需涵盖</w:t>
      </w:r>
      <w:r>
        <w:rPr>
          <w:rFonts w:hint="eastAsia" w:ascii="宋体" w:hAnsi="宋体" w:eastAsia="宋体" w:cs="Times New Roman"/>
          <w:color w:val="000000"/>
          <w:sz w:val="24"/>
          <w:szCs w:val="24"/>
          <w:lang w:eastAsia="zh-CN"/>
        </w:rPr>
        <w:t>本次竞选作业</w:t>
      </w:r>
      <w:r>
        <w:rPr>
          <w:rFonts w:hint="eastAsia" w:ascii="宋体" w:hAnsi="宋体" w:eastAsia="宋体" w:cs="Times New Roman"/>
          <w:color w:val="000000"/>
          <w:sz w:val="24"/>
          <w:szCs w:val="24"/>
        </w:rPr>
        <w:t>期，车辆购置人和车辆行驶证中车辆所有人与出租人名称必须一致，车辆购置发票中车辆型号与车辆行驶</w:t>
      </w:r>
      <w:r>
        <w:rPr>
          <w:rFonts w:hint="eastAsia" w:ascii="宋体" w:hAnsi="宋体" w:eastAsia="宋体" w:cs="Times New Roman"/>
          <w:color w:val="000000"/>
          <w:sz w:val="24"/>
          <w:szCs w:val="24"/>
          <w:highlight w:val="none"/>
        </w:rPr>
        <w:t>证中品牌型号必须一致，车辆行驶证中号牌号码与车辆照片显示号牌必须一致。</w:t>
      </w:r>
    </w:p>
    <w:p w14:paraId="7042862A">
      <w:pPr>
        <w:shd w:val="clear" w:color="auto" w:fill="FFFFFF"/>
        <w:spacing w:line="400" w:lineRule="exact"/>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5.租赁车辆在竞选作业期内，仅限于与</w:t>
      </w:r>
      <w:r>
        <w:rPr>
          <w:rFonts w:hint="eastAsia" w:ascii="宋体" w:hAnsi="宋体" w:cs="Times New Roman"/>
          <w:color w:val="000000"/>
          <w:sz w:val="24"/>
          <w:szCs w:val="24"/>
          <w:highlight w:val="none"/>
          <w:lang w:eastAsia="zh-CN"/>
        </w:rPr>
        <w:t>竞选人</w:t>
      </w:r>
      <w:r>
        <w:rPr>
          <w:rFonts w:hint="eastAsia" w:ascii="宋体" w:hAnsi="宋体" w:eastAsia="宋体" w:cs="Times New Roman"/>
          <w:color w:val="000000"/>
          <w:sz w:val="24"/>
          <w:szCs w:val="24"/>
          <w:highlight w:val="none"/>
        </w:rPr>
        <w:t>签订</w:t>
      </w:r>
      <w:r>
        <w:rPr>
          <w:rFonts w:hint="eastAsia" w:ascii="宋体" w:hAnsi="宋体" w:cs="Times New Roman"/>
          <w:color w:val="000000"/>
          <w:sz w:val="24"/>
          <w:szCs w:val="24"/>
          <w:highlight w:val="none"/>
          <w:lang w:eastAsia="zh-CN"/>
        </w:rPr>
        <w:t>合同</w:t>
      </w:r>
      <w:r>
        <w:rPr>
          <w:rFonts w:hint="eastAsia" w:ascii="宋体" w:hAnsi="宋体" w:eastAsia="宋体" w:cs="Times New Roman"/>
          <w:color w:val="000000"/>
          <w:sz w:val="24"/>
          <w:szCs w:val="24"/>
          <w:highlight w:val="none"/>
        </w:rPr>
        <w:t>，不能多公司共用一辆作业车辆</w:t>
      </w:r>
      <w:r>
        <w:rPr>
          <w:rFonts w:hint="eastAsia" w:ascii="宋体" w:hAnsi="宋体" w:eastAsia="宋体" w:cs="Times New Roman"/>
          <w:color w:val="000000"/>
          <w:sz w:val="24"/>
          <w:szCs w:val="24"/>
          <w:highlight w:val="none"/>
          <w:lang w:eastAsia="zh-CN"/>
        </w:rPr>
        <w:t>。</w:t>
      </w:r>
    </w:p>
    <w:p w14:paraId="79AAFE8C">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6.</w:t>
      </w:r>
      <w:r>
        <w:rPr>
          <w:rFonts w:hint="eastAsia" w:ascii="宋体" w:hAnsi="宋体" w:eastAsia="宋体" w:cs="Times New Roman"/>
          <w:color w:val="000000"/>
          <w:sz w:val="24"/>
          <w:szCs w:val="24"/>
        </w:rPr>
        <w:t>拟投入本项的收运车辆均不得擅自退出</w:t>
      </w:r>
      <w:r>
        <w:rPr>
          <w:rFonts w:hint="eastAsia" w:ascii="宋体" w:hAnsi="宋体" w:eastAsia="宋体" w:cs="Times New Roman"/>
          <w:color w:val="000000"/>
          <w:sz w:val="24"/>
          <w:szCs w:val="24"/>
          <w:lang w:eastAsia="zh-CN"/>
        </w:rPr>
        <w:t>作业</w:t>
      </w:r>
      <w:r>
        <w:rPr>
          <w:rFonts w:hint="eastAsia" w:ascii="宋体" w:hAnsi="宋体" w:eastAsia="宋体" w:cs="Times New Roman"/>
          <w:color w:val="000000"/>
          <w:sz w:val="24"/>
          <w:szCs w:val="24"/>
        </w:rPr>
        <w:t>。若遇特殊情况，</w:t>
      </w:r>
      <w:r>
        <w:rPr>
          <w:rFonts w:hint="eastAsia" w:ascii="宋体" w:hAnsi="宋体" w:eastAsia="宋体" w:cs="Times New Roman"/>
          <w:color w:val="000000"/>
          <w:sz w:val="24"/>
          <w:szCs w:val="24"/>
          <w:lang w:eastAsia="zh-CN"/>
        </w:rPr>
        <w:t>中选人</w:t>
      </w:r>
      <w:r>
        <w:rPr>
          <w:rFonts w:hint="eastAsia" w:ascii="宋体" w:hAnsi="宋体" w:eastAsia="宋体" w:cs="Times New Roman"/>
          <w:color w:val="000000"/>
          <w:sz w:val="24"/>
          <w:szCs w:val="24"/>
        </w:rPr>
        <w:t>应在车辆变更前15个日历天内书面向九龙坡区城市管理局报备。九龙坡区城市管理局将按照收运车辆信息进行公示告知。</w:t>
      </w:r>
    </w:p>
    <w:p w14:paraId="4FCC1DC9">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（六）人员要求</w:t>
      </w:r>
    </w:p>
    <w:p w14:paraId="5F4F2877">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1.项目负责人1名；</w:t>
      </w:r>
    </w:p>
    <w:p w14:paraId="6A93B87B">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2.驾驶员不低于</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名；</w:t>
      </w:r>
    </w:p>
    <w:p w14:paraId="0ABAF65F">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3.收运工不低于</w:t>
      </w:r>
      <w:r>
        <w:rPr>
          <w:rFonts w:hint="eastAsia" w:ascii="宋体" w:hAnsi="宋体" w:eastAsia="宋体" w:cs="Times New Roman"/>
          <w:color w:val="000000"/>
          <w:sz w:val="24"/>
          <w:szCs w:val="24"/>
          <w:lang w:val="en-US" w:eastAsia="zh-CN"/>
        </w:rPr>
        <w:t>5</w:t>
      </w:r>
      <w:r>
        <w:rPr>
          <w:rFonts w:hint="eastAsia" w:ascii="宋体" w:hAnsi="宋体" w:eastAsia="宋体" w:cs="Times New Roman"/>
          <w:color w:val="000000"/>
          <w:sz w:val="24"/>
          <w:szCs w:val="24"/>
        </w:rPr>
        <w:t>名。</w:t>
      </w:r>
    </w:p>
    <w:p w14:paraId="53859895">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注：（1）驾驶员、收运人员应岗位明确，定员定岗，不得相互兼职，不得跨其他行政区收集作业。</w:t>
      </w:r>
    </w:p>
    <w:p w14:paraId="1B95E140">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eastAsia="zh-CN"/>
        </w:rPr>
        <w:t>中选人</w:t>
      </w:r>
      <w:r>
        <w:rPr>
          <w:rFonts w:hint="eastAsia" w:ascii="宋体" w:hAnsi="宋体" w:eastAsia="宋体" w:cs="Times New Roman"/>
          <w:color w:val="000000"/>
          <w:sz w:val="24"/>
          <w:szCs w:val="24"/>
        </w:rPr>
        <w:t>在入场后30日历天内，提供派驻</w:t>
      </w:r>
      <w:r>
        <w:rPr>
          <w:rFonts w:hint="eastAsia" w:ascii="宋体" w:hAnsi="宋体" w:eastAsia="宋体" w:cs="Times New Roman"/>
          <w:color w:val="000000"/>
          <w:sz w:val="24"/>
          <w:szCs w:val="24"/>
          <w:lang w:eastAsia="zh-CN"/>
        </w:rPr>
        <w:t>九龙坡区域作业</w:t>
      </w:r>
      <w:r>
        <w:rPr>
          <w:rFonts w:hint="eastAsia" w:ascii="宋体" w:hAnsi="宋体" w:eastAsia="宋体" w:cs="Times New Roman"/>
          <w:color w:val="000000"/>
          <w:sz w:val="24"/>
          <w:szCs w:val="24"/>
        </w:rPr>
        <w:t>人员名单（详细注明人员姓名、身份证号码、工牌工号）、用工</w:t>
      </w:r>
      <w:r>
        <w:rPr>
          <w:rFonts w:hint="eastAsia" w:ascii="宋体" w:hAnsi="宋体" w:cs="Times New Roman"/>
          <w:color w:val="000000"/>
          <w:sz w:val="24"/>
          <w:szCs w:val="24"/>
          <w:lang w:eastAsia="zh-CN"/>
        </w:rPr>
        <w:t>合同</w:t>
      </w:r>
      <w:r>
        <w:rPr>
          <w:rFonts w:hint="eastAsia" w:ascii="宋体" w:hAnsi="宋体" w:eastAsia="宋体" w:cs="Times New Roman"/>
          <w:color w:val="000000"/>
          <w:sz w:val="24"/>
          <w:szCs w:val="24"/>
        </w:rPr>
        <w:t>、社</w:t>
      </w:r>
      <w:r>
        <w:rPr>
          <w:rFonts w:hint="eastAsia" w:ascii="宋体" w:hAnsi="宋体" w:eastAsia="宋体" w:cs="Times New Roman"/>
          <w:color w:val="000000"/>
          <w:sz w:val="24"/>
          <w:szCs w:val="24"/>
          <w:lang w:eastAsia="zh-CN"/>
        </w:rPr>
        <w:t>会</w:t>
      </w:r>
      <w:r>
        <w:rPr>
          <w:rFonts w:hint="eastAsia" w:ascii="宋体" w:hAnsi="宋体" w:eastAsia="宋体" w:cs="Times New Roman"/>
          <w:color w:val="000000"/>
          <w:sz w:val="24"/>
          <w:szCs w:val="24"/>
        </w:rPr>
        <w:t>保</w:t>
      </w:r>
      <w:r>
        <w:rPr>
          <w:rFonts w:hint="eastAsia" w:ascii="宋体" w:hAnsi="宋体" w:eastAsia="宋体" w:cs="Times New Roman"/>
          <w:color w:val="000000"/>
          <w:sz w:val="24"/>
          <w:szCs w:val="24"/>
          <w:lang w:eastAsia="zh-CN"/>
        </w:rPr>
        <w:t>险</w:t>
      </w:r>
      <w:r>
        <w:rPr>
          <w:rFonts w:hint="eastAsia" w:ascii="宋体" w:hAnsi="宋体" w:eastAsia="宋体" w:cs="Times New Roman"/>
          <w:color w:val="000000"/>
          <w:sz w:val="24"/>
          <w:szCs w:val="24"/>
        </w:rPr>
        <w:t>（或商业保险）等资料。</w:t>
      </w:r>
    </w:p>
    <w:p w14:paraId="075CAA8E">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eastAsia="zh-CN"/>
        </w:rPr>
        <w:t>中选人为新成立不足一个月的，在开展作业后，应履行竞选文件第十一条评审办法中员工工资和社会保障的承诺比例，并始终保持比例一致。</w:t>
      </w:r>
    </w:p>
    <w:p w14:paraId="09B66CBB">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eastAsia="zh-CN"/>
        </w:rPr>
        <w:t>本次竞选</w:t>
      </w:r>
      <w:r>
        <w:rPr>
          <w:rFonts w:hint="eastAsia" w:ascii="宋体" w:hAnsi="宋体" w:eastAsia="宋体" w:cs="Times New Roman"/>
          <w:color w:val="000000"/>
          <w:sz w:val="24"/>
          <w:szCs w:val="24"/>
        </w:rPr>
        <w:t>有效期内发生人员变更时，</w:t>
      </w:r>
      <w:r>
        <w:rPr>
          <w:rFonts w:hint="eastAsia" w:ascii="宋体" w:hAnsi="宋体" w:eastAsia="宋体" w:cs="Times New Roman"/>
          <w:color w:val="000000"/>
          <w:sz w:val="24"/>
          <w:szCs w:val="24"/>
          <w:lang w:eastAsia="zh-CN"/>
        </w:rPr>
        <w:t>中选人</w:t>
      </w:r>
      <w:r>
        <w:rPr>
          <w:rFonts w:hint="eastAsia" w:ascii="宋体" w:hAnsi="宋体" w:eastAsia="宋体" w:cs="Times New Roman"/>
          <w:color w:val="000000"/>
          <w:sz w:val="24"/>
          <w:szCs w:val="24"/>
        </w:rPr>
        <w:t>应在7个日历天内向九龙坡区城市管理局报备</w:t>
      </w:r>
      <w:r>
        <w:rPr>
          <w:rFonts w:hint="eastAsia" w:ascii="宋体" w:hAnsi="宋体" w:eastAsia="宋体" w:cs="Times New Roman"/>
          <w:color w:val="000000"/>
          <w:sz w:val="24"/>
          <w:szCs w:val="24"/>
          <w:lang w:eastAsia="zh-CN"/>
        </w:rPr>
        <w:t>，并保持员工工资和社会保障的承诺比例</w:t>
      </w:r>
      <w:r>
        <w:rPr>
          <w:rFonts w:hint="eastAsia" w:ascii="宋体" w:hAnsi="宋体" w:eastAsia="宋体" w:cs="Times New Roman"/>
          <w:color w:val="000000"/>
          <w:sz w:val="24"/>
          <w:szCs w:val="24"/>
        </w:rPr>
        <w:t>。</w:t>
      </w:r>
    </w:p>
    <w:p w14:paraId="40A6B805">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若更换人员为参与竞选时提供的安全相关合格证书的人员时，应变更为同样取得安全相关合格证书的人员，并保持与竞选文件安全合格证人员总数一致。</w:t>
      </w:r>
    </w:p>
    <w:p w14:paraId="4E70FC71">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七</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监管</w:t>
      </w:r>
      <w:r>
        <w:rPr>
          <w:rFonts w:hint="eastAsia" w:ascii="宋体" w:hAnsi="宋体" w:eastAsia="宋体" w:cs="Times New Roman"/>
          <w:color w:val="000000"/>
          <w:sz w:val="24"/>
          <w:szCs w:val="24"/>
        </w:rPr>
        <w:t>要求</w:t>
      </w:r>
    </w:p>
    <w:p w14:paraId="20E3D586">
      <w:pPr>
        <w:shd w:val="clear" w:color="auto" w:fill="FFFFFF"/>
        <w:spacing w:line="400" w:lineRule="exact"/>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中选人应在中选通知书发出后15个日历天内，将拟投入在九龙坡区作业的车辆、设备按相关要求接入重庆市市场监管局“餐饮安全在线”系统，并接受重庆市市场监管局在线监管。所需费用由中选人自行承担</w:t>
      </w:r>
      <w:r>
        <w:rPr>
          <w:rFonts w:hint="eastAsia" w:ascii="宋体" w:hAnsi="宋体" w:eastAsia="宋体" w:cs="Times New Roman"/>
          <w:color w:val="000000"/>
          <w:sz w:val="24"/>
          <w:szCs w:val="24"/>
        </w:rPr>
        <w:t>（提供承诺书，格式自拟）</w:t>
      </w:r>
      <w:r>
        <w:rPr>
          <w:rFonts w:hint="eastAsia" w:ascii="宋体" w:hAnsi="宋体" w:eastAsia="宋体" w:cs="Times New Roman"/>
          <w:color w:val="000000"/>
          <w:sz w:val="24"/>
          <w:szCs w:val="24"/>
          <w:lang w:val="en-US" w:eastAsia="zh-CN"/>
        </w:rPr>
        <w:t>。</w:t>
      </w:r>
    </w:p>
    <w:p w14:paraId="3423E0F6">
      <w:pPr>
        <w:shd w:val="clear" w:color="auto" w:fill="FFFFFF"/>
        <w:spacing w:line="400" w:lineRule="exact"/>
        <w:ind w:firstLine="482" w:firstLineChars="200"/>
        <w:outlineLvl w:val="1"/>
        <w:rPr>
          <w:rFonts w:hint="eastAsia" w:ascii="宋体" w:hAnsi="宋体" w:eastAsia="宋体" w:cs="Times New Roman"/>
          <w:b/>
          <w:color w:val="000000"/>
          <w:sz w:val="24"/>
          <w:szCs w:val="24"/>
          <w:lang w:eastAsia="zh-CN"/>
        </w:rPr>
      </w:pPr>
      <w:r>
        <w:rPr>
          <w:rFonts w:hint="eastAsia" w:ascii="宋体" w:hAnsi="宋体" w:eastAsia="宋体" w:cs="Times New Roman"/>
          <w:b/>
          <w:color w:val="000000"/>
          <w:sz w:val="24"/>
          <w:szCs w:val="24"/>
          <w:lang w:eastAsia="zh-CN"/>
        </w:rPr>
        <w:t>三、作业内容及要求</w:t>
      </w:r>
    </w:p>
    <w:p w14:paraId="2BB666DC">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sz w:val="24"/>
          <w:szCs w:val="24"/>
        </w:rPr>
        <w:t>※</w:t>
      </w:r>
      <w:r>
        <w:rPr>
          <w:rFonts w:hint="eastAsia" w:ascii="宋体" w:hAnsi="宋体" w:eastAsia="宋体" w:cs="Times New Roman"/>
          <w:color w:val="000000"/>
          <w:sz w:val="24"/>
          <w:szCs w:val="24"/>
        </w:rPr>
        <w:t>（一）</w:t>
      </w:r>
      <w:r>
        <w:rPr>
          <w:rFonts w:hint="eastAsia" w:ascii="宋体" w:hAnsi="宋体" w:eastAsia="宋体" w:cs="Times New Roman"/>
          <w:color w:val="000000"/>
          <w:sz w:val="24"/>
          <w:szCs w:val="24"/>
          <w:lang w:eastAsia="zh-CN"/>
        </w:rPr>
        <w:t>作业</w:t>
      </w:r>
      <w:r>
        <w:rPr>
          <w:rFonts w:hint="eastAsia" w:ascii="宋体" w:hAnsi="宋体" w:eastAsia="宋体" w:cs="Times New Roman"/>
          <w:color w:val="000000"/>
          <w:sz w:val="24"/>
          <w:szCs w:val="24"/>
        </w:rPr>
        <w:t>内容</w:t>
      </w:r>
    </w:p>
    <w:p w14:paraId="1482DF5C">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1.负责与</w:t>
      </w:r>
      <w:r>
        <w:rPr>
          <w:rFonts w:hint="eastAsia" w:ascii="宋体" w:hAnsi="宋体" w:eastAsia="宋体" w:cs="Times New Roman"/>
          <w:color w:val="000000"/>
          <w:sz w:val="24"/>
          <w:szCs w:val="24"/>
          <w:lang w:eastAsia="zh-CN"/>
        </w:rPr>
        <w:t>九龙坡区行政区域</w:t>
      </w:r>
      <w:r>
        <w:rPr>
          <w:rFonts w:hint="eastAsia" w:ascii="宋体" w:hAnsi="宋体" w:eastAsia="宋体" w:cs="Times New Roman"/>
          <w:color w:val="000000"/>
          <w:sz w:val="24"/>
          <w:szCs w:val="24"/>
        </w:rPr>
        <w:t>内</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产生者或单位（以下简称产生者）协商</w:t>
      </w:r>
      <w:r>
        <w:rPr>
          <w:rFonts w:hint="eastAsia" w:ascii="宋体" w:hAnsi="宋体" w:eastAsia="宋体" w:cs="Times New Roman"/>
          <w:color w:val="000000"/>
          <w:sz w:val="24"/>
          <w:szCs w:val="24"/>
          <w:lang w:eastAsia="zh-CN"/>
        </w:rPr>
        <w:t>签订废弃食用油脂</w:t>
      </w:r>
      <w:r>
        <w:rPr>
          <w:rFonts w:hint="eastAsia" w:ascii="宋体" w:hAnsi="宋体" w:eastAsia="宋体" w:cs="Times New Roman"/>
          <w:color w:val="000000"/>
          <w:sz w:val="24"/>
          <w:szCs w:val="24"/>
        </w:rPr>
        <w:t>收运协议。</w:t>
      </w:r>
    </w:p>
    <w:p w14:paraId="4EB0EF00">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2.负责无偿向取得收集权限的</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产生者提供</w:t>
      </w:r>
      <w:r>
        <w:rPr>
          <w:rFonts w:hint="eastAsia" w:ascii="宋体" w:hAnsi="宋体" w:eastAsia="宋体" w:cs="Times New Roman"/>
          <w:color w:val="000000"/>
          <w:sz w:val="24"/>
          <w:szCs w:val="24"/>
          <w:lang w:eastAsia="zh-CN"/>
        </w:rPr>
        <w:t>由</w:t>
      </w:r>
      <w:r>
        <w:rPr>
          <w:rFonts w:hint="eastAsia" w:ascii="宋体" w:hAnsi="宋体" w:eastAsia="宋体" w:cs="Times New Roman"/>
          <w:color w:val="000000"/>
          <w:sz w:val="24"/>
          <w:szCs w:val="24"/>
        </w:rPr>
        <w:t>市、区确</w:t>
      </w:r>
      <w:r>
        <w:rPr>
          <w:rFonts w:hint="eastAsia" w:ascii="宋体" w:hAnsi="宋体" w:eastAsia="宋体" w:cs="Times New Roman"/>
          <w:color w:val="000000"/>
          <w:sz w:val="24"/>
          <w:szCs w:val="24"/>
          <w:lang w:eastAsia="zh-CN"/>
        </w:rPr>
        <w:t>定</w:t>
      </w:r>
      <w:r>
        <w:rPr>
          <w:rFonts w:hint="eastAsia" w:ascii="宋体" w:hAnsi="宋体" w:eastAsia="宋体" w:cs="Times New Roman"/>
          <w:color w:val="000000"/>
          <w:sz w:val="24"/>
          <w:szCs w:val="24"/>
        </w:rPr>
        <w:t>的</w:t>
      </w:r>
      <w:r>
        <w:rPr>
          <w:rFonts w:hint="eastAsia" w:ascii="宋体" w:hAnsi="宋体" w:eastAsia="宋体" w:cs="Times New Roman"/>
          <w:color w:val="000000"/>
          <w:sz w:val="24"/>
          <w:szCs w:val="24"/>
          <w:lang w:eastAsia="zh-CN"/>
        </w:rPr>
        <w:t>、具有</w:t>
      </w:r>
      <w:r>
        <w:rPr>
          <w:rFonts w:hint="eastAsia" w:ascii="宋体" w:hAnsi="宋体" w:eastAsia="宋体" w:cs="Times New Roman"/>
          <w:color w:val="000000"/>
          <w:sz w:val="24"/>
          <w:szCs w:val="24"/>
        </w:rPr>
        <w:t>统一标识的</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收集容器。不得强制或变相将专用收集容器出售给</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产生者。</w:t>
      </w:r>
    </w:p>
    <w:p w14:paraId="555169C8">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根据企业自身财力和市场行情，按照重庆市环卫协会会同重庆市餐饮协会等机构共同发布的收运指导价格，按年度制定公司统一收运价格（以指导价格为基础，上下浮动不超过20%），并向九龙坡区城市管理局报备。</w:t>
      </w:r>
    </w:p>
    <w:p w14:paraId="473AD2CC">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4.在</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收集完成后，负责对</w:t>
      </w:r>
      <w:r>
        <w:rPr>
          <w:rFonts w:hint="eastAsia" w:ascii="宋体" w:hAnsi="宋体" w:eastAsia="宋体" w:cs="Times New Roman"/>
          <w:color w:val="000000"/>
          <w:sz w:val="24"/>
          <w:szCs w:val="24"/>
          <w:lang w:eastAsia="zh-CN"/>
        </w:rPr>
        <w:t>产生者的</w:t>
      </w:r>
      <w:r>
        <w:rPr>
          <w:rFonts w:hint="eastAsia" w:ascii="宋体" w:hAnsi="宋体" w:eastAsia="宋体" w:cs="Times New Roman"/>
          <w:color w:val="000000"/>
          <w:sz w:val="24"/>
          <w:szCs w:val="24"/>
        </w:rPr>
        <w:t>收集设施</w:t>
      </w:r>
      <w:r>
        <w:rPr>
          <w:rFonts w:hint="eastAsia" w:ascii="宋体" w:hAnsi="宋体" w:eastAsia="宋体" w:cs="Times New Roman"/>
          <w:color w:val="000000"/>
          <w:sz w:val="24"/>
          <w:szCs w:val="24"/>
          <w:lang w:eastAsia="zh-CN"/>
        </w:rPr>
        <w:t>设备</w:t>
      </w:r>
      <w:r>
        <w:rPr>
          <w:rFonts w:hint="eastAsia" w:ascii="宋体" w:hAnsi="宋体" w:eastAsia="宋体" w:cs="Times New Roman"/>
          <w:color w:val="000000"/>
          <w:sz w:val="24"/>
          <w:szCs w:val="24"/>
        </w:rPr>
        <w:t>及时</w:t>
      </w:r>
      <w:r>
        <w:rPr>
          <w:rFonts w:hint="eastAsia" w:ascii="宋体" w:hAnsi="宋体" w:eastAsia="宋体" w:cs="Times New Roman"/>
          <w:color w:val="000000"/>
          <w:sz w:val="24"/>
          <w:szCs w:val="24"/>
          <w:lang w:eastAsia="zh-CN"/>
        </w:rPr>
        <w:t>进行</w:t>
      </w:r>
      <w:r>
        <w:rPr>
          <w:rFonts w:hint="eastAsia" w:ascii="宋体" w:hAnsi="宋体" w:eastAsia="宋体" w:cs="Times New Roman"/>
          <w:color w:val="000000"/>
          <w:sz w:val="24"/>
          <w:szCs w:val="24"/>
        </w:rPr>
        <w:t>清洗保洁、</w:t>
      </w:r>
      <w:r>
        <w:rPr>
          <w:rFonts w:hint="eastAsia" w:ascii="宋体" w:hAnsi="宋体" w:eastAsia="宋体" w:cs="Times New Roman"/>
          <w:color w:val="000000"/>
          <w:sz w:val="24"/>
          <w:szCs w:val="24"/>
          <w:lang w:eastAsia="zh-CN"/>
        </w:rPr>
        <w:t>消毒防疫、</w:t>
      </w:r>
      <w:r>
        <w:rPr>
          <w:rFonts w:hint="eastAsia" w:ascii="宋体" w:hAnsi="宋体" w:eastAsia="宋体" w:cs="Times New Roman"/>
          <w:color w:val="000000"/>
          <w:sz w:val="24"/>
          <w:szCs w:val="24"/>
        </w:rPr>
        <w:t>复位复场。</w:t>
      </w:r>
    </w:p>
    <w:p w14:paraId="51A99D74">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5.负责将</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收集运输到取得</w:t>
      </w:r>
      <w:r>
        <w:rPr>
          <w:rFonts w:hint="eastAsia" w:ascii="宋体" w:hAnsi="宋体" w:eastAsia="宋体" w:cs="Times New Roman"/>
          <w:color w:val="000000"/>
          <w:sz w:val="24"/>
          <w:szCs w:val="24"/>
          <w:lang w:eastAsia="zh-CN"/>
        </w:rPr>
        <w:t>重庆市城市管理局“生活垃圾（废弃食用油脂）处置特许经营权”</w:t>
      </w:r>
      <w:r>
        <w:rPr>
          <w:rFonts w:hint="eastAsia" w:ascii="宋体" w:hAnsi="宋体" w:eastAsia="宋体" w:cs="Times New Roman"/>
          <w:color w:val="000000"/>
          <w:sz w:val="24"/>
          <w:szCs w:val="24"/>
        </w:rPr>
        <w:t>的企业进行处</w:t>
      </w:r>
      <w:r>
        <w:rPr>
          <w:rFonts w:hint="eastAsia" w:ascii="宋体" w:hAnsi="宋体" w:eastAsia="宋体" w:cs="Times New Roman"/>
          <w:color w:val="000000"/>
          <w:sz w:val="24"/>
          <w:szCs w:val="24"/>
          <w:lang w:eastAsia="zh-CN"/>
        </w:rPr>
        <w:t>置</w:t>
      </w:r>
      <w:r>
        <w:rPr>
          <w:rFonts w:hint="eastAsia" w:ascii="宋体" w:hAnsi="宋体" w:eastAsia="宋体" w:cs="Times New Roman"/>
          <w:color w:val="000000"/>
          <w:sz w:val="24"/>
          <w:szCs w:val="24"/>
        </w:rPr>
        <w:t>。</w:t>
      </w:r>
    </w:p>
    <w:p w14:paraId="50D0215A">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6.负责</w:t>
      </w:r>
      <w:r>
        <w:rPr>
          <w:rFonts w:hint="eastAsia" w:ascii="宋体" w:hAnsi="宋体" w:eastAsia="宋体" w:cs="Times New Roman"/>
          <w:color w:val="000000"/>
          <w:sz w:val="24"/>
          <w:szCs w:val="24"/>
          <w:lang w:eastAsia="zh-CN"/>
        </w:rPr>
        <w:t>本单位废弃食用油脂</w:t>
      </w:r>
      <w:r>
        <w:rPr>
          <w:rFonts w:hint="eastAsia" w:ascii="宋体" w:hAnsi="宋体" w:eastAsia="宋体" w:cs="Times New Roman"/>
          <w:color w:val="000000"/>
          <w:sz w:val="24"/>
          <w:szCs w:val="24"/>
        </w:rPr>
        <w:t>收集运输处置联单管理事项填报工作。</w:t>
      </w:r>
    </w:p>
    <w:p w14:paraId="2B8A8CA5">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7.负责完成</w:t>
      </w:r>
      <w:r>
        <w:rPr>
          <w:rFonts w:hint="eastAsia" w:ascii="宋体" w:hAnsi="宋体" w:eastAsia="宋体" w:cs="Times New Roman"/>
          <w:color w:val="000000"/>
          <w:sz w:val="24"/>
          <w:szCs w:val="24"/>
          <w:lang w:eastAsia="zh-CN"/>
        </w:rPr>
        <w:t>本单位废弃食用油脂</w:t>
      </w:r>
      <w:r>
        <w:rPr>
          <w:rFonts w:hint="eastAsia" w:ascii="宋体" w:hAnsi="宋体" w:eastAsia="宋体" w:cs="Times New Roman"/>
          <w:color w:val="000000"/>
          <w:sz w:val="24"/>
          <w:szCs w:val="24"/>
        </w:rPr>
        <w:t>数据、资料、图片、台账等印证材料的收集整理申报工作。</w:t>
      </w:r>
    </w:p>
    <w:p w14:paraId="39AF00EC">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8.配合做好</w:t>
      </w:r>
      <w:r>
        <w:rPr>
          <w:rFonts w:hint="eastAsia" w:ascii="宋体" w:hAnsi="宋体" w:eastAsia="宋体" w:cs="Times New Roman"/>
          <w:color w:val="000000"/>
          <w:sz w:val="24"/>
          <w:szCs w:val="24"/>
          <w:lang w:eastAsia="zh-CN"/>
        </w:rPr>
        <w:t>九龙坡区废弃食用油脂</w:t>
      </w:r>
      <w:r>
        <w:rPr>
          <w:rFonts w:hint="eastAsia" w:ascii="宋体" w:hAnsi="宋体" w:eastAsia="宋体" w:cs="Times New Roman"/>
          <w:color w:val="000000"/>
          <w:sz w:val="24"/>
          <w:szCs w:val="24"/>
        </w:rPr>
        <w:t>收运宣传工作。</w:t>
      </w:r>
    </w:p>
    <w:p w14:paraId="6BD5F639">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9.遇</w:t>
      </w:r>
      <w:r>
        <w:rPr>
          <w:rFonts w:hint="eastAsia" w:ascii="宋体" w:hAnsi="宋体" w:eastAsia="宋体" w:cs="Times New Roman"/>
          <w:color w:val="000000"/>
          <w:sz w:val="24"/>
          <w:szCs w:val="24"/>
          <w:lang w:eastAsia="zh-CN"/>
        </w:rPr>
        <w:t>九龙坡区</w:t>
      </w:r>
      <w:r>
        <w:rPr>
          <w:rFonts w:hint="eastAsia" w:ascii="宋体" w:hAnsi="宋体" w:eastAsia="宋体" w:cs="Times New Roman"/>
          <w:color w:val="000000"/>
          <w:sz w:val="24"/>
          <w:szCs w:val="24"/>
        </w:rPr>
        <w:t>内</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收运突发应急事件</w:t>
      </w:r>
      <w:r>
        <w:rPr>
          <w:rFonts w:hint="eastAsia" w:ascii="宋体" w:hAnsi="宋体" w:eastAsia="宋体" w:cs="Times New Roman"/>
          <w:color w:val="000000"/>
          <w:sz w:val="24"/>
          <w:szCs w:val="24"/>
          <w:highlight w:val="none"/>
        </w:rPr>
        <w:t>时，</w:t>
      </w:r>
      <w:r>
        <w:rPr>
          <w:rFonts w:hint="eastAsia" w:ascii="宋体" w:hAnsi="宋体" w:eastAsia="宋体" w:cs="Times New Roman"/>
          <w:color w:val="000000"/>
          <w:sz w:val="24"/>
          <w:szCs w:val="24"/>
          <w:highlight w:val="none"/>
          <w:lang w:eastAsia="zh-CN"/>
        </w:rPr>
        <w:t>必须</w:t>
      </w:r>
      <w:r>
        <w:rPr>
          <w:rFonts w:hint="eastAsia" w:ascii="宋体" w:hAnsi="宋体" w:eastAsia="宋体" w:cs="Times New Roman"/>
          <w:color w:val="000000"/>
          <w:sz w:val="24"/>
          <w:szCs w:val="24"/>
          <w:highlight w:val="none"/>
        </w:rPr>
        <w:t>服从</w:t>
      </w:r>
      <w:r>
        <w:rPr>
          <w:rFonts w:hint="eastAsia" w:ascii="宋体" w:hAnsi="宋体" w:eastAsia="宋体" w:cs="Times New Roman"/>
          <w:color w:val="000000"/>
          <w:sz w:val="24"/>
          <w:szCs w:val="24"/>
        </w:rPr>
        <w:t>管理部门的调配，进行应急收运处置</w:t>
      </w:r>
      <w:r>
        <w:rPr>
          <w:rFonts w:hint="eastAsia" w:ascii="宋体" w:hAnsi="宋体" w:eastAsia="宋体" w:cs="Times New Roman"/>
          <w:color w:val="000000"/>
          <w:sz w:val="24"/>
          <w:szCs w:val="24"/>
          <w:lang w:eastAsia="zh-CN"/>
        </w:rPr>
        <w:t>作业</w:t>
      </w:r>
      <w:r>
        <w:rPr>
          <w:rFonts w:hint="eastAsia" w:ascii="宋体" w:hAnsi="宋体" w:eastAsia="宋体" w:cs="Times New Roman"/>
          <w:color w:val="000000"/>
          <w:sz w:val="24"/>
          <w:szCs w:val="24"/>
        </w:rPr>
        <w:t>。</w:t>
      </w:r>
    </w:p>
    <w:p w14:paraId="206188CF">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（二）作业要求</w:t>
      </w:r>
    </w:p>
    <w:p w14:paraId="3ACC467D">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w:t>
      </w:r>
      <w:r>
        <w:rPr>
          <w:rFonts w:hint="eastAsia" w:ascii="宋体" w:hAnsi="宋体" w:eastAsia="宋体" w:cs="Times New Roman"/>
          <w:color w:val="000000"/>
          <w:sz w:val="24"/>
          <w:szCs w:val="24"/>
          <w:lang w:eastAsia="zh-CN"/>
        </w:rPr>
        <w:t>中选人</w:t>
      </w:r>
      <w:r>
        <w:rPr>
          <w:rFonts w:hint="eastAsia" w:ascii="宋体" w:hAnsi="宋体" w:eastAsia="宋体" w:cs="Times New Roman"/>
          <w:color w:val="000000"/>
          <w:sz w:val="24"/>
          <w:szCs w:val="24"/>
        </w:rPr>
        <w:t>签订</w:t>
      </w:r>
      <w:r>
        <w:rPr>
          <w:rFonts w:hint="eastAsia" w:ascii="宋体" w:hAnsi="宋体" w:eastAsia="宋体" w:cs="Times New Roman"/>
          <w:color w:val="000000"/>
          <w:sz w:val="24"/>
          <w:szCs w:val="24"/>
          <w:lang w:eastAsia="zh-CN"/>
        </w:rPr>
        <w:t>九龙坡区废弃食用油脂</w:t>
      </w:r>
      <w:r>
        <w:rPr>
          <w:rFonts w:hint="eastAsia" w:ascii="宋体" w:hAnsi="宋体" w:eastAsia="宋体" w:cs="Times New Roman"/>
          <w:color w:val="000000"/>
          <w:sz w:val="24"/>
          <w:szCs w:val="24"/>
        </w:rPr>
        <w:t>收运</w:t>
      </w:r>
      <w:r>
        <w:rPr>
          <w:rFonts w:hint="eastAsia" w:ascii="宋体" w:hAnsi="宋体" w:cs="Times New Roman"/>
          <w:color w:val="000000"/>
          <w:sz w:val="24"/>
          <w:szCs w:val="24"/>
          <w:lang w:eastAsia="zh-CN"/>
        </w:rPr>
        <w:t>入围</w:t>
      </w:r>
      <w:r>
        <w:rPr>
          <w:rFonts w:hint="eastAsia" w:ascii="宋体" w:hAnsi="宋体" w:eastAsia="宋体" w:cs="Times New Roman"/>
          <w:color w:val="000000"/>
          <w:sz w:val="24"/>
          <w:szCs w:val="24"/>
          <w:lang w:eastAsia="zh-CN"/>
        </w:rPr>
        <w:t>协议</w:t>
      </w:r>
      <w:r>
        <w:rPr>
          <w:rFonts w:hint="eastAsia" w:ascii="宋体" w:hAnsi="宋体" w:eastAsia="宋体" w:cs="Times New Roman"/>
          <w:color w:val="000000"/>
          <w:sz w:val="24"/>
          <w:szCs w:val="24"/>
        </w:rPr>
        <w:t>后，不得擅自停业、歇业。</w:t>
      </w:r>
      <w:r>
        <w:rPr>
          <w:rFonts w:hint="eastAsia" w:ascii="宋体" w:hAnsi="宋体" w:eastAsia="宋体" w:cs="Times New Roman"/>
          <w:color w:val="000000"/>
          <w:sz w:val="24"/>
          <w:szCs w:val="24"/>
          <w:lang w:eastAsia="zh-CN"/>
        </w:rPr>
        <w:t>因特殊原因，</w:t>
      </w:r>
      <w:r>
        <w:rPr>
          <w:rFonts w:hint="eastAsia" w:ascii="宋体" w:hAnsi="宋体" w:eastAsia="宋体" w:cs="Times New Roman"/>
          <w:color w:val="000000"/>
          <w:sz w:val="24"/>
          <w:szCs w:val="24"/>
        </w:rPr>
        <w:t>确需停业、歇业的，应当提前半年向九龙坡区城市管理局书面报告，经同意后方可停业或者歇业。</w:t>
      </w:r>
    </w:p>
    <w:p w14:paraId="5D3BAFA9">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2.在从事</w:t>
      </w:r>
      <w:r>
        <w:rPr>
          <w:rFonts w:hint="eastAsia" w:ascii="宋体" w:hAnsi="宋体" w:eastAsia="宋体" w:cs="Times New Roman"/>
          <w:color w:val="000000"/>
          <w:sz w:val="24"/>
          <w:szCs w:val="24"/>
          <w:lang w:eastAsia="zh-CN"/>
        </w:rPr>
        <w:t>废弃</w:t>
      </w:r>
      <w:r>
        <w:rPr>
          <w:rFonts w:hint="eastAsia" w:ascii="宋体" w:hAnsi="宋体" w:eastAsia="宋体" w:cs="Times New Roman"/>
          <w:color w:val="000000"/>
          <w:sz w:val="24"/>
          <w:szCs w:val="24"/>
        </w:rPr>
        <w:t>油脂收集运输的过程中，必须符合国家和地方政府有关环境保护、食品安全、交通运输、城市管理等方面的规定和要求。</w:t>
      </w:r>
    </w:p>
    <w:p w14:paraId="0A2A13A5">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3.根据</w:t>
      </w:r>
      <w:r>
        <w:rPr>
          <w:rFonts w:hint="eastAsia" w:ascii="宋体" w:hAnsi="宋体" w:eastAsia="宋体" w:cs="Times New Roman"/>
          <w:color w:val="000000"/>
          <w:sz w:val="24"/>
          <w:szCs w:val="24"/>
          <w:lang w:eastAsia="zh-CN"/>
        </w:rPr>
        <w:t>与产生者签订收运协议</w:t>
      </w:r>
      <w:r>
        <w:rPr>
          <w:rFonts w:hint="eastAsia" w:ascii="宋体" w:hAnsi="宋体" w:eastAsia="宋体" w:cs="Times New Roman"/>
          <w:color w:val="000000"/>
          <w:sz w:val="24"/>
          <w:szCs w:val="24"/>
        </w:rPr>
        <w:t>情况，</w:t>
      </w:r>
      <w:r>
        <w:rPr>
          <w:rFonts w:hint="eastAsia" w:ascii="宋体" w:hAnsi="宋体" w:eastAsia="宋体" w:cs="Times New Roman"/>
          <w:color w:val="000000"/>
          <w:sz w:val="24"/>
          <w:szCs w:val="24"/>
          <w:lang w:val="en-US" w:eastAsia="zh-CN"/>
        </w:rPr>
        <w:t>按照“三固定”（即固定人员、固定车辆、固定路线）原则，</w:t>
      </w:r>
      <w:r>
        <w:rPr>
          <w:rFonts w:hint="eastAsia" w:ascii="宋体" w:hAnsi="宋体" w:eastAsia="宋体" w:cs="Times New Roman"/>
          <w:color w:val="000000"/>
          <w:sz w:val="24"/>
          <w:szCs w:val="24"/>
        </w:rPr>
        <w:t>自行规划收运作业线路</w:t>
      </w:r>
      <w:r>
        <w:rPr>
          <w:rFonts w:hint="eastAsia" w:ascii="宋体" w:hAnsi="宋体" w:eastAsia="宋体" w:cs="Times New Roman"/>
          <w:color w:val="000000"/>
          <w:sz w:val="24"/>
          <w:szCs w:val="24"/>
          <w:lang w:eastAsia="zh-CN"/>
        </w:rPr>
        <w:t>、收运基础频次</w:t>
      </w:r>
      <w:r>
        <w:rPr>
          <w:rFonts w:hint="eastAsia" w:ascii="宋体" w:hAnsi="宋体" w:eastAsia="宋体" w:cs="Times New Roman"/>
          <w:color w:val="000000"/>
          <w:sz w:val="24"/>
          <w:szCs w:val="24"/>
        </w:rPr>
        <w:t>，并报九龙坡区城市</w:t>
      </w:r>
      <w:r>
        <w:rPr>
          <w:rFonts w:hint="eastAsia" w:ascii="宋体" w:hAnsi="宋体" w:eastAsia="宋体" w:cs="Times New Roman"/>
          <w:color w:val="000000"/>
          <w:sz w:val="24"/>
          <w:szCs w:val="24"/>
          <w:lang w:eastAsia="zh-CN"/>
        </w:rPr>
        <w:t>管理局</w:t>
      </w:r>
      <w:r>
        <w:rPr>
          <w:rFonts w:hint="eastAsia" w:ascii="宋体" w:hAnsi="宋体" w:eastAsia="宋体" w:cs="Times New Roman"/>
          <w:color w:val="000000"/>
          <w:sz w:val="24"/>
          <w:szCs w:val="24"/>
        </w:rPr>
        <w:t>备档，不得擅自改变收运线路</w:t>
      </w:r>
      <w:r>
        <w:rPr>
          <w:rFonts w:hint="eastAsia" w:ascii="宋体" w:hAnsi="宋体" w:eastAsia="宋体" w:cs="Times New Roman"/>
          <w:color w:val="000000"/>
          <w:sz w:val="24"/>
          <w:szCs w:val="24"/>
          <w:lang w:eastAsia="zh-CN"/>
        </w:rPr>
        <w:t>、收运基础频次</w:t>
      </w:r>
      <w:r>
        <w:rPr>
          <w:rFonts w:hint="eastAsia" w:ascii="宋体" w:hAnsi="宋体" w:eastAsia="宋体" w:cs="Times New Roman"/>
          <w:color w:val="000000"/>
          <w:sz w:val="24"/>
          <w:szCs w:val="24"/>
        </w:rPr>
        <w:t>。</w:t>
      </w:r>
    </w:p>
    <w:p w14:paraId="3C2E0F50">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4.收运车辆应保持车况良好，卫星定位系统及装卸过程记录仪能正常开启，</w:t>
      </w:r>
      <w:r>
        <w:rPr>
          <w:rFonts w:hint="eastAsia" w:ascii="宋体" w:hAnsi="宋体" w:eastAsia="宋体" w:cs="Times New Roman"/>
          <w:color w:val="000000"/>
          <w:sz w:val="24"/>
          <w:szCs w:val="24"/>
          <w:lang w:val="en-US" w:eastAsia="zh-CN"/>
        </w:rPr>
        <w:t>且接入</w:t>
      </w:r>
      <w:r>
        <w:rPr>
          <w:rFonts w:hint="eastAsia" w:ascii="宋体" w:hAnsi="宋体" w:eastAsia="宋体" w:cs="Times New Roman"/>
          <w:color w:val="000000"/>
          <w:sz w:val="24"/>
          <w:szCs w:val="24"/>
          <w:lang w:eastAsia="zh-CN"/>
        </w:rPr>
        <w:t>“餐饮安全在线”应用，</w:t>
      </w:r>
      <w:r>
        <w:rPr>
          <w:rFonts w:hint="eastAsia" w:ascii="宋体" w:hAnsi="宋体" w:eastAsia="宋体" w:cs="Times New Roman"/>
          <w:color w:val="000000"/>
          <w:sz w:val="24"/>
          <w:szCs w:val="24"/>
        </w:rPr>
        <w:t>能同步实时监控车辆作业时间、作业过程和作业轨迹。</w:t>
      </w:r>
    </w:p>
    <w:p w14:paraId="6DE5FD92">
      <w:pPr>
        <w:shd w:val="clear" w:color="auto" w:fill="FFFFFF"/>
        <w:spacing w:line="400" w:lineRule="exact"/>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5.收运过程中作业员工必须统一着装，佩戴标有收运单位、员工姓名等信息的工作牌。确保车辆、容器、服装、标识“四个统一”</w:t>
      </w:r>
      <w:r>
        <w:rPr>
          <w:rFonts w:hint="eastAsia" w:ascii="宋体" w:hAnsi="宋体" w:eastAsia="宋体" w:cs="Times New Roman"/>
          <w:color w:val="000000"/>
          <w:sz w:val="24"/>
          <w:szCs w:val="24"/>
          <w:lang w:eastAsia="zh-CN"/>
        </w:rPr>
        <w:t>。</w:t>
      </w:r>
    </w:p>
    <w:p w14:paraId="76CF9756">
      <w:pPr>
        <w:shd w:val="clear" w:color="auto" w:fill="FFFFFF"/>
        <w:spacing w:line="400" w:lineRule="exact"/>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6.收运过程中不得“挑肥拣瘦”，不得只收“纯油”、拒收“油水混合物”“地沟油”，必须做到应收尽收</w:t>
      </w:r>
      <w:r>
        <w:rPr>
          <w:rFonts w:hint="eastAsia" w:ascii="宋体" w:hAnsi="宋体" w:eastAsia="宋体" w:cs="Times New Roman"/>
          <w:color w:val="000000"/>
          <w:sz w:val="24"/>
          <w:szCs w:val="24"/>
          <w:lang w:eastAsia="zh-CN"/>
        </w:rPr>
        <w:t>。</w:t>
      </w:r>
    </w:p>
    <w:p w14:paraId="308E9208">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7.收运过程中不得擅自向任何单位和个人收运来历不明的</w:t>
      </w:r>
      <w:r>
        <w:rPr>
          <w:rFonts w:hint="eastAsia" w:ascii="宋体" w:hAnsi="宋体" w:eastAsia="宋体" w:cs="Times New Roman"/>
          <w:color w:val="000000"/>
          <w:sz w:val="24"/>
          <w:szCs w:val="24"/>
          <w:lang w:eastAsia="zh-CN"/>
        </w:rPr>
        <w:t>废弃</w:t>
      </w:r>
      <w:r>
        <w:rPr>
          <w:rFonts w:hint="eastAsia" w:ascii="宋体" w:hAnsi="宋体" w:eastAsia="宋体" w:cs="Times New Roman"/>
          <w:color w:val="000000"/>
          <w:sz w:val="24"/>
          <w:szCs w:val="24"/>
        </w:rPr>
        <w:t>食用油脂，不得擅自对收集到的</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进行中转、落地、存贮，不得擅自将收集到的</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进行转让、转卖</w:t>
      </w:r>
      <w:r>
        <w:rPr>
          <w:rFonts w:hint="eastAsia" w:ascii="宋体" w:hAnsi="宋体" w:eastAsia="宋体" w:cs="Times New Roman"/>
          <w:color w:val="000000"/>
          <w:sz w:val="24"/>
          <w:szCs w:val="24"/>
          <w:lang w:eastAsia="zh-CN"/>
        </w:rPr>
        <w:t>、赠予</w:t>
      </w:r>
      <w:r>
        <w:rPr>
          <w:rFonts w:hint="eastAsia" w:ascii="宋体" w:hAnsi="宋体" w:eastAsia="宋体" w:cs="Times New Roman"/>
          <w:color w:val="000000"/>
          <w:sz w:val="24"/>
          <w:szCs w:val="24"/>
        </w:rPr>
        <w:t>给其他</w:t>
      </w:r>
      <w:r>
        <w:rPr>
          <w:rFonts w:hint="eastAsia" w:ascii="宋体" w:hAnsi="宋体" w:eastAsia="宋体" w:cs="Times New Roman"/>
          <w:color w:val="000000"/>
          <w:sz w:val="24"/>
          <w:szCs w:val="24"/>
          <w:lang w:eastAsia="zh-CN"/>
        </w:rPr>
        <w:t>第三方（人）</w:t>
      </w:r>
      <w:r>
        <w:rPr>
          <w:rFonts w:hint="eastAsia" w:ascii="宋体" w:hAnsi="宋体" w:eastAsia="宋体" w:cs="Times New Roman"/>
          <w:color w:val="000000"/>
          <w:sz w:val="24"/>
          <w:szCs w:val="24"/>
        </w:rPr>
        <w:t>。</w:t>
      </w:r>
    </w:p>
    <w:p w14:paraId="13E2732F">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8.投入</w:t>
      </w:r>
      <w:r>
        <w:rPr>
          <w:rFonts w:hint="eastAsia" w:ascii="宋体" w:hAnsi="宋体" w:eastAsia="宋体" w:cs="Times New Roman"/>
          <w:color w:val="000000"/>
          <w:sz w:val="24"/>
          <w:szCs w:val="24"/>
          <w:lang w:eastAsia="zh-CN"/>
        </w:rPr>
        <w:t>本次竞选</w:t>
      </w:r>
      <w:r>
        <w:rPr>
          <w:rFonts w:hint="eastAsia" w:ascii="宋体" w:hAnsi="宋体" w:eastAsia="宋体" w:cs="Times New Roman"/>
          <w:color w:val="000000"/>
          <w:sz w:val="24"/>
          <w:szCs w:val="24"/>
        </w:rPr>
        <w:t>的车辆，不得从事其他区县</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收运工作，不得擅自收运</w:t>
      </w:r>
      <w:r>
        <w:rPr>
          <w:rFonts w:hint="eastAsia" w:ascii="宋体" w:hAnsi="宋体" w:eastAsia="宋体" w:cs="Times New Roman"/>
          <w:color w:val="000000"/>
          <w:sz w:val="24"/>
          <w:szCs w:val="24"/>
          <w:lang w:eastAsia="zh-CN"/>
        </w:rPr>
        <w:t>重庆市</w:t>
      </w:r>
      <w:r>
        <w:rPr>
          <w:rFonts w:hint="eastAsia" w:ascii="宋体" w:hAnsi="宋体" w:eastAsia="宋体" w:cs="Times New Roman"/>
          <w:color w:val="000000"/>
          <w:sz w:val="24"/>
          <w:szCs w:val="24"/>
        </w:rPr>
        <w:t>市外的</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w:t>
      </w:r>
    </w:p>
    <w:p w14:paraId="00EDBB93">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9.作业过程中收运车辆应密闭完好，车容车貌干净整洁，防止油脂“遗撒滴漏”、防止臭味扩散等环境污染的情形发生。</w:t>
      </w:r>
    </w:p>
    <w:p w14:paraId="5094CF67">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10.作业完成后，负责对收集设施</w:t>
      </w:r>
      <w:r>
        <w:rPr>
          <w:rFonts w:hint="eastAsia" w:ascii="宋体" w:hAnsi="宋体" w:eastAsia="宋体" w:cs="Times New Roman"/>
          <w:color w:val="000000"/>
          <w:sz w:val="24"/>
          <w:szCs w:val="24"/>
          <w:lang w:eastAsia="zh-CN"/>
        </w:rPr>
        <w:t>设备</w:t>
      </w:r>
      <w:r>
        <w:rPr>
          <w:rFonts w:hint="eastAsia" w:ascii="宋体" w:hAnsi="宋体" w:eastAsia="宋体" w:cs="Times New Roman"/>
          <w:color w:val="000000"/>
          <w:sz w:val="24"/>
          <w:szCs w:val="24"/>
        </w:rPr>
        <w:t>进行</w:t>
      </w:r>
      <w:r>
        <w:rPr>
          <w:rFonts w:hint="eastAsia" w:ascii="宋体" w:hAnsi="宋体" w:eastAsia="宋体" w:cs="Times New Roman"/>
          <w:color w:val="000000"/>
          <w:sz w:val="24"/>
          <w:szCs w:val="24"/>
          <w:lang w:eastAsia="zh-CN"/>
        </w:rPr>
        <w:t>清洗</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消杀、</w:t>
      </w:r>
      <w:r>
        <w:rPr>
          <w:rFonts w:hint="eastAsia" w:ascii="宋体" w:hAnsi="宋体" w:eastAsia="宋体" w:cs="Times New Roman"/>
          <w:color w:val="000000"/>
          <w:sz w:val="24"/>
          <w:szCs w:val="24"/>
        </w:rPr>
        <w:t>复位，并清理清洗作业场地，保持</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收集设施设备和周边环境的干净整洁</w:t>
      </w:r>
      <w:r>
        <w:rPr>
          <w:rFonts w:hint="eastAsia" w:ascii="宋体" w:hAnsi="宋体" w:eastAsia="宋体" w:cs="Times New Roman"/>
          <w:color w:val="000000"/>
          <w:sz w:val="24"/>
          <w:szCs w:val="24"/>
          <w:lang w:eastAsia="zh-CN"/>
        </w:rPr>
        <w:t>、防疫除臭</w:t>
      </w:r>
      <w:r>
        <w:rPr>
          <w:rFonts w:hint="eastAsia" w:ascii="宋体" w:hAnsi="宋体" w:eastAsia="宋体" w:cs="Times New Roman"/>
          <w:color w:val="000000"/>
          <w:sz w:val="24"/>
          <w:szCs w:val="24"/>
        </w:rPr>
        <w:t>。</w:t>
      </w:r>
    </w:p>
    <w:p w14:paraId="0D237366">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11.随车携带收运处置联单，每辆车授权专人填写确认联单信息，确保联单内容真实有效。</w:t>
      </w:r>
    </w:p>
    <w:p w14:paraId="4158EEEF">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（三）安全要求</w:t>
      </w:r>
    </w:p>
    <w:p w14:paraId="20E4E180">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1.作业车辆必须按规定张贴反光标识、安装警示灯光、配备安全锥、</w:t>
      </w:r>
      <w:r>
        <w:rPr>
          <w:rFonts w:hint="eastAsia" w:ascii="宋体" w:hAnsi="宋体" w:eastAsia="宋体" w:cs="Times New Roman"/>
          <w:color w:val="000000"/>
          <w:sz w:val="24"/>
          <w:szCs w:val="24"/>
          <w:lang w:eastAsia="zh-CN"/>
        </w:rPr>
        <w:t>灭火器</w:t>
      </w:r>
      <w:r>
        <w:rPr>
          <w:rFonts w:hint="eastAsia" w:ascii="宋体" w:hAnsi="宋体" w:eastAsia="宋体" w:cs="Times New Roman"/>
          <w:color w:val="000000"/>
          <w:sz w:val="24"/>
          <w:szCs w:val="24"/>
        </w:rPr>
        <w:t>等安全防护设备。如不能正常使用需及时更换，每年至少全面更换安全防护设备一次，做好更换记录。</w:t>
      </w:r>
    </w:p>
    <w:p w14:paraId="26A009F2">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2.作业人员必须每年度进行安全培训，并做好培训记录。新录用人员应执行先培训后上岗原则。</w:t>
      </w:r>
    </w:p>
    <w:p w14:paraId="71DA6522">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3.工作时间内作业人员不得穿木屐、拖鞋、高跟鞋等影响安全作业的鞋类。</w:t>
      </w:r>
    </w:p>
    <w:p w14:paraId="49D3D546">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4.收运作业时作业车辆确需临时占用道路的，应当打开车辆应急灯和警示灯。夜间作业车辆临时占用道路时，需在距收运作业点来车方向50米处设置醒目警示牌，沿途设置反光锥。</w:t>
      </w:r>
    </w:p>
    <w:p w14:paraId="306D6E57">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5.因特殊原因造成收运过程中废弃食用油脂</w:t>
      </w:r>
      <w:r>
        <w:rPr>
          <w:rFonts w:hint="eastAsia" w:ascii="宋体" w:hAnsi="宋体" w:eastAsia="宋体" w:cs="Times New Roman"/>
          <w:color w:val="000000"/>
          <w:sz w:val="24"/>
          <w:szCs w:val="24"/>
        </w:rPr>
        <w:t>“遗撒滴漏”</w:t>
      </w:r>
      <w:r>
        <w:rPr>
          <w:rFonts w:hint="eastAsia" w:ascii="宋体" w:hAnsi="宋体" w:eastAsia="宋体" w:cs="Times New Roman"/>
          <w:color w:val="000000"/>
          <w:sz w:val="24"/>
          <w:szCs w:val="24"/>
          <w:lang w:eastAsia="zh-CN"/>
        </w:rPr>
        <w:t>的，应于</w:t>
      </w:r>
      <w:r>
        <w:rPr>
          <w:rFonts w:hint="eastAsia" w:ascii="宋体" w:hAnsi="宋体" w:eastAsia="宋体" w:cs="Times New Roman"/>
          <w:color w:val="000000"/>
          <w:sz w:val="24"/>
          <w:szCs w:val="24"/>
          <w:lang w:val="en-US" w:eastAsia="zh-CN"/>
        </w:rPr>
        <w:t>1小时内处理完毕，恢复道路清洁，不得因此造成其他道路安全事故。</w:t>
      </w:r>
    </w:p>
    <w:p w14:paraId="31A76F25">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（四）管理要求</w:t>
      </w:r>
    </w:p>
    <w:p w14:paraId="01379169">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1.每年度编制年初收运计划、年度收运总结等收运资料，并向九龙坡区城市管理局报备。</w:t>
      </w:r>
    </w:p>
    <w:p w14:paraId="53EB051B">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2.接受政府相关职能部门的监督、检查、指导、考核，遇特殊情况，服从九龙坡区城市管理局的应急调度。</w:t>
      </w:r>
    </w:p>
    <w:p w14:paraId="2AE499EE">
      <w:pPr>
        <w:shd w:val="clear" w:color="auto" w:fill="FFFFFF"/>
        <w:spacing w:line="400" w:lineRule="exact"/>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3.</w:t>
      </w:r>
      <w:r>
        <w:rPr>
          <w:rFonts w:hint="eastAsia" w:ascii="宋体" w:hAnsi="宋体" w:eastAsia="宋体" w:cs="Times New Roman"/>
          <w:color w:val="000000"/>
          <w:sz w:val="24"/>
          <w:szCs w:val="24"/>
          <w:lang w:val="zh-CN"/>
        </w:rPr>
        <w:t>遵守《劳动</w:t>
      </w:r>
      <w:r>
        <w:rPr>
          <w:rFonts w:hint="eastAsia" w:ascii="宋体" w:hAnsi="宋体" w:cs="Times New Roman"/>
          <w:color w:val="000000"/>
          <w:sz w:val="24"/>
          <w:szCs w:val="24"/>
          <w:lang w:val="zh-CN"/>
        </w:rPr>
        <w:t>合同</w:t>
      </w:r>
      <w:r>
        <w:rPr>
          <w:rFonts w:hint="eastAsia" w:ascii="宋体" w:hAnsi="宋体" w:eastAsia="宋体" w:cs="Times New Roman"/>
          <w:color w:val="000000"/>
          <w:sz w:val="24"/>
          <w:szCs w:val="24"/>
          <w:lang w:val="zh-CN"/>
        </w:rPr>
        <w:t>法》《保障农民工工资支付条例》</w:t>
      </w:r>
      <w:r>
        <w:rPr>
          <w:rFonts w:hint="eastAsia" w:ascii="宋体" w:hAnsi="宋体" w:eastAsia="宋体" w:cs="Times New Roman"/>
          <w:color w:val="000000"/>
          <w:sz w:val="24"/>
          <w:szCs w:val="24"/>
        </w:rPr>
        <w:t>等</w:t>
      </w:r>
      <w:r>
        <w:rPr>
          <w:rFonts w:hint="eastAsia" w:ascii="宋体" w:hAnsi="宋体" w:eastAsia="宋体" w:cs="Times New Roman"/>
          <w:color w:val="000000"/>
          <w:sz w:val="24"/>
          <w:szCs w:val="24"/>
          <w:lang w:val="zh-CN"/>
        </w:rPr>
        <w:t>相关法律法规，</w:t>
      </w:r>
      <w:r>
        <w:rPr>
          <w:rFonts w:hint="eastAsia" w:ascii="宋体" w:hAnsi="宋体" w:eastAsia="宋体" w:cs="Times New Roman"/>
          <w:color w:val="000000"/>
          <w:sz w:val="24"/>
          <w:szCs w:val="24"/>
        </w:rPr>
        <w:t>合法合规诚信经营。</w:t>
      </w:r>
      <w:r>
        <w:rPr>
          <w:rFonts w:hint="eastAsia" w:ascii="宋体" w:hAnsi="宋体" w:eastAsia="宋体" w:cs="Times New Roman"/>
          <w:color w:val="000000"/>
          <w:sz w:val="24"/>
          <w:szCs w:val="24"/>
          <w:lang w:eastAsia="zh-CN"/>
        </w:rPr>
        <w:t>建立</w:t>
      </w:r>
      <w:r>
        <w:rPr>
          <w:rFonts w:hint="eastAsia" w:ascii="宋体" w:hAnsi="宋体" w:eastAsia="宋体" w:cs="Times New Roman"/>
          <w:color w:val="000000"/>
          <w:sz w:val="24"/>
          <w:szCs w:val="24"/>
          <w:lang w:val="en-US" w:eastAsia="zh-CN"/>
        </w:rPr>
        <w:t>健全企业薪酬管理机制，确保作业人员工资不低于当年重庆市最低工资水平，</w:t>
      </w:r>
      <w:r>
        <w:rPr>
          <w:rFonts w:hint="eastAsia" w:ascii="宋体" w:hAnsi="宋体" w:eastAsia="宋体" w:cs="Times New Roman"/>
          <w:color w:val="000000"/>
          <w:sz w:val="24"/>
          <w:szCs w:val="24"/>
          <w:lang w:eastAsia="zh-CN"/>
        </w:rPr>
        <w:t>每年度向九龙坡区城市管理局报备人员工资、福利待遇情况。</w:t>
      </w:r>
    </w:p>
    <w:p w14:paraId="6FE902D4">
      <w:pPr>
        <w:shd w:val="clear" w:color="auto" w:fill="FFFFFF"/>
        <w:spacing w:line="40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rPr>
        <w:t>4.建立健全企业内部安全生产、车辆清洁养护、应急处置、收运</w:t>
      </w:r>
      <w:r>
        <w:rPr>
          <w:rFonts w:hint="eastAsia" w:ascii="宋体" w:hAnsi="宋体" w:eastAsia="宋体" w:cs="Times New Roman"/>
          <w:color w:val="000000"/>
          <w:sz w:val="24"/>
          <w:szCs w:val="24"/>
          <w:highlight w:val="none"/>
        </w:rPr>
        <w:t>处置联单、</w:t>
      </w:r>
      <w:r>
        <w:rPr>
          <w:rFonts w:hint="eastAsia" w:ascii="宋体" w:hAnsi="宋体" w:eastAsia="宋体" w:cs="Times New Roman"/>
          <w:color w:val="000000"/>
          <w:sz w:val="24"/>
          <w:szCs w:val="24"/>
          <w:highlight w:val="none"/>
          <w:lang w:eastAsia="zh-CN"/>
        </w:rPr>
        <w:t>台账、</w:t>
      </w:r>
      <w:r>
        <w:rPr>
          <w:rFonts w:hint="eastAsia" w:ascii="宋体" w:hAnsi="宋体" w:eastAsia="宋体" w:cs="Times New Roman"/>
          <w:color w:val="000000"/>
          <w:sz w:val="24"/>
          <w:szCs w:val="24"/>
          <w:highlight w:val="none"/>
        </w:rPr>
        <w:t>档案等管理制度。</w:t>
      </w:r>
    </w:p>
    <w:p w14:paraId="4C5C5F24">
      <w:pPr>
        <w:shd w:val="clear" w:color="auto" w:fill="FFFFFF"/>
        <w:spacing w:line="40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5.做好</w:t>
      </w:r>
      <w:r>
        <w:rPr>
          <w:rFonts w:hint="eastAsia" w:ascii="宋体" w:hAnsi="宋体" w:eastAsia="宋体" w:cs="Times New Roman"/>
          <w:color w:val="000000"/>
          <w:sz w:val="24"/>
          <w:szCs w:val="24"/>
          <w:highlight w:val="none"/>
          <w:lang w:eastAsia="zh-CN"/>
        </w:rPr>
        <w:t>废弃食用油脂</w:t>
      </w:r>
      <w:r>
        <w:rPr>
          <w:rFonts w:hint="eastAsia" w:ascii="宋体" w:hAnsi="宋体" w:eastAsia="宋体" w:cs="Times New Roman"/>
          <w:color w:val="000000"/>
          <w:sz w:val="24"/>
          <w:szCs w:val="24"/>
          <w:highlight w:val="none"/>
        </w:rPr>
        <w:t>收运来源、数量、时间、去向和处置等台账记录。</w:t>
      </w:r>
    </w:p>
    <w:p w14:paraId="166570AB">
      <w:pPr>
        <w:shd w:val="clear" w:color="auto" w:fill="FFFFFF"/>
        <w:spacing w:line="40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6.配合做好</w:t>
      </w:r>
      <w:r>
        <w:rPr>
          <w:rFonts w:hint="eastAsia" w:ascii="宋体" w:hAnsi="宋体" w:eastAsia="宋体" w:cs="Times New Roman"/>
          <w:color w:val="000000"/>
          <w:sz w:val="24"/>
          <w:szCs w:val="24"/>
          <w:highlight w:val="none"/>
          <w:lang w:eastAsia="zh-CN"/>
        </w:rPr>
        <w:t>废弃食用油脂</w:t>
      </w:r>
      <w:r>
        <w:rPr>
          <w:rFonts w:hint="eastAsia" w:ascii="宋体" w:hAnsi="宋体" w:eastAsia="宋体" w:cs="Times New Roman"/>
          <w:color w:val="000000"/>
          <w:sz w:val="24"/>
          <w:szCs w:val="24"/>
          <w:highlight w:val="none"/>
        </w:rPr>
        <w:t>收运宣传工作，协助处理</w:t>
      </w:r>
      <w:r>
        <w:rPr>
          <w:rFonts w:hint="eastAsia" w:ascii="宋体" w:hAnsi="宋体" w:eastAsia="宋体" w:cs="Times New Roman"/>
          <w:color w:val="000000"/>
          <w:sz w:val="24"/>
          <w:szCs w:val="24"/>
          <w:highlight w:val="none"/>
          <w:lang w:eastAsia="zh-CN"/>
        </w:rPr>
        <w:t>九龙坡区废弃食用油脂</w:t>
      </w:r>
      <w:r>
        <w:rPr>
          <w:rFonts w:hint="eastAsia" w:ascii="宋体" w:hAnsi="宋体" w:eastAsia="宋体" w:cs="Times New Roman"/>
          <w:color w:val="000000"/>
          <w:sz w:val="24"/>
          <w:szCs w:val="24"/>
          <w:highlight w:val="none"/>
        </w:rPr>
        <w:t>收运负面影响。</w:t>
      </w:r>
    </w:p>
    <w:p w14:paraId="0F59952A">
      <w:pPr>
        <w:shd w:val="clear" w:color="auto" w:fill="FFFFFF"/>
        <w:spacing w:line="400" w:lineRule="exact"/>
        <w:ind w:firstLine="482" w:firstLineChars="200"/>
        <w:outlineLvl w:val="1"/>
        <w:rPr>
          <w:rFonts w:hint="eastAsia" w:ascii="宋体" w:hAnsi="宋体" w:eastAsia="宋体" w:cs="Times New Roman"/>
          <w:b/>
          <w:color w:val="000000"/>
          <w:sz w:val="24"/>
          <w:szCs w:val="24"/>
          <w:highlight w:val="none"/>
          <w:lang w:eastAsia="zh-CN"/>
        </w:rPr>
      </w:pPr>
      <w:r>
        <w:rPr>
          <w:rFonts w:hint="eastAsia" w:ascii="宋体" w:hAnsi="宋体" w:eastAsia="宋体" w:cs="Times New Roman"/>
          <w:b/>
          <w:color w:val="000000"/>
          <w:sz w:val="24"/>
          <w:szCs w:val="24"/>
          <w:highlight w:val="none"/>
          <w:lang w:eastAsia="zh-CN"/>
        </w:rPr>
        <w:t>四、退出机制</w:t>
      </w:r>
    </w:p>
    <w:p w14:paraId="5BD8E965">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highlight w:val="none"/>
        </w:rPr>
        <w:t>（一）</w:t>
      </w:r>
      <w:r>
        <w:rPr>
          <w:rFonts w:hint="eastAsia" w:ascii="宋体" w:hAnsi="宋体" w:eastAsia="宋体" w:cs="Times New Roman"/>
          <w:color w:val="000000"/>
          <w:sz w:val="24"/>
          <w:szCs w:val="24"/>
          <w:highlight w:val="none"/>
          <w:lang w:eastAsia="zh-CN"/>
        </w:rPr>
        <w:t>本次竞选</w:t>
      </w:r>
      <w:r>
        <w:rPr>
          <w:rFonts w:hint="eastAsia" w:ascii="宋体" w:hAnsi="宋体" w:eastAsia="宋体" w:cs="Times New Roman"/>
          <w:color w:val="000000"/>
          <w:sz w:val="24"/>
          <w:szCs w:val="24"/>
          <w:highlight w:val="none"/>
        </w:rPr>
        <w:t>从实施起按年度（12个月）进行考核</w:t>
      </w:r>
      <w:r>
        <w:rPr>
          <w:rFonts w:hint="eastAsia" w:ascii="宋体" w:hAnsi="宋体" w:eastAsia="宋体" w:cs="Times New Roman"/>
          <w:color w:val="000000"/>
          <w:sz w:val="24"/>
          <w:szCs w:val="24"/>
          <w:highlight w:val="none"/>
          <w:lang w:eastAsia="zh-CN"/>
        </w:rPr>
        <w:t>（评价标准详见附件</w:t>
      </w:r>
      <w:r>
        <w:rPr>
          <w:rFonts w:hint="eastAsia" w:ascii="宋体" w:hAnsi="宋体" w:eastAsia="宋体" w:cs="Times New Roman"/>
          <w:color w:val="000000"/>
          <w:sz w:val="24"/>
          <w:szCs w:val="24"/>
          <w:highlight w:val="none"/>
          <w:lang w:val="en-US" w:eastAsia="zh-CN"/>
        </w:rPr>
        <w:t>1</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，考核分为合格和不合格2个等级。评价为合格的，续签下一年度</w:t>
      </w:r>
      <w:r>
        <w:rPr>
          <w:rFonts w:hint="eastAsia" w:ascii="宋体" w:hAnsi="宋体" w:eastAsia="宋体" w:cs="Times New Roman"/>
          <w:color w:val="000000"/>
          <w:sz w:val="24"/>
          <w:szCs w:val="24"/>
          <w:highlight w:val="none"/>
          <w:lang w:eastAsia="zh-CN"/>
        </w:rPr>
        <w:t>本次竞选协议</w:t>
      </w:r>
      <w:r>
        <w:rPr>
          <w:rFonts w:hint="eastAsia" w:ascii="宋体" w:hAnsi="宋体" w:eastAsia="宋体" w:cs="Times New Roman"/>
          <w:color w:val="000000"/>
          <w:sz w:val="24"/>
          <w:szCs w:val="24"/>
          <w:highlight w:val="none"/>
        </w:rPr>
        <w:t>；一个年度内月度评价连续二次、累计三次不足80分的为不合格</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评价为不合格</w:t>
      </w:r>
      <w:r>
        <w:rPr>
          <w:rFonts w:hint="eastAsia" w:ascii="宋体" w:hAnsi="宋体" w:eastAsia="宋体" w:cs="Times New Roman"/>
          <w:color w:val="000000"/>
          <w:sz w:val="24"/>
          <w:szCs w:val="24"/>
          <w:highlight w:val="none"/>
          <w:lang w:eastAsia="zh-CN"/>
        </w:rPr>
        <w:t>的</w:t>
      </w:r>
      <w:r>
        <w:rPr>
          <w:rFonts w:hint="eastAsia" w:ascii="宋体" w:hAnsi="宋体" w:eastAsia="宋体" w:cs="Times New Roman"/>
          <w:color w:val="000000"/>
          <w:sz w:val="24"/>
          <w:szCs w:val="24"/>
          <w:highlight w:val="none"/>
        </w:rPr>
        <w:t>，不</w:t>
      </w:r>
      <w:r>
        <w:rPr>
          <w:rFonts w:hint="eastAsia" w:ascii="宋体" w:hAnsi="宋体" w:eastAsia="宋体" w:cs="Times New Roman"/>
          <w:color w:val="000000"/>
          <w:sz w:val="24"/>
          <w:szCs w:val="24"/>
        </w:rPr>
        <w:t>再续签</w:t>
      </w:r>
      <w:r>
        <w:rPr>
          <w:rFonts w:hint="eastAsia" w:ascii="宋体" w:hAnsi="宋体" w:eastAsia="宋体" w:cs="Times New Roman"/>
          <w:color w:val="000000"/>
          <w:sz w:val="24"/>
          <w:szCs w:val="24"/>
          <w:lang w:eastAsia="zh-CN"/>
        </w:rPr>
        <w:t>协议</w:t>
      </w:r>
      <w:r>
        <w:rPr>
          <w:rFonts w:hint="eastAsia" w:ascii="宋体" w:hAnsi="宋体" w:eastAsia="宋体" w:cs="Times New Roman"/>
          <w:color w:val="000000"/>
          <w:sz w:val="24"/>
          <w:szCs w:val="24"/>
        </w:rPr>
        <w:t>并无条件退场。</w:t>
      </w:r>
    </w:p>
    <w:p w14:paraId="34A64CA6">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（二）</w:t>
      </w:r>
      <w:r>
        <w:rPr>
          <w:rFonts w:hint="eastAsia" w:ascii="宋体" w:hAnsi="宋体" w:eastAsia="宋体" w:cs="Times New Roman"/>
          <w:color w:val="000000"/>
          <w:sz w:val="24"/>
          <w:szCs w:val="24"/>
          <w:lang w:eastAsia="zh-CN"/>
        </w:rPr>
        <w:t>中选人</w:t>
      </w:r>
      <w:r>
        <w:rPr>
          <w:rFonts w:hint="eastAsia" w:ascii="宋体" w:hAnsi="宋体" w:eastAsia="宋体" w:cs="Times New Roman"/>
          <w:color w:val="000000"/>
          <w:sz w:val="24"/>
          <w:szCs w:val="24"/>
        </w:rPr>
        <w:t>存在以下情形的，将直接被评价为不合格并立即退场：</w:t>
      </w:r>
    </w:p>
    <w:p w14:paraId="70435DD8">
      <w:pPr>
        <w:shd w:val="clear" w:color="auto" w:fill="FFFFFF"/>
        <w:spacing w:line="400" w:lineRule="exact"/>
        <w:ind w:firstLine="480" w:firstLineChars="200"/>
        <w:rPr>
          <w:rFonts w:hint="eastAsia" w:ascii="宋体" w:hAnsi="宋体" w:eastAsia="宋体" w:cs="Times New Roman"/>
          <w:color w:val="000000"/>
          <w:sz w:val="24"/>
          <w:szCs w:val="24"/>
          <w:lang w:val="zh-CN"/>
        </w:rPr>
      </w:pPr>
      <w:r>
        <w:rPr>
          <w:rFonts w:hint="eastAsia" w:ascii="宋体" w:hAnsi="宋体" w:eastAsia="宋体" w:cs="Times New Roman"/>
          <w:color w:val="000000"/>
          <w:sz w:val="24"/>
          <w:szCs w:val="24"/>
        </w:rPr>
        <w:t>1.擅自</w:t>
      </w:r>
      <w:r>
        <w:rPr>
          <w:rFonts w:hint="eastAsia" w:ascii="宋体" w:hAnsi="宋体" w:eastAsia="宋体" w:cs="Times New Roman"/>
          <w:color w:val="000000"/>
          <w:sz w:val="24"/>
          <w:szCs w:val="24"/>
          <w:lang w:val="zh-CN"/>
        </w:rPr>
        <w:t>将履约项目转包、</w:t>
      </w:r>
      <w:r>
        <w:rPr>
          <w:rFonts w:hint="eastAsia" w:ascii="宋体" w:hAnsi="宋体" w:eastAsia="宋体" w:cs="Times New Roman"/>
          <w:color w:val="000000"/>
          <w:sz w:val="24"/>
          <w:szCs w:val="24"/>
        </w:rPr>
        <w:t>分包</w:t>
      </w:r>
      <w:r>
        <w:rPr>
          <w:rFonts w:hint="eastAsia" w:ascii="宋体" w:hAnsi="宋体" w:eastAsia="宋体" w:cs="Times New Roman"/>
          <w:color w:val="000000"/>
          <w:sz w:val="24"/>
          <w:szCs w:val="24"/>
          <w:lang w:val="zh-CN"/>
        </w:rPr>
        <w:t>给第三方的。</w:t>
      </w:r>
    </w:p>
    <w:p w14:paraId="0F1C88DC">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w:t>
      </w:r>
      <w:r>
        <w:rPr>
          <w:rFonts w:hint="eastAsia" w:ascii="宋体" w:hAnsi="宋体" w:eastAsia="宋体" w:cs="Times New Roman"/>
          <w:color w:val="000000"/>
          <w:sz w:val="24"/>
          <w:szCs w:val="24"/>
          <w:lang w:eastAsia="zh-CN"/>
        </w:rPr>
        <w:t>参与本次竞选的车辆及人员，</w:t>
      </w:r>
      <w:r>
        <w:rPr>
          <w:rFonts w:hint="eastAsia" w:ascii="宋体" w:hAnsi="宋体" w:eastAsia="宋体" w:cs="Times New Roman"/>
          <w:color w:val="000000"/>
          <w:sz w:val="24"/>
          <w:szCs w:val="24"/>
        </w:rPr>
        <w:t>收运来历不明的</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的，包括但不仅限于向其他单位或个人收运在餐厨垃圾桶、池等设施设备内分离、舀取油脂及油水混合物等情形。</w:t>
      </w:r>
    </w:p>
    <w:p w14:paraId="3E6C9EF4">
      <w:pPr>
        <w:shd w:val="clear" w:color="auto" w:fill="FFFFFF"/>
        <w:spacing w:line="400" w:lineRule="exact"/>
        <w:ind w:firstLine="480"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color w:val="000000"/>
          <w:sz w:val="24"/>
          <w:szCs w:val="24"/>
        </w:rPr>
        <w:t>3.将</w:t>
      </w:r>
      <w:r>
        <w:rPr>
          <w:rFonts w:hint="eastAsia" w:ascii="宋体" w:hAnsi="宋体" w:eastAsia="宋体" w:cs="Times New Roman"/>
          <w:color w:val="000000"/>
          <w:sz w:val="24"/>
          <w:szCs w:val="24"/>
          <w:lang w:eastAsia="zh-CN"/>
        </w:rPr>
        <w:t>九龙坡区产生的废弃食用油脂</w:t>
      </w:r>
      <w:r>
        <w:rPr>
          <w:rFonts w:hint="eastAsia" w:ascii="宋体" w:hAnsi="宋体" w:eastAsia="宋体" w:cs="Times New Roman"/>
          <w:color w:val="000000"/>
          <w:sz w:val="24"/>
          <w:szCs w:val="24"/>
        </w:rPr>
        <w:t>运至未取得</w:t>
      </w:r>
      <w:r>
        <w:rPr>
          <w:rFonts w:hint="eastAsia" w:ascii="宋体" w:hAnsi="宋体" w:eastAsia="宋体" w:cs="Times New Roman"/>
          <w:color w:val="000000"/>
          <w:sz w:val="24"/>
          <w:szCs w:val="24"/>
          <w:lang w:eastAsia="zh-CN"/>
        </w:rPr>
        <w:t>重庆市城市管理局“生活垃圾（废弃食用油脂）特许经营权”</w:t>
      </w:r>
      <w:r>
        <w:rPr>
          <w:rFonts w:hint="eastAsia" w:ascii="宋体" w:hAnsi="宋体" w:eastAsia="宋体" w:cs="Times New Roman"/>
          <w:color w:val="000000"/>
          <w:sz w:val="24"/>
          <w:szCs w:val="24"/>
        </w:rPr>
        <w:t>的单位</w:t>
      </w:r>
      <w:r>
        <w:rPr>
          <w:rFonts w:hint="eastAsia" w:ascii="宋体" w:hAnsi="宋体" w:eastAsia="宋体" w:cs="Times New Roman"/>
          <w:color w:val="000000"/>
          <w:sz w:val="24"/>
          <w:szCs w:val="24"/>
          <w:lang w:eastAsia="zh-CN"/>
        </w:rPr>
        <w:t>进行</w:t>
      </w:r>
      <w:r>
        <w:rPr>
          <w:rFonts w:hint="eastAsia" w:ascii="宋体" w:hAnsi="宋体" w:eastAsia="宋体" w:cs="Times New Roman"/>
          <w:color w:val="000000"/>
          <w:sz w:val="24"/>
          <w:szCs w:val="24"/>
        </w:rPr>
        <w:t>处置的</w:t>
      </w:r>
      <w:r>
        <w:rPr>
          <w:rFonts w:hint="eastAsia" w:ascii="宋体" w:hAnsi="宋体" w:eastAsia="宋体" w:cs="Times New Roman"/>
          <w:color w:val="000000"/>
          <w:sz w:val="24"/>
          <w:szCs w:val="24"/>
          <w:lang w:eastAsia="zh-CN"/>
        </w:rPr>
        <w:t>，或擅自运输出重庆市行政区域的。</w:t>
      </w:r>
    </w:p>
    <w:p w14:paraId="2B08933D">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4.将</w:t>
      </w:r>
      <w:r>
        <w:rPr>
          <w:rFonts w:hint="eastAsia" w:ascii="宋体" w:hAnsi="宋体" w:eastAsia="宋体" w:cs="Times New Roman"/>
          <w:color w:val="000000"/>
          <w:sz w:val="24"/>
          <w:szCs w:val="24"/>
          <w:lang w:eastAsia="zh-CN"/>
        </w:rPr>
        <w:t>九龙坡区产生的</w:t>
      </w:r>
      <w:r>
        <w:rPr>
          <w:rFonts w:hint="eastAsia" w:ascii="宋体" w:hAnsi="宋体" w:eastAsia="宋体" w:cs="Times New Roman"/>
          <w:color w:val="000000"/>
          <w:sz w:val="24"/>
          <w:szCs w:val="24"/>
        </w:rPr>
        <w:t>未经加工处置的</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擅自对外</w:t>
      </w:r>
      <w:r>
        <w:rPr>
          <w:rFonts w:hint="eastAsia" w:ascii="宋体" w:hAnsi="宋体" w:eastAsia="宋体" w:cs="Times New Roman"/>
          <w:color w:val="000000"/>
          <w:sz w:val="24"/>
          <w:szCs w:val="24"/>
          <w:lang w:eastAsia="zh-CN"/>
        </w:rPr>
        <w:t>转卖、转让、</w:t>
      </w:r>
      <w:r>
        <w:rPr>
          <w:rFonts w:hint="eastAsia" w:ascii="宋体" w:hAnsi="宋体" w:eastAsia="宋体" w:cs="Times New Roman"/>
          <w:color w:val="000000"/>
          <w:sz w:val="24"/>
          <w:szCs w:val="24"/>
        </w:rPr>
        <w:t>赠予的。</w:t>
      </w:r>
    </w:p>
    <w:p w14:paraId="5BB68D3B">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eastAsia="宋体" w:cs="Times New Roman"/>
          <w:color w:val="000000"/>
          <w:sz w:val="24"/>
          <w:szCs w:val="24"/>
          <w:lang w:eastAsia="zh-CN"/>
        </w:rPr>
        <w:t>参与本次竞选的车辆及人员，</w:t>
      </w:r>
      <w:r>
        <w:rPr>
          <w:rFonts w:hint="eastAsia" w:ascii="宋体" w:hAnsi="宋体" w:eastAsia="宋体" w:cs="Times New Roman"/>
          <w:color w:val="000000"/>
          <w:sz w:val="24"/>
          <w:szCs w:val="24"/>
        </w:rPr>
        <w:t>收运</w:t>
      </w:r>
      <w:r>
        <w:rPr>
          <w:rFonts w:hint="eastAsia" w:ascii="宋体" w:hAnsi="宋体" w:eastAsia="宋体" w:cs="Times New Roman"/>
          <w:color w:val="000000"/>
          <w:sz w:val="24"/>
          <w:szCs w:val="24"/>
          <w:lang w:eastAsia="zh-CN"/>
        </w:rPr>
        <w:t>九龙坡区行政区域</w:t>
      </w:r>
      <w:r>
        <w:rPr>
          <w:rFonts w:hint="eastAsia" w:ascii="宋体" w:hAnsi="宋体" w:eastAsia="宋体" w:cs="Times New Roman"/>
          <w:color w:val="000000"/>
          <w:sz w:val="24"/>
          <w:szCs w:val="24"/>
        </w:rPr>
        <w:t>外的</w:t>
      </w:r>
      <w:r>
        <w:rPr>
          <w:rFonts w:hint="eastAsia" w:ascii="宋体" w:hAnsi="宋体" w:eastAsia="宋体" w:cs="Times New Roman"/>
          <w:color w:val="000000"/>
          <w:sz w:val="24"/>
          <w:szCs w:val="24"/>
          <w:lang w:eastAsia="zh-CN"/>
        </w:rPr>
        <w:t>废弃食用油脂</w:t>
      </w:r>
      <w:r>
        <w:rPr>
          <w:rFonts w:hint="eastAsia" w:ascii="宋体" w:hAnsi="宋体" w:eastAsia="宋体" w:cs="Times New Roman"/>
          <w:color w:val="000000"/>
          <w:sz w:val="24"/>
          <w:szCs w:val="24"/>
        </w:rPr>
        <w:t>的。</w:t>
      </w:r>
    </w:p>
    <w:p w14:paraId="597F2A15">
      <w:pPr>
        <w:shd w:val="clear" w:color="auto" w:fill="FFFFFF"/>
        <w:spacing w:line="400" w:lineRule="exact"/>
        <w:ind w:firstLine="480" w:firstLineChars="200"/>
        <w:rPr>
          <w:rFonts w:hint="eastAsia" w:ascii="宋体" w:hAnsi="宋体" w:eastAsia="宋体" w:cs="Times New Roman"/>
          <w:color w:val="000000"/>
          <w:sz w:val="24"/>
          <w:szCs w:val="24"/>
          <w:lang w:val="zh-CN"/>
        </w:rPr>
      </w:pPr>
      <w:r>
        <w:rPr>
          <w:rFonts w:hint="eastAsia" w:ascii="宋体" w:hAnsi="宋体" w:eastAsia="宋体" w:cs="Times New Roman"/>
          <w:color w:val="000000"/>
          <w:sz w:val="24"/>
          <w:szCs w:val="24"/>
        </w:rPr>
        <w:t>6.</w:t>
      </w:r>
      <w:r>
        <w:rPr>
          <w:rFonts w:hint="eastAsia" w:ascii="宋体" w:hAnsi="宋体" w:eastAsia="宋体" w:cs="Times New Roman"/>
          <w:color w:val="000000"/>
          <w:sz w:val="24"/>
          <w:szCs w:val="24"/>
          <w:lang w:val="zh-CN"/>
        </w:rPr>
        <w:t>自然年度有一次不诚信企业信息记录的。</w:t>
      </w:r>
    </w:p>
    <w:p w14:paraId="0D382D49">
      <w:pPr>
        <w:shd w:val="clear" w:color="auto" w:fill="FFFFFF"/>
        <w:spacing w:line="400" w:lineRule="exact"/>
        <w:ind w:firstLine="480" w:firstLineChars="200"/>
        <w:rPr>
          <w:rFonts w:hint="eastAsia" w:ascii="宋体" w:hAnsi="宋体" w:eastAsia="宋体" w:cs="Times New Roman"/>
          <w:color w:val="000000"/>
          <w:sz w:val="24"/>
          <w:szCs w:val="24"/>
          <w:lang w:val="zh-CN"/>
        </w:rPr>
      </w:pPr>
      <w:r>
        <w:rPr>
          <w:rFonts w:hint="eastAsia" w:ascii="宋体" w:hAnsi="宋体" w:eastAsia="宋体" w:cs="Times New Roman"/>
          <w:color w:val="000000"/>
          <w:sz w:val="24"/>
          <w:szCs w:val="24"/>
        </w:rPr>
        <w:t>7.</w:t>
      </w:r>
      <w:r>
        <w:rPr>
          <w:rFonts w:hint="eastAsia" w:ascii="宋体" w:hAnsi="宋体" w:eastAsia="宋体" w:cs="Times New Roman"/>
          <w:color w:val="000000"/>
          <w:sz w:val="24"/>
          <w:szCs w:val="24"/>
          <w:lang w:eastAsia="zh-CN"/>
        </w:rPr>
        <w:t>在九龙坡区内</w:t>
      </w:r>
      <w:r>
        <w:rPr>
          <w:rFonts w:hint="eastAsia" w:ascii="宋体" w:hAnsi="宋体" w:eastAsia="宋体" w:cs="Times New Roman"/>
          <w:color w:val="000000"/>
          <w:sz w:val="24"/>
          <w:szCs w:val="24"/>
          <w:lang w:val="zh-CN"/>
        </w:rPr>
        <w:t>发生安全生产责任事故或作业公司需承担事故同等责任以上的交通事故并造成1人以上（含）死亡或者3人以上（含）重伤的。</w:t>
      </w:r>
    </w:p>
    <w:p w14:paraId="724B68B7">
      <w:pPr>
        <w:shd w:val="clear" w:color="auto" w:fill="FFFFFF"/>
        <w:spacing w:line="400" w:lineRule="exact"/>
        <w:ind w:firstLine="480" w:firstLineChars="200"/>
        <w:rPr>
          <w:rFonts w:hint="eastAsia" w:ascii="宋体" w:hAnsi="宋体" w:eastAsia="宋体" w:cs="Times New Roman"/>
          <w:color w:val="000000"/>
          <w:sz w:val="24"/>
          <w:szCs w:val="24"/>
          <w:lang w:val="zh-CN"/>
        </w:rPr>
      </w:pPr>
      <w:r>
        <w:rPr>
          <w:rFonts w:hint="eastAsia" w:ascii="宋体" w:hAnsi="宋体" w:eastAsia="宋体" w:cs="Times New Roman"/>
          <w:color w:val="000000"/>
          <w:sz w:val="24"/>
          <w:szCs w:val="24"/>
        </w:rPr>
        <w:t>8.</w:t>
      </w:r>
      <w:r>
        <w:rPr>
          <w:rFonts w:hint="eastAsia" w:ascii="宋体" w:hAnsi="宋体" w:eastAsia="宋体" w:cs="Times New Roman"/>
          <w:color w:val="000000"/>
          <w:sz w:val="24"/>
          <w:szCs w:val="24"/>
          <w:lang w:eastAsia="zh-CN"/>
        </w:rPr>
        <w:t>在九龙坡区内</w:t>
      </w:r>
      <w:r>
        <w:rPr>
          <w:rFonts w:hint="eastAsia" w:ascii="宋体" w:hAnsi="宋体" w:eastAsia="宋体" w:cs="Times New Roman"/>
          <w:color w:val="000000"/>
          <w:sz w:val="24"/>
          <w:szCs w:val="24"/>
          <w:lang w:val="zh-CN"/>
        </w:rPr>
        <w:t>因</w:t>
      </w:r>
      <w:r>
        <w:rPr>
          <w:rFonts w:hint="eastAsia" w:ascii="宋体" w:hAnsi="宋体" w:eastAsia="宋体" w:cs="Times New Roman"/>
          <w:color w:val="000000"/>
          <w:sz w:val="24"/>
          <w:szCs w:val="24"/>
        </w:rPr>
        <w:t>员工</w:t>
      </w:r>
      <w:r>
        <w:rPr>
          <w:rFonts w:hint="eastAsia" w:ascii="宋体" w:hAnsi="宋体" w:eastAsia="宋体" w:cs="Times New Roman"/>
          <w:color w:val="000000"/>
          <w:sz w:val="24"/>
          <w:szCs w:val="24"/>
          <w:lang w:val="zh-CN"/>
        </w:rPr>
        <w:t>集访、罢工等，人数超过5人或者给九龙坡区人民政府及相关职能部门造成不良社会影响的（被市级以上媒体曝光；被各类网络媒体转发、关注、评论造成500人以上知晓的负面影响）。</w:t>
      </w:r>
    </w:p>
    <w:p w14:paraId="2FD0AFA1">
      <w:pPr>
        <w:shd w:val="clear" w:color="auto" w:fill="FFFFFF"/>
        <w:spacing w:line="400" w:lineRule="exact"/>
        <w:ind w:firstLine="480" w:firstLineChars="200"/>
        <w:rPr>
          <w:rFonts w:hint="eastAsia" w:ascii="宋体" w:hAnsi="宋体" w:eastAsia="宋体" w:cs="Times New Roman"/>
          <w:color w:val="000000"/>
          <w:sz w:val="24"/>
          <w:szCs w:val="24"/>
          <w:lang w:val="zh-CN"/>
        </w:rPr>
      </w:pPr>
      <w:r>
        <w:rPr>
          <w:rFonts w:hint="eastAsia" w:ascii="宋体" w:hAnsi="宋体" w:eastAsia="宋体" w:cs="Times New Roman"/>
          <w:color w:val="000000"/>
          <w:sz w:val="24"/>
          <w:szCs w:val="24"/>
        </w:rPr>
        <w:t>9.</w:t>
      </w:r>
      <w:r>
        <w:rPr>
          <w:rFonts w:hint="eastAsia" w:ascii="宋体" w:hAnsi="宋体" w:eastAsia="宋体" w:cs="Times New Roman"/>
          <w:color w:val="000000"/>
          <w:sz w:val="24"/>
          <w:szCs w:val="24"/>
          <w:lang w:val="zh-CN"/>
        </w:rPr>
        <w:t>因未按约履行</w:t>
      </w:r>
      <w:r>
        <w:rPr>
          <w:rFonts w:hint="eastAsia" w:ascii="宋体" w:hAnsi="宋体" w:eastAsia="宋体" w:cs="Times New Roman"/>
          <w:color w:val="000000"/>
          <w:sz w:val="24"/>
          <w:szCs w:val="24"/>
          <w:lang w:eastAsia="zh-CN"/>
        </w:rPr>
        <w:t>本次竞选</w:t>
      </w:r>
      <w:r>
        <w:rPr>
          <w:rFonts w:hint="eastAsia" w:ascii="宋体" w:hAnsi="宋体" w:eastAsia="宋体" w:cs="Times New Roman"/>
          <w:color w:val="000000"/>
          <w:sz w:val="24"/>
          <w:szCs w:val="24"/>
          <w:lang w:val="zh-CN"/>
        </w:rPr>
        <w:t>协议义务，造成九龙坡区人民政府及相关职能部门重大舆论影响</w:t>
      </w:r>
      <w:r>
        <w:rPr>
          <w:rFonts w:hint="eastAsia" w:ascii="宋体" w:hAnsi="宋体" w:eastAsia="宋体" w:cs="Times New Roman"/>
          <w:color w:val="000000"/>
          <w:sz w:val="24"/>
          <w:szCs w:val="24"/>
        </w:rPr>
        <w:t>的</w:t>
      </w:r>
      <w:r>
        <w:rPr>
          <w:rFonts w:hint="eastAsia" w:ascii="宋体" w:hAnsi="宋体" w:eastAsia="宋体" w:cs="Times New Roman"/>
          <w:color w:val="000000"/>
          <w:sz w:val="24"/>
          <w:szCs w:val="24"/>
          <w:lang w:val="zh-CN"/>
        </w:rPr>
        <w:t>（被市级以上媒体曝光；被各类网络媒体转发、关注、评论造成500人以上知晓的负面影响）。</w:t>
      </w:r>
    </w:p>
    <w:p w14:paraId="5FCCE448">
      <w:pPr>
        <w:shd w:val="clear" w:color="auto" w:fill="FFFFFF"/>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10.</w:t>
      </w:r>
      <w:r>
        <w:rPr>
          <w:rFonts w:hint="eastAsia" w:ascii="宋体" w:hAnsi="宋体" w:eastAsia="宋体" w:cs="Times New Roman"/>
          <w:color w:val="000000"/>
          <w:sz w:val="24"/>
          <w:szCs w:val="24"/>
          <w:lang w:eastAsia="zh-CN"/>
        </w:rPr>
        <w:t>被九龙坡区内废弃食用油脂</w:t>
      </w:r>
      <w:r>
        <w:rPr>
          <w:rFonts w:hint="eastAsia" w:ascii="宋体" w:hAnsi="宋体" w:eastAsia="宋体" w:cs="Times New Roman"/>
          <w:color w:val="000000"/>
          <w:sz w:val="24"/>
          <w:szCs w:val="24"/>
        </w:rPr>
        <w:t>产生者</w:t>
      </w:r>
      <w:r>
        <w:rPr>
          <w:rFonts w:hint="eastAsia" w:ascii="宋体" w:hAnsi="宋体" w:eastAsia="宋体" w:cs="Times New Roman"/>
          <w:color w:val="000000"/>
          <w:sz w:val="24"/>
          <w:szCs w:val="24"/>
          <w:lang w:eastAsia="zh-CN"/>
        </w:rPr>
        <w:t>有效</w:t>
      </w:r>
      <w:r>
        <w:rPr>
          <w:rFonts w:hint="eastAsia" w:ascii="宋体" w:hAnsi="宋体" w:eastAsia="宋体" w:cs="Times New Roman"/>
          <w:color w:val="000000"/>
          <w:sz w:val="24"/>
          <w:szCs w:val="24"/>
        </w:rPr>
        <w:t>投诉10人/次以上或一次10人的。</w:t>
      </w:r>
    </w:p>
    <w:p w14:paraId="1E807072">
      <w:pPr>
        <w:shd w:val="clear" w:color="auto" w:fill="FFFFFF"/>
        <w:spacing w:line="400" w:lineRule="exact"/>
        <w:ind w:firstLine="480" w:firstLineChars="200"/>
        <w:rPr>
          <w:rFonts w:hint="eastAsia" w:ascii="宋体" w:hAnsi="宋体" w:eastAsia="宋体" w:cs="Times New Roman"/>
          <w:color w:val="000000"/>
          <w:sz w:val="24"/>
          <w:szCs w:val="24"/>
          <w:lang w:val="zh-CN"/>
        </w:rPr>
      </w:pPr>
      <w:r>
        <w:rPr>
          <w:rFonts w:hint="eastAsia" w:ascii="宋体" w:hAnsi="宋体" w:eastAsia="宋体" w:cs="Times New Roman"/>
          <w:color w:val="000000"/>
          <w:sz w:val="24"/>
          <w:szCs w:val="24"/>
        </w:rPr>
        <w:t>11.一个自然年度内</w:t>
      </w:r>
      <w:r>
        <w:rPr>
          <w:rFonts w:hint="eastAsia" w:ascii="宋体" w:hAnsi="宋体" w:eastAsia="宋体" w:cs="Times New Roman"/>
          <w:color w:val="000000"/>
          <w:sz w:val="24"/>
          <w:szCs w:val="24"/>
          <w:lang w:val="zh-CN"/>
        </w:rPr>
        <w:t>受到市、区领导点名批评</w:t>
      </w:r>
      <w:r>
        <w:rPr>
          <w:rFonts w:hint="eastAsia" w:ascii="宋体" w:hAnsi="宋体" w:eastAsia="宋体" w:cs="Times New Roman"/>
          <w:color w:val="000000"/>
          <w:sz w:val="24"/>
          <w:szCs w:val="24"/>
        </w:rPr>
        <w:t>或</w:t>
      </w:r>
      <w:r>
        <w:rPr>
          <w:rFonts w:hint="eastAsia" w:ascii="宋体" w:hAnsi="宋体" w:eastAsia="宋体" w:cs="Times New Roman"/>
          <w:color w:val="000000"/>
          <w:sz w:val="24"/>
          <w:szCs w:val="24"/>
          <w:lang w:val="zh-CN"/>
        </w:rPr>
        <w:t>受到</w:t>
      </w:r>
      <w:r>
        <w:rPr>
          <w:rFonts w:hint="eastAsia" w:ascii="宋体" w:hAnsi="宋体" w:eastAsia="宋体" w:cs="Times New Roman"/>
          <w:color w:val="000000"/>
          <w:sz w:val="24"/>
          <w:szCs w:val="24"/>
        </w:rPr>
        <w:t>政府职能部门</w:t>
      </w:r>
      <w:r>
        <w:rPr>
          <w:rFonts w:hint="eastAsia" w:ascii="宋体" w:hAnsi="宋体" w:eastAsia="宋体" w:cs="Times New Roman"/>
          <w:color w:val="000000"/>
          <w:sz w:val="24"/>
          <w:szCs w:val="24"/>
          <w:lang w:val="zh-CN"/>
        </w:rPr>
        <w:t>以正式文件通报批评，达到3次的。</w:t>
      </w:r>
    </w:p>
    <w:p w14:paraId="581AA88A">
      <w:pPr>
        <w:shd w:val="clear" w:color="auto" w:fill="FFFFFF"/>
        <w:spacing w:line="400" w:lineRule="exact"/>
        <w:ind w:firstLine="480" w:firstLineChars="200"/>
        <w:rPr>
          <w:rFonts w:hint="eastAsia" w:ascii="宋体" w:hAnsi="宋体" w:eastAsia="宋体" w:cs="Times New Roman"/>
          <w:color w:val="000000"/>
          <w:sz w:val="24"/>
          <w:szCs w:val="24"/>
          <w:lang w:val="zh-CN"/>
        </w:rPr>
      </w:pPr>
      <w:r>
        <w:rPr>
          <w:rFonts w:hint="eastAsia" w:ascii="宋体" w:hAnsi="宋体" w:eastAsia="宋体" w:cs="Times New Roman"/>
          <w:color w:val="000000"/>
          <w:sz w:val="24"/>
          <w:szCs w:val="24"/>
        </w:rPr>
        <w:t>12.未</w:t>
      </w:r>
      <w:r>
        <w:rPr>
          <w:rFonts w:hint="eastAsia" w:ascii="宋体" w:hAnsi="宋体" w:eastAsia="宋体" w:cs="Times New Roman"/>
          <w:color w:val="000000"/>
          <w:sz w:val="24"/>
          <w:szCs w:val="24"/>
          <w:lang w:val="zh-CN"/>
        </w:rPr>
        <w:t>按</w:t>
      </w:r>
      <w:r>
        <w:rPr>
          <w:rFonts w:hint="eastAsia" w:ascii="宋体" w:hAnsi="宋体" w:eastAsia="宋体" w:cs="Times New Roman"/>
          <w:color w:val="000000"/>
          <w:sz w:val="24"/>
          <w:szCs w:val="24"/>
        </w:rPr>
        <w:t>竞选</w:t>
      </w:r>
      <w:r>
        <w:rPr>
          <w:rFonts w:hint="eastAsia" w:ascii="宋体" w:hAnsi="宋体" w:eastAsia="宋体" w:cs="Times New Roman"/>
          <w:color w:val="000000"/>
          <w:sz w:val="24"/>
          <w:szCs w:val="24"/>
          <w:lang w:val="zh-CN"/>
        </w:rPr>
        <w:t>文件规定要求和</w:t>
      </w:r>
      <w:r>
        <w:rPr>
          <w:rFonts w:hint="eastAsia" w:ascii="宋体" w:hAnsi="宋体" w:eastAsia="宋体" w:cs="Times New Roman"/>
          <w:color w:val="000000"/>
          <w:sz w:val="24"/>
          <w:szCs w:val="24"/>
        </w:rPr>
        <w:t>参选</w:t>
      </w:r>
      <w:r>
        <w:rPr>
          <w:rFonts w:hint="eastAsia" w:ascii="宋体" w:hAnsi="宋体" w:eastAsia="宋体" w:cs="Times New Roman"/>
          <w:color w:val="000000"/>
          <w:sz w:val="24"/>
          <w:szCs w:val="24"/>
          <w:lang w:val="zh-CN"/>
        </w:rPr>
        <w:t>文件承诺及相关规定投入人力、物力、财力和机械设备，一年内被</w:t>
      </w:r>
      <w:r>
        <w:rPr>
          <w:rFonts w:hint="eastAsia" w:ascii="宋体" w:hAnsi="宋体" w:eastAsia="宋体" w:cs="Times New Roman"/>
          <w:color w:val="000000"/>
          <w:sz w:val="24"/>
          <w:szCs w:val="24"/>
          <w:lang w:eastAsia="zh-CN"/>
        </w:rPr>
        <w:t>竞选组织人</w:t>
      </w:r>
      <w:r>
        <w:rPr>
          <w:rFonts w:hint="eastAsia" w:ascii="宋体" w:hAnsi="宋体" w:eastAsia="宋体" w:cs="Times New Roman"/>
          <w:color w:val="000000"/>
          <w:sz w:val="24"/>
          <w:szCs w:val="24"/>
          <w:lang w:val="zh-CN"/>
        </w:rPr>
        <w:t>书面告知2次仍未整改的。</w:t>
      </w:r>
    </w:p>
    <w:p w14:paraId="0DBFA95F">
      <w:pPr>
        <w:pStyle w:val="3"/>
        <w:rPr>
          <w:rFonts w:hint="eastAsia" w:ascii="宋体" w:hAnsi="宋体" w:eastAsia="宋体" w:cs="Times New Roman"/>
          <w:b/>
          <w:color w:val="000000"/>
          <w:sz w:val="24"/>
          <w:szCs w:val="24"/>
          <w:lang w:eastAsia="zh-CN"/>
        </w:rPr>
      </w:pPr>
      <w:r>
        <w:rPr>
          <w:rFonts w:hint="eastAsia" w:ascii="宋体" w:hAnsi="宋体" w:eastAsia="宋体" w:cs="Times New Roman"/>
          <w:b/>
          <w:color w:val="000000"/>
          <w:sz w:val="24"/>
          <w:szCs w:val="24"/>
          <w:lang w:eastAsia="zh-CN"/>
        </w:rPr>
        <w:t>五、重启机制</w:t>
      </w:r>
    </w:p>
    <w:p w14:paraId="4D38DB2A">
      <w:pPr>
        <w:pStyle w:val="3"/>
        <w:keepNext w:val="0"/>
        <w:keepLines w:val="0"/>
        <w:pageBreakBefore w:val="0"/>
        <w:widowControl w:val="0"/>
        <w:numPr>
          <w:ilvl w:val="0"/>
          <w:numId w:val="17"/>
        </w:numPr>
        <w:kinsoku/>
        <w:wordWrap/>
        <w:overflowPunct/>
        <w:topLinePunct w:val="0"/>
        <w:autoSpaceDE/>
        <w:autoSpaceDN/>
        <w:bidi w:val="0"/>
        <w:spacing w:line="400" w:lineRule="exact"/>
        <w:textAlignment w:val="auto"/>
        <w:rPr>
          <w:rFonts w:hint="eastAsia" w:ascii="宋体" w:hAnsi="宋体"/>
          <w:color w:val="000000"/>
          <w:sz w:val="24"/>
          <w:szCs w:val="24"/>
          <w:highlight w:val="none"/>
        </w:rPr>
      </w:pPr>
      <w:r>
        <w:rPr>
          <w:rFonts w:hint="eastAsia" w:ascii="宋体" w:hAnsi="宋体"/>
          <w:color w:val="000000"/>
          <w:sz w:val="24"/>
          <w:szCs w:val="24"/>
          <w:highlight w:val="none"/>
        </w:rPr>
        <w:t>当中选人不足三家时，</w:t>
      </w:r>
      <w:r>
        <w:rPr>
          <w:rFonts w:hint="eastAsia" w:ascii="宋体" w:hAnsi="宋体"/>
          <w:color w:val="000000"/>
          <w:sz w:val="24"/>
          <w:szCs w:val="24"/>
          <w:highlight w:val="none"/>
          <w:lang w:eastAsia="zh-CN"/>
        </w:rPr>
        <w:t>竞选组织人</w:t>
      </w:r>
      <w:r>
        <w:rPr>
          <w:rFonts w:hint="eastAsia" w:ascii="宋体" w:hAnsi="宋体"/>
          <w:color w:val="000000"/>
          <w:sz w:val="24"/>
          <w:szCs w:val="24"/>
          <w:highlight w:val="none"/>
        </w:rPr>
        <w:t>将重新组织竞选</w:t>
      </w:r>
      <w:r>
        <w:rPr>
          <w:rFonts w:hint="eastAsia" w:ascii="宋体" w:hAnsi="宋体"/>
          <w:color w:val="000000"/>
          <w:sz w:val="24"/>
          <w:szCs w:val="24"/>
          <w:highlight w:val="none"/>
          <w:lang w:eastAsia="zh-CN"/>
        </w:rPr>
        <w:t>。</w:t>
      </w:r>
    </w:p>
    <w:p w14:paraId="3F16D4BE">
      <w:pPr>
        <w:keepNext w:val="0"/>
        <w:keepLines w:val="0"/>
        <w:pageBreakBefore w:val="0"/>
        <w:widowControl w:val="0"/>
        <w:numPr>
          <w:ilvl w:val="0"/>
          <w:numId w:val="17"/>
        </w:numPr>
        <w:kinsoku/>
        <w:wordWrap/>
        <w:overflowPunct/>
        <w:topLinePunct w:val="0"/>
        <w:autoSpaceDE/>
        <w:autoSpaceDN/>
        <w:bidi w:val="0"/>
        <w:spacing w:line="400" w:lineRule="exact"/>
        <w:textAlignment w:val="auto"/>
        <w:rPr>
          <w:rFonts w:hint="eastAsia" w:ascii="宋体" w:hAnsi="宋体" w:eastAsia="宋体" w:cs="Times New Roman"/>
          <w:bCs/>
          <w:color w:val="000000"/>
          <w:sz w:val="24"/>
          <w:szCs w:val="24"/>
          <w:highlight w:val="none"/>
        </w:rPr>
      </w:pPr>
      <w:r>
        <w:rPr>
          <w:rFonts w:hint="eastAsia" w:ascii="宋体" w:hAnsi="宋体" w:eastAsia="宋体" w:cs="Times New Roman"/>
          <w:bCs/>
          <w:color w:val="000000"/>
          <w:sz w:val="24"/>
          <w:szCs w:val="24"/>
          <w:highlight w:val="none"/>
        </w:rPr>
        <w:t>本次竞选服务期内，</w:t>
      </w:r>
      <w:r>
        <w:rPr>
          <w:rFonts w:hint="eastAsia" w:ascii="宋体" w:hAnsi="宋体" w:eastAsia="宋体" w:cs="Times New Roman"/>
          <w:bCs/>
          <w:color w:val="000000"/>
          <w:sz w:val="24"/>
          <w:szCs w:val="24"/>
          <w:highlight w:val="none"/>
          <w:lang w:eastAsia="zh-CN"/>
        </w:rPr>
        <w:t>至少</w:t>
      </w:r>
      <w:r>
        <w:rPr>
          <w:rFonts w:hint="eastAsia" w:ascii="宋体" w:hAnsi="宋体" w:eastAsia="宋体" w:cs="Times New Roman"/>
          <w:bCs/>
          <w:color w:val="000000"/>
          <w:sz w:val="24"/>
          <w:szCs w:val="24"/>
          <w:highlight w:val="none"/>
        </w:rPr>
        <w:t xml:space="preserve">保持 </w:t>
      </w:r>
      <w:r>
        <w:rPr>
          <w:rFonts w:hint="eastAsia" w:ascii="宋体" w:hAnsi="宋体" w:eastAsia="宋体" w:cs="Times New Roman"/>
          <w:bCs/>
          <w:color w:val="000000"/>
          <w:sz w:val="24"/>
          <w:szCs w:val="24"/>
          <w:highlight w:val="none"/>
          <w:lang w:val="en-US" w:eastAsia="zh-CN"/>
        </w:rPr>
        <w:t>2</w:t>
      </w:r>
      <w:r>
        <w:rPr>
          <w:rFonts w:hint="eastAsia" w:ascii="宋体" w:hAnsi="宋体" w:eastAsia="宋体" w:cs="Times New Roman"/>
          <w:bCs/>
          <w:color w:val="000000"/>
          <w:sz w:val="24"/>
          <w:szCs w:val="24"/>
          <w:highlight w:val="none"/>
        </w:rPr>
        <w:t xml:space="preserve"> 家及以上</w:t>
      </w:r>
      <w:r>
        <w:rPr>
          <w:rFonts w:hint="eastAsia" w:ascii="宋体" w:hAnsi="宋体" w:eastAsia="宋体" w:cs="Times New Roman"/>
          <w:bCs/>
          <w:color w:val="000000"/>
          <w:sz w:val="24"/>
          <w:szCs w:val="24"/>
          <w:highlight w:val="none"/>
          <w:lang w:eastAsia="zh-CN"/>
        </w:rPr>
        <w:t>中选人</w:t>
      </w:r>
      <w:r>
        <w:rPr>
          <w:rFonts w:hint="eastAsia" w:ascii="宋体" w:hAnsi="宋体" w:eastAsia="宋体" w:cs="Times New Roman"/>
          <w:bCs/>
          <w:color w:val="000000"/>
          <w:sz w:val="24"/>
          <w:szCs w:val="24"/>
          <w:highlight w:val="none"/>
        </w:rPr>
        <w:t>同步提供收运服务；若因考核不合格、主动退出、违规清退等原因导致</w:t>
      </w:r>
      <w:r>
        <w:rPr>
          <w:rFonts w:hint="eastAsia" w:ascii="宋体" w:hAnsi="宋体" w:eastAsia="宋体" w:cs="Times New Roman"/>
          <w:bCs/>
          <w:color w:val="000000"/>
          <w:sz w:val="24"/>
          <w:szCs w:val="24"/>
          <w:highlight w:val="none"/>
          <w:lang w:eastAsia="zh-CN"/>
        </w:rPr>
        <w:t>中选人</w:t>
      </w:r>
      <w:r>
        <w:rPr>
          <w:rFonts w:hint="eastAsia" w:ascii="宋体" w:hAnsi="宋体" w:eastAsia="宋体" w:cs="Times New Roman"/>
          <w:bCs/>
          <w:color w:val="000000"/>
          <w:sz w:val="24"/>
          <w:szCs w:val="24"/>
          <w:highlight w:val="none"/>
        </w:rPr>
        <w:t>数量不足</w:t>
      </w:r>
      <w:r>
        <w:rPr>
          <w:rFonts w:hint="eastAsia" w:ascii="宋体" w:hAnsi="宋体" w:eastAsia="宋体" w:cs="Times New Roman"/>
          <w:bCs/>
          <w:color w:val="000000"/>
          <w:sz w:val="24"/>
          <w:szCs w:val="24"/>
          <w:highlight w:val="none"/>
          <w:lang w:val="en-US" w:eastAsia="zh-CN"/>
        </w:rPr>
        <w:t>2</w:t>
      </w:r>
      <w:r>
        <w:rPr>
          <w:rFonts w:hint="eastAsia" w:ascii="宋体" w:hAnsi="宋体" w:eastAsia="宋体" w:cs="Times New Roman"/>
          <w:bCs/>
          <w:color w:val="000000"/>
          <w:sz w:val="24"/>
          <w:szCs w:val="24"/>
          <w:highlight w:val="none"/>
        </w:rPr>
        <w:t>家时，</w:t>
      </w:r>
      <w:r>
        <w:rPr>
          <w:rFonts w:hint="eastAsia" w:ascii="宋体" w:hAnsi="宋体" w:eastAsia="宋体" w:cs="Times New Roman"/>
          <w:bCs/>
          <w:color w:val="000000"/>
          <w:sz w:val="24"/>
          <w:szCs w:val="24"/>
          <w:highlight w:val="none"/>
          <w:lang w:eastAsia="zh-CN"/>
        </w:rPr>
        <w:t>竞选组织人</w:t>
      </w:r>
      <w:r>
        <w:rPr>
          <w:rFonts w:hint="eastAsia" w:ascii="宋体" w:hAnsi="宋体" w:eastAsia="宋体" w:cs="Times New Roman"/>
          <w:bCs/>
          <w:color w:val="000000"/>
          <w:sz w:val="24"/>
          <w:szCs w:val="24"/>
          <w:highlight w:val="none"/>
        </w:rPr>
        <w:t>将</w:t>
      </w:r>
      <w:r>
        <w:rPr>
          <w:rFonts w:hint="eastAsia" w:ascii="宋体" w:hAnsi="宋体" w:eastAsia="宋体" w:cs="Times New Roman"/>
          <w:bCs/>
          <w:color w:val="000000"/>
          <w:sz w:val="24"/>
          <w:szCs w:val="24"/>
          <w:highlight w:val="none"/>
          <w:lang w:val="en-US" w:eastAsia="zh-CN"/>
        </w:rPr>
        <w:t>有权</w:t>
      </w:r>
      <w:r>
        <w:rPr>
          <w:rFonts w:hint="eastAsia" w:ascii="宋体" w:hAnsi="宋体" w:eastAsia="宋体" w:cs="Times New Roman"/>
          <w:bCs/>
          <w:color w:val="000000"/>
          <w:sz w:val="24"/>
          <w:szCs w:val="24"/>
          <w:highlight w:val="none"/>
        </w:rPr>
        <w:t>重新组织竞选</w:t>
      </w:r>
      <w:r>
        <w:rPr>
          <w:rFonts w:hint="eastAsia" w:ascii="宋体" w:hAnsi="宋体" w:eastAsia="宋体" w:cs="Times New Roman"/>
          <w:bCs/>
          <w:color w:val="000000"/>
          <w:sz w:val="24"/>
          <w:szCs w:val="24"/>
          <w:highlight w:val="none"/>
          <w:lang w:eastAsia="zh-CN"/>
        </w:rPr>
        <w:t>，无需等待年度考核周期。重新组织的中选人</w:t>
      </w:r>
      <w:r>
        <w:rPr>
          <w:rFonts w:hint="eastAsia" w:ascii="宋体" w:hAnsi="宋体" w:eastAsia="宋体" w:cs="Times New Roman"/>
          <w:bCs/>
          <w:color w:val="000000"/>
          <w:sz w:val="24"/>
          <w:szCs w:val="24"/>
          <w:highlight w:val="none"/>
          <w:lang w:val="en-US" w:eastAsia="zh-CN"/>
        </w:rPr>
        <w:t>确定并</w:t>
      </w:r>
      <w:r>
        <w:rPr>
          <w:rFonts w:hint="eastAsia" w:ascii="宋体" w:hAnsi="宋体" w:eastAsia="宋体" w:cs="Times New Roman"/>
          <w:bCs/>
          <w:color w:val="000000"/>
          <w:sz w:val="24"/>
          <w:szCs w:val="24"/>
          <w:highlight w:val="none"/>
          <w:lang w:eastAsia="zh-CN"/>
        </w:rPr>
        <w:t>入场时，</w:t>
      </w:r>
      <w:r>
        <w:rPr>
          <w:rFonts w:hint="eastAsia" w:ascii="宋体" w:hAnsi="宋体" w:eastAsia="宋体" w:cs="Times New Roman"/>
          <w:bCs/>
          <w:color w:val="000000"/>
          <w:sz w:val="24"/>
          <w:szCs w:val="24"/>
          <w:highlight w:val="none"/>
        </w:rPr>
        <w:t>本轮</w:t>
      </w:r>
      <w:r>
        <w:rPr>
          <w:rFonts w:hint="eastAsia" w:ascii="宋体" w:hAnsi="宋体"/>
          <w:color w:val="000000"/>
          <w:sz w:val="24"/>
          <w:szCs w:val="24"/>
          <w:highlight w:val="none"/>
          <w:lang w:val="zh-CN" w:eastAsia="zh-CN"/>
        </w:rPr>
        <w:t>剩余原中选人的</w:t>
      </w:r>
      <w:r>
        <w:rPr>
          <w:rFonts w:hint="eastAsia" w:ascii="宋体" w:hAnsi="宋体" w:eastAsia="宋体" w:cs="Times New Roman"/>
          <w:bCs/>
          <w:color w:val="000000"/>
          <w:sz w:val="24"/>
          <w:szCs w:val="24"/>
          <w:highlight w:val="none"/>
        </w:rPr>
        <w:t>服务同步结束。</w:t>
      </w:r>
    </w:p>
    <w:p w14:paraId="5F537B25">
      <w:pPr>
        <w:pStyle w:val="3"/>
        <w:keepNext w:val="0"/>
        <w:keepLines w:val="0"/>
        <w:pageBreakBefore w:val="0"/>
        <w:widowControl w:val="0"/>
        <w:numPr>
          <w:ilvl w:val="0"/>
          <w:numId w:val="17"/>
        </w:numPr>
        <w:kinsoku/>
        <w:wordWrap/>
        <w:overflowPunct/>
        <w:topLinePunct w:val="0"/>
        <w:autoSpaceDE/>
        <w:autoSpaceDN/>
        <w:bidi w:val="0"/>
        <w:spacing w:line="400" w:lineRule="exact"/>
        <w:textAlignment w:val="auto"/>
        <w:rPr>
          <w:rFonts w:hint="eastAsia" w:ascii="宋体" w:hAnsi="宋体"/>
          <w:color w:val="000000"/>
          <w:sz w:val="24"/>
          <w:szCs w:val="24"/>
          <w:highlight w:val="none"/>
          <w:lang w:val="zh-CN" w:eastAsia="zh-CN"/>
        </w:rPr>
        <w:sectPr>
          <w:headerReference r:id="rId7" w:type="default"/>
          <w:footerReference r:id="rId8" w:type="default"/>
          <w:footerReference r:id="rId9" w:type="even"/>
          <w:pgSz w:w="11905" w:h="16838"/>
          <w:pgMar w:top="1440" w:right="1361" w:bottom="1440" w:left="1361" w:header="851" w:footer="992" w:gutter="0"/>
          <w:pgBorders>
            <w:top w:val="none" w:sz="0" w:space="0"/>
            <w:left w:val="none" w:sz="0" w:space="0"/>
            <w:bottom w:val="none" w:sz="0" w:space="0"/>
            <w:right w:val="none" w:sz="0" w:space="0"/>
          </w:pgBorders>
          <w:pgNumType w:fmt="decimal"/>
          <w:cols w:space="720" w:num="1"/>
        </w:sectPr>
      </w:pPr>
      <w:r>
        <w:rPr>
          <w:rFonts w:hint="eastAsia" w:ascii="宋体" w:hAnsi="宋体"/>
          <w:color w:val="000000"/>
          <w:sz w:val="24"/>
          <w:szCs w:val="24"/>
          <w:highlight w:val="none"/>
          <w:lang w:val="zh-CN" w:eastAsia="zh-CN"/>
        </w:rPr>
        <w:t>重新竞选期间，原中选人不得拒绝提供收运服务。</w:t>
      </w:r>
    </w:p>
    <w:p w14:paraId="55D6AF74">
      <w:pPr>
        <w:spacing w:line="560" w:lineRule="exact"/>
        <w:jc w:val="both"/>
        <w:rPr>
          <w:rFonts w:hint="eastAsia" w:ascii="宋体" w:hAnsi="宋体" w:eastAsia="宋体" w:cs="宋体"/>
          <w:b w:val="0"/>
          <w:bCs/>
          <w:sz w:val="24"/>
          <w:szCs w:val="24"/>
          <w:highlight w:val="none"/>
          <w:lang w:val="en-US" w:eastAsia="zh-CN" w:bidi="ar"/>
        </w:rPr>
      </w:pPr>
      <w:r>
        <w:rPr>
          <w:rFonts w:hint="eastAsia" w:ascii="宋体" w:hAnsi="宋体" w:eastAsia="宋体" w:cs="宋体"/>
          <w:b w:val="0"/>
          <w:bCs/>
          <w:sz w:val="24"/>
          <w:szCs w:val="24"/>
          <w:highlight w:val="none"/>
          <w:lang w:eastAsia="zh-CN" w:bidi="ar"/>
        </w:rPr>
        <w:t>附件</w:t>
      </w:r>
      <w:r>
        <w:rPr>
          <w:rFonts w:hint="eastAsia" w:ascii="宋体" w:hAnsi="宋体" w:eastAsia="宋体" w:cs="宋体"/>
          <w:b w:val="0"/>
          <w:bCs/>
          <w:sz w:val="24"/>
          <w:szCs w:val="24"/>
          <w:highlight w:val="none"/>
          <w:lang w:val="en-US" w:eastAsia="zh-CN" w:bidi="ar"/>
        </w:rPr>
        <w:t>1：</w:t>
      </w:r>
    </w:p>
    <w:p w14:paraId="1B1826E4">
      <w:pPr>
        <w:spacing w:line="560" w:lineRule="exact"/>
        <w:ind w:firstLine="883" w:firstLineChars="200"/>
        <w:jc w:val="center"/>
        <w:rPr>
          <w:rFonts w:hint="eastAsia" w:ascii="宋体" w:hAnsi="宋体" w:eastAsia="宋体" w:cs="宋体"/>
          <w:b/>
          <w:bCs w:val="0"/>
          <w:sz w:val="24"/>
          <w:szCs w:val="24"/>
          <w:highlight w:val="none"/>
          <w:lang w:eastAsia="zh-CN" w:bidi="ar"/>
        </w:rPr>
      </w:pPr>
      <w:r>
        <w:rPr>
          <w:rFonts w:hint="eastAsia" w:ascii="方正小标宋_GBK" w:hAnsi="方正小标宋_GBK" w:eastAsia="方正小标宋_GBK" w:cs="方正小标宋_GBK"/>
          <w:b/>
          <w:bCs w:val="0"/>
          <w:sz w:val="44"/>
          <w:szCs w:val="44"/>
          <w:highlight w:val="none"/>
          <w:lang w:eastAsia="zh-CN" w:bidi="ar"/>
        </w:rPr>
        <w:t>九龙坡区废弃食用油脂收运企业月度评价标准</w:t>
      </w:r>
    </w:p>
    <w:tbl>
      <w:tblPr>
        <w:tblStyle w:val="57"/>
        <w:tblW w:w="13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210"/>
        <w:gridCol w:w="9825"/>
        <w:gridCol w:w="1877"/>
      </w:tblGrid>
      <w:tr w14:paraId="4CBD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noWrap w:val="0"/>
            <w:vAlign w:val="center"/>
          </w:tcPr>
          <w:p w14:paraId="699BCE4A">
            <w:pPr>
              <w:spacing w:line="320" w:lineRule="exact"/>
              <w:jc w:val="center"/>
              <w:rPr>
                <w:rFonts w:hint="eastAsia" w:ascii="宋体" w:hAnsi="宋体" w:eastAsia="宋体" w:cs="宋体"/>
                <w:b/>
                <w:bCs w:val="0"/>
                <w:color w:val="auto"/>
                <w:sz w:val="24"/>
                <w:szCs w:val="24"/>
                <w:highlight w:val="none"/>
                <w:lang w:bidi="ar"/>
              </w:rPr>
            </w:pPr>
            <w:r>
              <w:rPr>
                <w:rFonts w:hint="eastAsia" w:ascii="宋体" w:hAnsi="宋体" w:eastAsia="宋体" w:cs="宋体"/>
                <w:b/>
                <w:bCs w:val="0"/>
                <w:color w:val="auto"/>
                <w:sz w:val="24"/>
                <w:szCs w:val="24"/>
                <w:highlight w:val="none"/>
                <w:lang w:bidi="ar"/>
              </w:rPr>
              <w:t>评分项目</w:t>
            </w:r>
          </w:p>
        </w:tc>
        <w:tc>
          <w:tcPr>
            <w:tcW w:w="1210" w:type="dxa"/>
            <w:noWrap w:val="0"/>
            <w:vAlign w:val="center"/>
          </w:tcPr>
          <w:p w14:paraId="692D97A0">
            <w:pPr>
              <w:spacing w:line="320" w:lineRule="exact"/>
              <w:jc w:val="center"/>
              <w:rPr>
                <w:rFonts w:hint="eastAsia" w:ascii="宋体" w:hAnsi="宋体" w:eastAsia="宋体" w:cs="宋体"/>
                <w:b/>
                <w:bCs w:val="0"/>
                <w:color w:val="auto"/>
                <w:sz w:val="24"/>
                <w:szCs w:val="24"/>
                <w:highlight w:val="none"/>
                <w:lang w:bidi="ar"/>
              </w:rPr>
            </w:pPr>
            <w:r>
              <w:rPr>
                <w:rFonts w:hint="eastAsia" w:ascii="宋体" w:hAnsi="宋体" w:eastAsia="宋体" w:cs="宋体"/>
                <w:b/>
                <w:bCs w:val="0"/>
                <w:color w:val="auto"/>
                <w:sz w:val="24"/>
                <w:szCs w:val="24"/>
                <w:highlight w:val="none"/>
                <w:lang w:bidi="ar"/>
              </w:rPr>
              <w:t>序号</w:t>
            </w:r>
          </w:p>
        </w:tc>
        <w:tc>
          <w:tcPr>
            <w:tcW w:w="9825" w:type="dxa"/>
            <w:noWrap w:val="0"/>
            <w:vAlign w:val="center"/>
          </w:tcPr>
          <w:p w14:paraId="6BB6F1FA">
            <w:pPr>
              <w:spacing w:line="320" w:lineRule="exact"/>
              <w:jc w:val="center"/>
              <w:rPr>
                <w:rFonts w:hint="eastAsia" w:ascii="宋体" w:hAnsi="宋体" w:eastAsia="宋体" w:cs="宋体"/>
                <w:b/>
                <w:bCs w:val="0"/>
                <w:color w:val="auto"/>
                <w:sz w:val="24"/>
                <w:szCs w:val="24"/>
                <w:highlight w:val="none"/>
                <w:lang w:bidi="ar"/>
              </w:rPr>
            </w:pPr>
            <w:r>
              <w:rPr>
                <w:rFonts w:hint="eastAsia" w:ascii="宋体" w:hAnsi="宋体" w:eastAsia="宋体" w:cs="宋体"/>
                <w:b/>
                <w:bCs w:val="0"/>
                <w:color w:val="auto"/>
                <w:sz w:val="24"/>
                <w:szCs w:val="24"/>
                <w:highlight w:val="none"/>
                <w:lang w:bidi="ar"/>
              </w:rPr>
              <w:t>标准及要求</w:t>
            </w:r>
          </w:p>
        </w:tc>
        <w:tc>
          <w:tcPr>
            <w:tcW w:w="1877" w:type="dxa"/>
            <w:noWrap w:val="0"/>
            <w:vAlign w:val="center"/>
          </w:tcPr>
          <w:p w14:paraId="7DCE8ABE">
            <w:pPr>
              <w:spacing w:line="320" w:lineRule="exact"/>
              <w:jc w:val="center"/>
              <w:rPr>
                <w:rFonts w:hint="eastAsia" w:ascii="宋体" w:hAnsi="宋体" w:eastAsia="宋体" w:cs="宋体"/>
                <w:b/>
                <w:bCs w:val="0"/>
                <w:color w:val="auto"/>
                <w:sz w:val="24"/>
                <w:szCs w:val="24"/>
                <w:highlight w:val="none"/>
                <w:lang w:bidi="ar"/>
              </w:rPr>
            </w:pPr>
            <w:r>
              <w:rPr>
                <w:rFonts w:hint="eastAsia" w:ascii="宋体" w:hAnsi="宋体" w:eastAsia="宋体" w:cs="宋体"/>
                <w:b/>
                <w:bCs w:val="0"/>
                <w:color w:val="auto"/>
                <w:sz w:val="24"/>
                <w:szCs w:val="24"/>
                <w:highlight w:val="none"/>
                <w:lang w:eastAsia="zh-CN" w:bidi="ar"/>
              </w:rPr>
              <w:t>扣分</w:t>
            </w:r>
            <w:r>
              <w:rPr>
                <w:rFonts w:hint="eastAsia" w:ascii="宋体" w:hAnsi="宋体" w:eastAsia="宋体" w:cs="宋体"/>
                <w:b/>
                <w:bCs w:val="0"/>
                <w:color w:val="auto"/>
                <w:sz w:val="24"/>
                <w:szCs w:val="24"/>
                <w:highlight w:val="none"/>
                <w:lang w:bidi="ar"/>
              </w:rPr>
              <w:t>标准</w:t>
            </w:r>
          </w:p>
        </w:tc>
      </w:tr>
      <w:tr w14:paraId="3CF6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vMerge w:val="restart"/>
            <w:noWrap w:val="0"/>
            <w:vAlign w:val="center"/>
          </w:tcPr>
          <w:p w14:paraId="477C3ED8">
            <w:pPr>
              <w:spacing w:line="320" w:lineRule="exact"/>
              <w:jc w:val="center"/>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管理规范（</w:t>
            </w:r>
            <w:r>
              <w:rPr>
                <w:rFonts w:hint="eastAsia" w:ascii="宋体" w:hAnsi="宋体" w:eastAsia="宋体" w:cs="宋体"/>
                <w:bCs/>
                <w:color w:val="auto"/>
                <w:sz w:val="24"/>
                <w:szCs w:val="24"/>
                <w:highlight w:val="none"/>
                <w:lang w:val="en-US" w:eastAsia="zh-CN" w:bidi="ar"/>
              </w:rPr>
              <w:t>30分</w:t>
            </w:r>
            <w:r>
              <w:rPr>
                <w:rFonts w:hint="eastAsia" w:ascii="宋体" w:hAnsi="宋体" w:eastAsia="宋体" w:cs="宋体"/>
                <w:bCs/>
                <w:color w:val="auto"/>
                <w:sz w:val="24"/>
                <w:szCs w:val="24"/>
                <w:highlight w:val="none"/>
                <w:lang w:eastAsia="zh-CN" w:bidi="ar"/>
              </w:rPr>
              <w:t>）</w:t>
            </w:r>
          </w:p>
        </w:tc>
        <w:tc>
          <w:tcPr>
            <w:tcW w:w="1210" w:type="dxa"/>
            <w:noWrap w:val="0"/>
            <w:vAlign w:val="center"/>
          </w:tcPr>
          <w:p w14:paraId="61856DA7">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p>
        </w:tc>
        <w:tc>
          <w:tcPr>
            <w:tcW w:w="9825" w:type="dxa"/>
            <w:noWrap w:val="0"/>
            <w:vAlign w:val="center"/>
          </w:tcPr>
          <w:p w14:paraId="4F5B9AA8">
            <w:pPr>
              <w:spacing w:line="320" w:lineRule="exact"/>
              <w:jc w:val="left"/>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在九龙坡区城市规划区域内配置办公室（管理用房）及专用车辆停放场所。</w:t>
            </w:r>
          </w:p>
        </w:tc>
        <w:tc>
          <w:tcPr>
            <w:tcW w:w="1877" w:type="dxa"/>
            <w:noWrap w:val="0"/>
            <w:vAlign w:val="center"/>
          </w:tcPr>
          <w:p w14:paraId="75E7F332">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w:t>
            </w:r>
          </w:p>
        </w:tc>
      </w:tr>
      <w:tr w14:paraId="5862E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vMerge w:val="continue"/>
            <w:noWrap w:val="0"/>
            <w:vAlign w:val="center"/>
          </w:tcPr>
          <w:p w14:paraId="29678120">
            <w:pPr>
              <w:spacing w:line="320" w:lineRule="exact"/>
              <w:jc w:val="center"/>
              <w:rPr>
                <w:rFonts w:hint="eastAsia" w:ascii="宋体" w:hAnsi="宋体" w:eastAsia="宋体" w:cs="宋体"/>
                <w:bCs/>
                <w:color w:val="auto"/>
                <w:sz w:val="24"/>
                <w:szCs w:val="24"/>
                <w:highlight w:val="none"/>
                <w:lang w:eastAsia="zh-CN" w:bidi="ar"/>
              </w:rPr>
            </w:pPr>
          </w:p>
        </w:tc>
        <w:tc>
          <w:tcPr>
            <w:tcW w:w="1210" w:type="dxa"/>
            <w:noWrap w:val="0"/>
            <w:vAlign w:val="center"/>
          </w:tcPr>
          <w:p w14:paraId="093A6579">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2</w:t>
            </w:r>
          </w:p>
        </w:tc>
        <w:tc>
          <w:tcPr>
            <w:tcW w:w="9825" w:type="dxa"/>
            <w:noWrap w:val="0"/>
            <w:vAlign w:val="center"/>
          </w:tcPr>
          <w:p w14:paraId="737270D7">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按照国家相关政策、法规，与员工建立劳动关系，承担服务区域内员工工资、社会保险、劳保福利及其它一切费用，处理与员</w:t>
            </w:r>
            <w:r>
              <w:rPr>
                <w:rFonts w:hint="eastAsia" w:ascii="宋体" w:hAnsi="宋体" w:eastAsia="宋体" w:cs="宋体"/>
                <w:bCs/>
                <w:color w:val="auto"/>
                <w:sz w:val="24"/>
                <w:szCs w:val="24"/>
                <w:highlight w:val="none"/>
                <w:lang w:eastAsia="zh-CN" w:bidi="ar"/>
              </w:rPr>
              <w:t>工</w:t>
            </w:r>
            <w:r>
              <w:rPr>
                <w:rFonts w:hint="eastAsia" w:ascii="宋体" w:hAnsi="宋体" w:eastAsia="宋体" w:cs="宋体"/>
                <w:bCs/>
                <w:color w:val="auto"/>
                <w:sz w:val="24"/>
                <w:szCs w:val="24"/>
                <w:highlight w:val="none"/>
                <w:lang w:bidi="ar"/>
              </w:rPr>
              <w:t>的劳动纠纷，承担相应的法律责任。</w:t>
            </w:r>
          </w:p>
        </w:tc>
        <w:tc>
          <w:tcPr>
            <w:tcW w:w="1877" w:type="dxa"/>
            <w:noWrap w:val="0"/>
            <w:vAlign w:val="center"/>
          </w:tcPr>
          <w:p w14:paraId="51BAA4C1">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w:t>
            </w:r>
          </w:p>
        </w:tc>
      </w:tr>
      <w:tr w14:paraId="470F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6C6BC4E6">
            <w:pPr>
              <w:spacing w:line="320" w:lineRule="exact"/>
              <w:jc w:val="center"/>
              <w:rPr>
                <w:rFonts w:hint="eastAsia" w:ascii="宋体" w:hAnsi="宋体" w:eastAsia="宋体" w:cs="宋体"/>
                <w:bCs/>
                <w:color w:val="auto"/>
                <w:sz w:val="24"/>
                <w:szCs w:val="24"/>
                <w:highlight w:val="none"/>
                <w:lang w:eastAsia="zh-CN" w:bidi="ar"/>
              </w:rPr>
            </w:pPr>
          </w:p>
        </w:tc>
        <w:tc>
          <w:tcPr>
            <w:tcW w:w="1210" w:type="dxa"/>
            <w:noWrap w:val="0"/>
            <w:vAlign w:val="center"/>
          </w:tcPr>
          <w:p w14:paraId="5059DE1F">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w:t>
            </w:r>
          </w:p>
        </w:tc>
        <w:tc>
          <w:tcPr>
            <w:tcW w:w="9825" w:type="dxa"/>
            <w:noWrap w:val="0"/>
            <w:vAlign w:val="center"/>
          </w:tcPr>
          <w:p w14:paraId="1E70E643">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根据作业</w:t>
            </w:r>
            <w:r>
              <w:rPr>
                <w:rFonts w:hint="eastAsia" w:ascii="宋体" w:hAnsi="宋体" w:eastAsia="宋体" w:cs="宋体"/>
                <w:bCs/>
                <w:color w:val="auto"/>
                <w:sz w:val="24"/>
                <w:szCs w:val="24"/>
                <w:highlight w:val="none"/>
                <w:lang w:eastAsia="zh-CN" w:bidi="ar"/>
              </w:rPr>
              <w:t>区域实际情况</w:t>
            </w:r>
            <w:r>
              <w:rPr>
                <w:rFonts w:hint="eastAsia" w:ascii="宋体" w:hAnsi="宋体" w:eastAsia="宋体" w:cs="宋体"/>
                <w:bCs/>
                <w:color w:val="auto"/>
                <w:sz w:val="24"/>
                <w:szCs w:val="24"/>
                <w:highlight w:val="none"/>
                <w:lang w:bidi="ar"/>
              </w:rPr>
              <w:t>，编制</w:t>
            </w:r>
            <w:r>
              <w:rPr>
                <w:rFonts w:hint="eastAsia" w:ascii="宋体" w:hAnsi="宋体" w:eastAsia="宋体" w:cs="宋体"/>
                <w:bCs/>
                <w:color w:val="auto"/>
                <w:sz w:val="24"/>
                <w:szCs w:val="24"/>
                <w:highlight w:val="none"/>
                <w:lang w:eastAsia="zh-CN" w:bidi="ar"/>
              </w:rPr>
              <w:t>收运线路、收运</w:t>
            </w:r>
            <w:r>
              <w:rPr>
                <w:rFonts w:hint="eastAsia" w:ascii="宋体" w:hAnsi="宋体" w:eastAsia="宋体" w:cs="宋体"/>
                <w:bCs/>
                <w:color w:val="auto"/>
                <w:sz w:val="24"/>
                <w:szCs w:val="24"/>
                <w:highlight w:val="none"/>
                <w:lang w:bidi="ar"/>
              </w:rPr>
              <w:t>计划</w:t>
            </w:r>
            <w:r>
              <w:rPr>
                <w:rFonts w:hint="eastAsia" w:ascii="宋体" w:hAnsi="宋体" w:eastAsia="宋体" w:cs="宋体"/>
                <w:bCs/>
                <w:color w:val="auto"/>
                <w:sz w:val="24"/>
                <w:szCs w:val="24"/>
                <w:highlight w:val="none"/>
                <w:lang w:eastAsia="zh-CN" w:bidi="ar"/>
              </w:rPr>
              <w:t>、收运总结，</w:t>
            </w:r>
            <w:r>
              <w:rPr>
                <w:rFonts w:hint="eastAsia" w:ascii="宋体" w:hAnsi="宋体" w:eastAsia="宋体" w:cs="宋体"/>
                <w:bCs/>
                <w:color w:val="auto"/>
                <w:sz w:val="24"/>
                <w:szCs w:val="24"/>
                <w:highlight w:val="none"/>
                <w:lang w:bidi="ar"/>
              </w:rPr>
              <w:t>建立质量检查考核等管理制度、安全生产制度、操作规程和应急预案。</w:t>
            </w:r>
          </w:p>
        </w:tc>
        <w:tc>
          <w:tcPr>
            <w:tcW w:w="1877" w:type="dxa"/>
            <w:noWrap w:val="0"/>
            <w:vAlign w:val="center"/>
          </w:tcPr>
          <w:p w14:paraId="3AAC3805">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2</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w:t>
            </w:r>
          </w:p>
        </w:tc>
      </w:tr>
      <w:tr w14:paraId="0DDB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150BB290">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78FBEDF0">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4</w:t>
            </w:r>
          </w:p>
        </w:tc>
        <w:tc>
          <w:tcPr>
            <w:tcW w:w="9825" w:type="dxa"/>
            <w:noWrap w:val="0"/>
            <w:vAlign w:val="center"/>
          </w:tcPr>
          <w:p w14:paraId="52BD08DA">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作业员</w:t>
            </w:r>
            <w:r>
              <w:rPr>
                <w:rFonts w:hint="eastAsia" w:ascii="宋体" w:hAnsi="宋体" w:eastAsia="宋体" w:cs="宋体"/>
                <w:bCs/>
                <w:color w:val="auto"/>
                <w:sz w:val="24"/>
                <w:szCs w:val="24"/>
                <w:highlight w:val="none"/>
                <w:lang w:eastAsia="zh-CN" w:bidi="ar"/>
              </w:rPr>
              <w:t>工</w:t>
            </w:r>
            <w:r>
              <w:rPr>
                <w:rFonts w:hint="eastAsia" w:ascii="宋体" w:hAnsi="宋体" w:eastAsia="宋体" w:cs="宋体"/>
                <w:bCs/>
                <w:color w:val="auto"/>
                <w:sz w:val="24"/>
                <w:szCs w:val="24"/>
                <w:highlight w:val="none"/>
                <w:lang w:bidi="ar"/>
              </w:rPr>
              <w:t>应服从考核方</w:t>
            </w:r>
            <w:r>
              <w:rPr>
                <w:rFonts w:hint="eastAsia" w:ascii="宋体" w:hAnsi="宋体" w:eastAsia="宋体" w:cs="宋体"/>
                <w:bCs/>
                <w:color w:val="auto"/>
                <w:sz w:val="24"/>
                <w:szCs w:val="24"/>
                <w:highlight w:val="none"/>
                <w:lang w:eastAsia="zh-CN" w:bidi="ar"/>
              </w:rPr>
              <w:t>及相关职能部门</w:t>
            </w:r>
            <w:r>
              <w:rPr>
                <w:rFonts w:hint="eastAsia" w:ascii="宋体" w:hAnsi="宋体" w:eastAsia="宋体" w:cs="宋体"/>
                <w:bCs/>
                <w:color w:val="auto"/>
                <w:sz w:val="24"/>
                <w:szCs w:val="24"/>
                <w:highlight w:val="none"/>
                <w:lang w:bidi="ar"/>
              </w:rPr>
              <w:t>的</w:t>
            </w:r>
            <w:r>
              <w:rPr>
                <w:rFonts w:hint="eastAsia" w:ascii="宋体" w:hAnsi="宋体" w:eastAsia="宋体" w:cs="宋体"/>
                <w:bCs/>
                <w:color w:val="auto"/>
                <w:sz w:val="24"/>
                <w:szCs w:val="24"/>
                <w:highlight w:val="none"/>
                <w:lang w:eastAsia="zh-CN" w:bidi="ar"/>
              </w:rPr>
              <w:t>督导、检查</w:t>
            </w:r>
            <w:r>
              <w:rPr>
                <w:rFonts w:hint="eastAsia" w:ascii="宋体" w:hAnsi="宋体" w:eastAsia="宋体" w:cs="宋体"/>
                <w:bCs/>
                <w:color w:val="auto"/>
                <w:sz w:val="24"/>
                <w:szCs w:val="24"/>
                <w:highlight w:val="none"/>
                <w:lang w:bidi="ar"/>
              </w:rPr>
              <w:t>和</w:t>
            </w:r>
            <w:r>
              <w:rPr>
                <w:rFonts w:hint="eastAsia" w:ascii="宋体" w:hAnsi="宋体" w:eastAsia="宋体" w:cs="宋体"/>
                <w:bCs/>
                <w:color w:val="auto"/>
                <w:sz w:val="24"/>
                <w:szCs w:val="24"/>
                <w:highlight w:val="none"/>
                <w:lang w:eastAsia="zh-CN" w:bidi="ar"/>
              </w:rPr>
              <w:t>调度</w:t>
            </w:r>
            <w:r>
              <w:rPr>
                <w:rFonts w:hint="eastAsia" w:ascii="宋体" w:hAnsi="宋体" w:eastAsia="宋体" w:cs="宋体"/>
                <w:bCs/>
                <w:color w:val="auto"/>
                <w:sz w:val="24"/>
                <w:szCs w:val="24"/>
                <w:highlight w:val="none"/>
                <w:lang w:bidi="ar"/>
              </w:rPr>
              <w:t>，积极配合考核方完成各项工作任务</w:t>
            </w:r>
            <w:r>
              <w:rPr>
                <w:rFonts w:hint="eastAsia" w:ascii="宋体" w:hAnsi="宋体" w:eastAsia="宋体" w:cs="宋体"/>
                <w:bCs/>
                <w:color w:val="auto"/>
                <w:sz w:val="24"/>
                <w:szCs w:val="24"/>
                <w:highlight w:val="none"/>
                <w:lang w:eastAsia="zh-CN" w:bidi="ar"/>
              </w:rPr>
              <w:t>。</w:t>
            </w:r>
          </w:p>
        </w:tc>
        <w:tc>
          <w:tcPr>
            <w:tcW w:w="1877" w:type="dxa"/>
            <w:noWrap w:val="0"/>
            <w:vAlign w:val="center"/>
          </w:tcPr>
          <w:p w14:paraId="22D2E550">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w:t>
            </w:r>
          </w:p>
        </w:tc>
      </w:tr>
      <w:tr w14:paraId="37599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vMerge w:val="continue"/>
            <w:noWrap w:val="0"/>
            <w:vAlign w:val="center"/>
          </w:tcPr>
          <w:p w14:paraId="5D7A7E1E">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77CB89AE">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5</w:t>
            </w:r>
          </w:p>
        </w:tc>
        <w:tc>
          <w:tcPr>
            <w:tcW w:w="9825" w:type="dxa"/>
            <w:noWrap w:val="0"/>
            <w:vAlign w:val="center"/>
          </w:tcPr>
          <w:p w14:paraId="30BF08D2">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按</w:t>
            </w:r>
            <w:r>
              <w:rPr>
                <w:rFonts w:hint="eastAsia" w:ascii="宋体" w:hAnsi="宋体" w:eastAsia="宋体" w:cs="宋体"/>
                <w:bCs/>
                <w:color w:val="auto"/>
                <w:sz w:val="24"/>
                <w:szCs w:val="24"/>
                <w:highlight w:val="none"/>
                <w:lang w:eastAsia="zh-CN" w:bidi="ar"/>
              </w:rPr>
              <w:t>竞选文件</w:t>
            </w:r>
            <w:r>
              <w:rPr>
                <w:rFonts w:hint="eastAsia" w:ascii="宋体" w:hAnsi="宋体" w:eastAsia="宋体" w:cs="宋体"/>
                <w:bCs/>
                <w:color w:val="auto"/>
                <w:sz w:val="24"/>
                <w:szCs w:val="24"/>
                <w:highlight w:val="none"/>
                <w:lang w:bidi="ar"/>
              </w:rPr>
              <w:t>和</w:t>
            </w:r>
            <w:r>
              <w:rPr>
                <w:rFonts w:hint="eastAsia" w:ascii="宋体" w:hAnsi="宋体" w:eastAsia="宋体" w:cs="宋体"/>
                <w:bCs/>
                <w:color w:val="auto"/>
                <w:sz w:val="24"/>
                <w:szCs w:val="24"/>
                <w:highlight w:val="none"/>
                <w:lang w:eastAsia="zh-CN" w:bidi="ar"/>
              </w:rPr>
              <w:t>服务协议</w:t>
            </w:r>
            <w:r>
              <w:rPr>
                <w:rFonts w:hint="eastAsia" w:ascii="宋体" w:hAnsi="宋体" w:eastAsia="宋体" w:cs="宋体"/>
                <w:bCs/>
                <w:color w:val="auto"/>
                <w:sz w:val="24"/>
                <w:szCs w:val="24"/>
                <w:highlight w:val="none"/>
                <w:lang w:bidi="ar"/>
              </w:rPr>
              <w:t>约定配齐作业车辆、</w:t>
            </w:r>
            <w:r>
              <w:rPr>
                <w:rFonts w:hint="eastAsia" w:ascii="宋体" w:hAnsi="宋体" w:eastAsia="宋体" w:cs="宋体"/>
                <w:bCs/>
                <w:color w:val="auto"/>
                <w:sz w:val="24"/>
                <w:szCs w:val="24"/>
                <w:highlight w:val="none"/>
                <w:lang w:eastAsia="zh-CN" w:bidi="ar"/>
              </w:rPr>
              <w:t>作业人员、</w:t>
            </w:r>
            <w:r>
              <w:rPr>
                <w:rFonts w:hint="eastAsia" w:ascii="宋体" w:hAnsi="宋体" w:eastAsia="宋体" w:cs="宋体"/>
                <w:bCs/>
                <w:color w:val="auto"/>
                <w:sz w:val="24"/>
                <w:szCs w:val="24"/>
                <w:highlight w:val="none"/>
                <w:lang w:bidi="ar"/>
              </w:rPr>
              <w:t>作业工具设备和安全用具。</w:t>
            </w:r>
          </w:p>
        </w:tc>
        <w:tc>
          <w:tcPr>
            <w:tcW w:w="1877" w:type="dxa"/>
            <w:noWrap w:val="0"/>
            <w:vAlign w:val="center"/>
          </w:tcPr>
          <w:p w14:paraId="7CD5C351">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w:t>
            </w:r>
          </w:p>
        </w:tc>
      </w:tr>
      <w:tr w14:paraId="0E5A3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vMerge w:val="continue"/>
            <w:noWrap w:val="0"/>
            <w:vAlign w:val="center"/>
          </w:tcPr>
          <w:p w14:paraId="4E9F6F0E">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2898B68A">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6</w:t>
            </w:r>
          </w:p>
        </w:tc>
        <w:tc>
          <w:tcPr>
            <w:tcW w:w="9825" w:type="dxa"/>
            <w:noWrap w:val="0"/>
            <w:vAlign w:val="center"/>
          </w:tcPr>
          <w:p w14:paraId="43E86A0D">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eastAsia="zh-CN" w:bidi="ar"/>
              </w:rPr>
              <w:t>按</w:t>
            </w:r>
            <w:r>
              <w:rPr>
                <w:rFonts w:hint="eastAsia" w:ascii="宋体" w:hAnsi="宋体" w:eastAsia="宋体" w:cs="宋体"/>
                <w:bCs/>
                <w:color w:val="auto"/>
                <w:sz w:val="24"/>
                <w:szCs w:val="24"/>
                <w:highlight w:val="none"/>
                <w:lang w:bidi="ar"/>
              </w:rPr>
              <w:t>九龙坡区</w:t>
            </w:r>
            <w:r>
              <w:rPr>
                <w:rFonts w:hint="eastAsia" w:ascii="宋体" w:hAnsi="宋体" w:eastAsia="宋体" w:cs="宋体"/>
                <w:bCs/>
                <w:color w:val="auto"/>
                <w:sz w:val="24"/>
                <w:szCs w:val="24"/>
                <w:highlight w:val="none"/>
                <w:lang w:eastAsia="zh-CN" w:bidi="ar"/>
              </w:rPr>
              <w:t>城市管理局要求，建立</w:t>
            </w:r>
            <w:r>
              <w:rPr>
                <w:rFonts w:hint="eastAsia" w:ascii="宋体" w:hAnsi="宋体" w:eastAsia="宋体" w:cs="宋体"/>
                <w:bCs/>
                <w:color w:val="auto"/>
                <w:sz w:val="24"/>
                <w:szCs w:val="24"/>
                <w:highlight w:val="none"/>
                <w:lang w:val="en-US" w:eastAsia="zh-CN" w:bidi="ar"/>
              </w:rPr>
              <w:t>健全</w:t>
            </w:r>
            <w:r>
              <w:rPr>
                <w:rFonts w:hint="eastAsia" w:ascii="宋体" w:hAnsi="宋体" w:eastAsia="宋体" w:cs="宋体"/>
                <w:bCs/>
                <w:color w:val="auto"/>
                <w:sz w:val="24"/>
                <w:szCs w:val="24"/>
                <w:highlight w:val="none"/>
                <w:lang w:eastAsia="zh-CN" w:bidi="ar"/>
              </w:rPr>
              <w:t>收运、处置、</w:t>
            </w:r>
            <w:r>
              <w:rPr>
                <w:rFonts w:hint="eastAsia" w:ascii="宋体" w:hAnsi="宋体" w:eastAsia="宋体" w:cs="宋体"/>
                <w:bCs/>
                <w:color w:val="auto"/>
                <w:sz w:val="24"/>
                <w:szCs w:val="24"/>
                <w:highlight w:val="none"/>
                <w:lang w:bidi="ar"/>
              </w:rPr>
              <w:t>安全</w:t>
            </w:r>
            <w:r>
              <w:rPr>
                <w:rFonts w:hint="eastAsia" w:ascii="宋体" w:hAnsi="宋体" w:eastAsia="宋体" w:cs="宋体"/>
                <w:bCs/>
                <w:color w:val="auto"/>
                <w:sz w:val="24"/>
                <w:szCs w:val="24"/>
                <w:highlight w:val="none"/>
                <w:lang w:eastAsia="zh-CN" w:bidi="ar"/>
              </w:rPr>
              <w:t>管理</w:t>
            </w:r>
            <w:r>
              <w:rPr>
                <w:rFonts w:hint="eastAsia" w:ascii="宋体" w:hAnsi="宋体" w:eastAsia="宋体" w:cs="宋体"/>
                <w:bCs/>
                <w:color w:val="auto"/>
                <w:sz w:val="24"/>
                <w:szCs w:val="24"/>
                <w:highlight w:val="none"/>
                <w:lang w:bidi="ar"/>
              </w:rPr>
              <w:t>台账</w:t>
            </w:r>
            <w:r>
              <w:rPr>
                <w:rFonts w:hint="eastAsia" w:ascii="宋体" w:hAnsi="宋体" w:eastAsia="宋体" w:cs="宋体"/>
                <w:bCs/>
                <w:color w:val="auto"/>
                <w:sz w:val="24"/>
                <w:szCs w:val="24"/>
                <w:highlight w:val="none"/>
                <w:lang w:eastAsia="zh-CN" w:bidi="ar"/>
              </w:rPr>
              <w:t>，按时</w:t>
            </w:r>
            <w:r>
              <w:rPr>
                <w:rFonts w:hint="eastAsia" w:ascii="宋体" w:hAnsi="宋体" w:eastAsia="宋体" w:cs="宋体"/>
                <w:bCs/>
                <w:color w:val="auto"/>
                <w:sz w:val="24"/>
                <w:szCs w:val="24"/>
                <w:highlight w:val="none"/>
                <w:lang w:bidi="ar"/>
              </w:rPr>
              <w:t>报送</w:t>
            </w:r>
            <w:r>
              <w:rPr>
                <w:rFonts w:hint="eastAsia" w:ascii="宋体" w:hAnsi="宋体" w:eastAsia="宋体" w:cs="宋体"/>
                <w:bCs/>
                <w:color w:val="auto"/>
                <w:sz w:val="24"/>
                <w:szCs w:val="24"/>
                <w:highlight w:val="none"/>
                <w:lang w:eastAsia="zh-CN" w:bidi="ar"/>
              </w:rPr>
              <w:t>收运、处置监管资料、数据、台账。完善</w:t>
            </w:r>
            <w:r>
              <w:rPr>
                <w:rFonts w:hint="eastAsia" w:ascii="宋体" w:hAnsi="宋体" w:eastAsia="宋体" w:cs="宋体"/>
                <w:bCs/>
                <w:color w:val="auto"/>
                <w:sz w:val="24"/>
                <w:szCs w:val="24"/>
                <w:highlight w:val="none"/>
                <w:lang w:bidi="ar"/>
              </w:rPr>
              <w:t>安全作业手册</w:t>
            </w:r>
            <w:r>
              <w:rPr>
                <w:rFonts w:hint="eastAsia" w:ascii="宋体" w:hAnsi="宋体" w:eastAsia="宋体" w:cs="宋体"/>
                <w:bCs/>
                <w:color w:val="auto"/>
                <w:sz w:val="24"/>
                <w:szCs w:val="24"/>
                <w:highlight w:val="none"/>
                <w:lang w:eastAsia="zh-CN" w:bidi="ar"/>
              </w:rPr>
              <w:t>、</w:t>
            </w:r>
            <w:r>
              <w:rPr>
                <w:rFonts w:hint="eastAsia" w:ascii="宋体" w:hAnsi="宋体" w:eastAsia="宋体" w:cs="宋体"/>
                <w:bCs/>
                <w:color w:val="auto"/>
                <w:sz w:val="24"/>
                <w:szCs w:val="24"/>
                <w:highlight w:val="none"/>
                <w:lang w:bidi="ar"/>
              </w:rPr>
              <w:t>安全学习记录</w:t>
            </w:r>
            <w:r>
              <w:rPr>
                <w:rFonts w:hint="eastAsia" w:ascii="宋体" w:hAnsi="宋体" w:eastAsia="宋体" w:cs="宋体"/>
                <w:bCs/>
                <w:color w:val="auto"/>
                <w:sz w:val="24"/>
                <w:szCs w:val="24"/>
                <w:highlight w:val="none"/>
                <w:lang w:eastAsia="zh-CN" w:bidi="ar"/>
              </w:rPr>
              <w:t>、</w:t>
            </w:r>
            <w:r>
              <w:rPr>
                <w:rFonts w:hint="eastAsia" w:ascii="宋体" w:hAnsi="宋体" w:eastAsia="宋体" w:cs="宋体"/>
                <w:bCs/>
                <w:color w:val="auto"/>
                <w:sz w:val="24"/>
                <w:szCs w:val="24"/>
                <w:highlight w:val="none"/>
                <w:lang w:bidi="ar"/>
              </w:rPr>
              <w:t>安全会议记录、安全演练记录、安全检查记录、安全设施设备使用情况等</w:t>
            </w:r>
            <w:r>
              <w:rPr>
                <w:rFonts w:hint="eastAsia" w:ascii="宋体" w:hAnsi="宋体" w:eastAsia="宋体" w:cs="宋体"/>
                <w:bCs/>
                <w:color w:val="auto"/>
                <w:sz w:val="24"/>
                <w:szCs w:val="24"/>
                <w:highlight w:val="none"/>
                <w:lang w:eastAsia="zh-CN" w:bidi="ar"/>
              </w:rPr>
              <w:t>管理资料</w:t>
            </w:r>
            <w:r>
              <w:rPr>
                <w:rFonts w:hint="eastAsia" w:ascii="宋体" w:hAnsi="宋体" w:eastAsia="宋体" w:cs="宋体"/>
                <w:bCs/>
                <w:color w:val="auto"/>
                <w:sz w:val="24"/>
                <w:szCs w:val="24"/>
                <w:highlight w:val="none"/>
                <w:lang w:bidi="ar"/>
              </w:rPr>
              <w:t>。</w:t>
            </w:r>
          </w:p>
        </w:tc>
        <w:tc>
          <w:tcPr>
            <w:tcW w:w="1877" w:type="dxa"/>
            <w:noWrap w:val="0"/>
            <w:vAlign w:val="center"/>
          </w:tcPr>
          <w:p w14:paraId="61043AE1">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w:t>
            </w:r>
          </w:p>
        </w:tc>
      </w:tr>
      <w:tr w14:paraId="1EE9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4F7E4D7B">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35187E68">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7</w:t>
            </w:r>
          </w:p>
        </w:tc>
        <w:tc>
          <w:tcPr>
            <w:tcW w:w="9825" w:type="dxa"/>
            <w:noWrap w:val="0"/>
            <w:vAlign w:val="center"/>
          </w:tcPr>
          <w:p w14:paraId="5E1D6F01">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eastAsia="zh-CN" w:bidi="ar"/>
              </w:rPr>
              <w:t>项目负责人</w:t>
            </w:r>
            <w:r>
              <w:rPr>
                <w:rFonts w:hint="eastAsia" w:ascii="宋体" w:hAnsi="宋体" w:eastAsia="宋体" w:cs="宋体"/>
                <w:bCs/>
                <w:color w:val="auto"/>
                <w:sz w:val="24"/>
                <w:szCs w:val="24"/>
                <w:highlight w:val="none"/>
                <w:lang w:bidi="ar"/>
              </w:rPr>
              <w:t>在工作时间内必须常驻作业辖区,接到工作任务</w:t>
            </w:r>
            <w:r>
              <w:rPr>
                <w:rFonts w:hint="eastAsia" w:ascii="宋体" w:hAnsi="宋体" w:eastAsia="宋体" w:cs="宋体"/>
                <w:bCs/>
                <w:color w:val="auto"/>
                <w:sz w:val="24"/>
                <w:szCs w:val="24"/>
                <w:highlight w:val="none"/>
                <w:lang w:eastAsia="zh-CN" w:bidi="ar"/>
              </w:rPr>
              <w:t>、会议通知等情况时，应在</w:t>
            </w:r>
            <w:r>
              <w:rPr>
                <w:rFonts w:hint="eastAsia" w:ascii="宋体" w:hAnsi="宋体" w:eastAsia="宋体" w:cs="宋体"/>
                <w:bCs/>
                <w:color w:val="auto"/>
                <w:sz w:val="24"/>
                <w:szCs w:val="24"/>
                <w:highlight w:val="none"/>
                <w:lang w:bidi="ar"/>
              </w:rPr>
              <w:t>20分钟内达到指定地点。</w:t>
            </w:r>
          </w:p>
        </w:tc>
        <w:tc>
          <w:tcPr>
            <w:tcW w:w="1877" w:type="dxa"/>
            <w:noWrap w:val="0"/>
            <w:vAlign w:val="center"/>
          </w:tcPr>
          <w:p w14:paraId="1EEE688E">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/次</w:t>
            </w:r>
          </w:p>
        </w:tc>
      </w:tr>
      <w:tr w14:paraId="6C81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52E28897">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3C37EA5C">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8</w:t>
            </w:r>
          </w:p>
        </w:tc>
        <w:tc>
          <w:tcPr>
            <w:tcW w:w="9825" w:type="dxa"/>
            <w:noWrap w:val="0"/>
            <w:vAlign w:val="center"/>
          </w:tcPr>
          <w:p w14:paraId="11A58BF8">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停车场保持干净整洁，落实</w:t>
            </w:r>
            <w:r>
              <w:rPr>
                <w:rFonts w:hint="eastAsia" w:ascii="宋体" w:hAnsi="宋体" w:eastAsia="宋体" w:cs="宋体"/>
                <w:bCs/>
                <w:color w:val="auto"/>
                <w:sz w:val="24"/>
                <w:szCs w:val="24"/>
                <w:highlight w:val="none"/>
                <w:lang w:eastAsia="zh-CN" w:bidi="ar"/>
              </w:rPr>
              <w:t>雨污水规范分类收集、处置、排放</w:t>
            </w:r>
            <w:r>
              <w:rPr>
                <w:rFonts w:hint="eastAsia" w:ascii="宋体" w:hAnsi="宋体" w:eastAsia="宋体" w:cs="宋体"/>
                <w:bCs/>
                <w:color w:val="auto"/>
                <w:sz w:val="24"/>
                <w:szCs w:val="24"/>
                <w:highlight w:val="none"/>
                <w:lang w:val="en-US" w:eastAsia="zh-CN" w:bidi="ar"/>
              </w:rPr>
              <w:t>，及时维修维护排水管网，实现污水零直排。杜绝停车场周边脏乱差等影响市容市貌行为，不得惊民扰民。</w:t>
            </w:r>
          </w:p>
        </w:tc>
        <w:tc>
          <w:tcPr>
            <w:tcW w:w="1877" w:type="dxa"/>
            <w:noWrap w:val="0"/>
            <w:vAlign w:val="center"/>
          </w:tcPr>
          <w:p w14:paraId="0CEF2C8F">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w:t>
            </w:r>
          </w:p>
        </w:tc>
      </w:tr>
      <w:tr w14:paraId="0EF38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0BA4C24A">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4A0387E8">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9</w:t>
            </w:r>
          </w:p>
        </w:tc>
        <w:tc>
          <w:tcPr>
            <w:tcW w:w="9825" w:type="dxa"/>
            <w:noWrap w:val="0"/>
            <w:vAlign w:val="center"/>
          </w:tcPr>
          <w:p w14:paraId="4C31EBB0">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作业车辆在非作业时段应及时归场有序停放，保持车容车貌干净整洁，车厢内无异味。</w:t>
            </w:r>
          </w:p>
        </w:tc>
        <w:tc>
          <w:tcPr>
            <w:tcW w:w="1877" w:type="dxa"/>
            <w:noWrap w:val="0"/>
            <w:vAlign w:val="center"/>
          </w:tcPr>
          <w:p w14:paraId="4EF2CCBF">
            <w:pPr>
              <w:spacing w:line="320" w:lineRule="exact"/>
              <w:jc w:val="center"/>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w:t>
            </w:r>
          </w:p>
        </w:tc>
      </w:tr>
      <w:tr w14:paraId="5C2F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962" w:type="dxa"/>
            <w:vMerge w:val="continue"/>
            <w:noWrap w:val="0"/>
            <w:vAlign w:val="center"/>
          </w:tcPr>
          <w:p w14:paraId="2CD9D065">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6ABF2D43">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10</w:t>
            </w:r>
          </w:p>
        </w:tc>
        <w:tc>
          <w:tcPr>
            <w:tcW w:w="9825" w:type="dxa"/>
            <w:noWrap w:val="0"/>
            <w:vAlign w:val="center"/>
          </w:tcPr>
          <w:p w14:paraId="23B6BE95">
            <w:pPr>
              <w:spacing w:line="320" w:lineRule="exact"/>
              <w:jc w:val="left"/>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在一个服务年度内保持固定的收运价格，以指导价格为基础，上下浮动不超过20%。</w:t>
            </w:r>
          </w:p>
        </w:tc>
        <w:tc>
          <w:tcPr>
            <w:tcW w:w="1877" w:type="dxa"/>
            <w:noWrap w:val="0"/>
            <w:vAlign w:val="center"/>
          </w:tcPr>
          <w:p w14:paraId="0EFFF9EB">
            <w:pPr>
              <w:spacing w:line="320" w:lineRule="exact"/>
              <w:jc w:val="center"/>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/家·次</w:t>
            </w:r>
          </w:p>
        </w:tc>
      </w:tr>
      <w:tr w14:paraId="0EF9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restart"/>
            <w:noWrap w:val="0"/>
            <w:vAlign w:val="center"/>
          </w:tcPr>
          <w:p w14:paraId="0E4F6B55">
            <w:pPr>
              <w:spacing w:line="320" w:lineRule="exact"/>
              <w:jc w:val="center"/>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作业规范</w:t>
            </w:r>
          </w:p>
          <w:p w14:paraId="58F312E2">
            <w:pPr>
              <w:spacing w:line="320" w:lineRule="exact"/>
              <w:jc w:val="center"/>
              <w:rPr>
                <w:rFonts w:hint="eastAsia" w:ascii="宋体" w:hAnsi="宋体" w:eastAsia="宋体" w:cs="宋体"/>
                <w:bCs/>
                <w:color w:val="auto"/>
                <w:sz w:val="24"/>
                <w:szCs w:val="24"/>
                <w:highlight w:val="none"/>
                <w:lang w:bidi="ar"/>
              </w:rPr>
            </w:pP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val="en-US" w:eastAsia="zh-CN" w:bidi="ar"/>
              </w:rPr>
              <w:t>50</w:t>
            </w:r>
            <w:r>
              <w:rPr>
                <w:rFonts w:hint="eastAsia" w:ascii="宋体" w:hAnsi="宋体" w:eastAsia="宋体" w:cs="宋体"/>
                <w:bCs/>
                <w:color w:val="auto"/>
                <w:sz w:val="24"/>
                <w:szCs w:val="24"/>
                <w:highlight w:val="none"/>
                <w:lang w:bidi="ar"/>
              </w:rPr>
              <w:t>分）</w:t>
            </w:r>
          </w:p>
        </w:tc>
        <w:tc>
          <w:tcPr>
            <w:tcW w:w="1210" w:type="dxa"/>
            <w:noWrap w:val="0"/>
            <w:vAlign w:val="center"/>
          </w:tcPr>
          <w:p w14:paraId="0399C5C8">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11</w:t>
            </w:r>
          </w:p>
        </w:tc>
        <w:tc>
          <w:tcPr>
            <w:tcW w:w="9825" w:type="dxa"/>
            <w:noWrap w:val="0"/>
            <w:vAlign w:val="center"/>
          </w:tcPr>
          <w:p w14:paraId="0947DD2B">
            <w:pPr>
              <w:spacing w:line="320" w:lineRule="exact"/>
              <w:jc w:val="left"/>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按照《生活垃圾分类标志》(GB/T19095)相关要求，收运车辆车身颜色、收运单位字体保持统一涂装，确保车辆、容器、服装、标识“四个统一”。保持车辆行驶和装卸过程记录仪处于正常工作状态，且接入“餐饮安全在线”应用，保持车辆物联网感知设备数据同步，保持车辆数据与市、区相关平台实时互联互通。</w:t>
            </w:r>
          </w:p>
        </w:tc>
        <w:tc>
          <w:tcPr>
            <w:tcW w:w="1877" w:type="dxa"/>
            <w:noWrap w:val="0"/>
            <w:vAlign w:val="center"/>
          </w:tcPr>
          <w:p w14:paraId="058EE0BB">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/项·台次</w:t>
            </w:r>
          </w:p>
        </w:tc>
      </w:tr>
      <w:tr w14:paraId="2284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0373EC74">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64DEF4EC">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12</w:t>
            </w:r>
          </w:p>
        </w:tc>
        <w:tc>
          <w:tcPr>
            <w:tcW w:w="9825" w:type="dxa"/>
            <w:noWrap w:val="0"/>
            <w:vAlign w:val="center"/>
          </w:tcPr>
          <w:p w14:paraId="0FE7C9F0">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作业车辆应安装警示灯光、配备安全锥、灭火瓶等安全防护设备。如不能正常使用需及时更换，每年至少全面更换安全防护设备一次。</w:t>
            </w:r>
          </w:p>
        </w:tc>
        <w:tc>
          <w:tcPr>
            <w:tcW w:w="1877" w:type="dxa"/>
            <w:noWrap w:val="0"/>
            <w:vAlign w:val="center"/>
          </w:tcPr>
          <w:p w14:paraId="6338DF40">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/项·台次</w:t>
            </w:r>
          </w:p>
        </w:tc>
      </w:tr>
      <w:tr w14:paraId="251B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2394C02A">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3E9CD884">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13</w:t>
            </w:r>
          </w:p>
        </w:tc>
        <w:tc>
          <w:tcPr>
            <w:tcW w:w="9825" w:type="dxa"/>
            <w:noWrap w:val="0"/>
            <w:vAlign w:val="center"/>
          </w:tcPr>
          <w:p w14:paraId="44B2A35A">
            <w:pPr>
              <w:spacing w:line="320" w:lineRule="exact"/>
              <w:jc w:val="left"/>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eastAsia="zh-CN" w:bidi="ar"/>
              </w:rPr>
              <w:t>作业</w:t>
            </w:r>
            <w:r>
              <w:rPr>
                <w:rFonts w:hint="eastAsia" w:ascii="宋体" w:hAnsi="宋体" w:eastAsia="宋体" w:cs="宋体"/>
                <w:bCs/>
                <w:color w:val="auto"/>
                <w:sz w:val="24"/>
                <w:szCs w:val="24"/>
                <w:highlight w:val="none"/>
                <w:lang w:bidi="ar"/>
              </w:rPr>
              <w:t>车辆应</w:t>
            </w:r>
            <w:r>
              <w:rPr>
                <w:rFonts w:hint="eastAsia" w:ascii="宋体" w:hAnsi="宋体" w:eastAsia="宋体" w:cs="宋体"/>
                <w:bCs/>
                <w:color w:val="auto"/>
                <w:sz w:val="24"/>
                <w:szCs w:val="24"/>
                <w:highlight w:val="none"/>
                <w:lang w:eastAsia="zh-CN" w:bidi="ar"/>
              </w:rPr>
              <w:t>将当日收集的废弃食用油脂运输到处置单位</w:t>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val="en-US" w:eastAsia="zh-CN" w:bidi="ar"/>
              </w:rPr>
              <w:t>不得擅自对收集到的废弃食用油脂进行中转、落地、存贮</w:t>
            </w:r>
            <w:r>
              <w:rPr>
                <w:rFonts w:hint="eastAsia" w:ascii="宋体" w:hAnsi="宋体" w:eastAsia="宋体" w:cs="宋体"/>
                <w:bCs/>
                <w:color w:val="auto"/>
                <w:sz w:val="24"/>
                <w:szCs w:val="24"/>
                <w:highlight w:val="none"/>
                <w:lang w:eastAsia="zh-CN" w:bidi="ar"/>
              </w:rPr>
              <w:t>，做到油脂不过夜，脏车不过夜。</w:t>
            </w:r>
          </w:p>
        </w:tc>
        <w:tc>
          <w:tcPr>
            <w:tcW w:w="1877" w:type="dxa"/>
            <w:noWrap w:val="0"/>
            <w:vAlign w:val="center"/>
          </w:tcPr>
          <w:p w14:paraId="3B7DE8D5">
            <w:pPr>
              <w:spacing w:line="320" w:lineRule="exact"/>
              <w:ind w:firstLine="28" w:firstLineChars="12"/>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/项·台次</w:t>
            </w:r>
          </w:p>
        </w:tc>
      </w:tr>
      <w:tr w14:paraId="0CFD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3D1FCC7B">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45EF28E4">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14</w:t>
            </w:r>
          </w:p>
        </w:tc>
        <w:tc>
          <w:tcPr>
            <w:tcW w:w="9825" w:type="dxa"/>
            <w:noWrap w:val="0"/>
            <w:vAlign w:val="center"/>
          </w:tcPr>
          <w:p w14:paraId="09FB4268">
            <w:pPr>
              <w:spacing w:line="320" w:lineRule="exact"/>
              <w:jc w:val="left"/>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作业车辆应严格遵守交通法规，车辆不得逆向行驶，不随意变道，确需临时占用道路的，应当打开车辆应急灯和警示灯。夜间作业车辆临时占用道路时，需在距收运作业点来车方向50米处设置醒目警示牌，沿途设置反光锥。；</w:t>
            </w:r>
          </w:p>
        </w:tc>
        <w:tc>
          <w:tcPr>
            <w:tcW w:w="1877" w:type="dxa"/>
            <w:noWrap w:val="0"/>
            <w:vAlign w:val="center"/>
          </w:tcPr>
          <w:p w14:paraId="5508BE2D">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1分/项·台次</w:t>
            </w:r>
          </w:p>
        </w:tc>
      </w:tr>
      <w:tr w14:paraId="3B96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7B342FA2">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7386C18F">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15</w:t>
            </w:r>
          </w:p>
        </w:tc>
        <w:tc>
          <w:tcPr>
            <w:tcW w:w="9825" w:type="dxa"/>
            <w:noWrap w:val="0"/>
            <w:vAlign w:val="center"/>
          </w:tcPr>
          <w:p w14:paraId="2B80AB33">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作业过程中收运车辆应密闭完好，保持车容车貌干净整洁，防止油脂“遗撒滴漏”、防止臭味扩散等环境污染的情形发生。</w:t>
            </w:r>
          </w:p>
        </w:tc>
        <w:tc>
          <w:tcPr>
            <w:tcW w:w="1877" w:type="dxa"/>
            <w:noWrap w:val="0"/>
            <w:vAlign w:val="center"/>
          </w:tcPr>
          <w:p w14:paraId="2AA14CC8">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/项·台次</w:t>
            </w:r>
          </w:p>
        </w:tc>
      </w:tr>
      <w:tr w14:paraId="4EBB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1C59D16C">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61E554FC">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16</w:t>
            </w:r>
          </w:p>
        </w:tc>
        <w:tc>
          <w:tcPr>
            <w:tcW w:w="9825" w:type="dxa"/>
            <w:noWrap w:val="0"/>
            <w:vAlign w:val="center"/>
          </w:tcPr>
          <w:p w14:paraId="7FBE9ABD">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作业车辆应严格按照作业线路、作业计划进行收运，收运过程中不得只收“纯油”、拒收“油水混合物”“地沟油”，做到应收尽收。</w:t>
            </w:r>
          </w:p>
        </w:tc>
        <w:tc>
          <w:tcPr>
            <w:tcW w:w="1877" w:type="dxa"/>
            <w:noWrap w:val="0"/>
            <w:vAlign w:val="center"/>
          </w:tcPr>
          <w:p w14:paraId="201B7399">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/项·台次</w:t>
            </w:r>
          </w:p>
        </w:tc>
      </w:tr>
      <w:tr w14:paraId="0DA1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4C52A755">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02C545E9">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17</w:t>
            </w:r>
          </w:p>
        </w:tc>
        <w:tc>
          <w:tcPr>
            <w:tcW w:w="9825" w:type="dxa"/>
            <w:noWrap w:val="0"/>
            <w:vAlign w:val="center"/>
          </w:tcPr>
          <w:p w14:paraId="44B2F094">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作业过程中作业人员按重庆市统一着装要求，保持工作服干净整洁，佩戴工作牌作业。</w:t>
            </w:r>
          </w:p>
        </w:tc>
        <w:tc>
          <w:tcPr>
            <w:tcW w:w="1877" w:type="dxa"/>
            <w:noWrap w:val="0"/>
            <w:vAlign w:val="center"/>
          </w:tcPr>
          <w:p w14:paraId="65C6A7B1">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0.5</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/项·人次</w:t>
            </w:r>
          </w:p>
        </w:tc>
      </w:tr>
      <w:tr w14:paraId="003F7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5B96221C">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6DA5E218">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18</w:t>
            </w:r>
          </w:p>
        </w:tc>
        <w:tc>
          <w:tcPr>
            <w:tcW w:w="9825" w:type="dxa"/>
            <w:noWrap w:val="0"/>
            <w:vAlign w:val="center"/>
          </w:tcPr>
          <w:p w14:paraId="3A5C371F">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作业过程中作业人员</w:t>
            </w:r>
            <w:r>
              <w:rPr>
                <w:rFonts w:hint="eastAsia" w:ascii="宋体" w:hAnsi="宋体" w:eastAsia="宋体" w:cs="宋体"/>
                <w:bCs/>
                <w:color w:val="auto"/>
                <w:sz w:val="24"/>
                <w:szCs w:val="24"/>
                <w:highlight w:val="none"/>
                <w:lang w:eastAsia="zh-CN" w:bidi="ar"/>
              </w:rPr>
              <w:t>应严格遵守交通法规</w:t>
            </w: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eastAsia="zh-CN" w:bidi="ar"/>
              </w:rPr>
              <w:t>主动礼让行人和群众，</w:t>
            </w:r>
            <w:r>
              <w:rPr>
                <w:rFonts w:hint="eastAsia" w:ascii="宋体" w:hAnsi="宋体" w:eastAsia="宋体" w:cs="宋体"/>
                <w:bCs/>
                <w:color w:val="auto"/>
                <w:sz w:val="24"/>
                <w:szCs w:val="24"/>
                <w:highlight w:val="none"/>
                <w:lang w:bidi="ar"/>
              </w:rPr>
              <w:t>不得随意横穿马路、翻越栏杆</w:t>
            </w:r>
            <w:r>
              <w:rPr>
                <w:rFonts w:hint="eastAsia" w:ascii="宋体" w:hAnsi="宋体" w:eastAsia="宋体" w:cs="宋体"/>
                <w:bCs/>
                <w:color w:val="auto"/>
                <w:sz w:val="24"/>
                <w:szCs w:val="24"/>
                <w:highlight w:val="none"/>
                <w:lang w:eastAsia="zh-CN" w:bidi="ar"/>
              </w:rPr>
              <w:t>，不得与行人和群众因收运工作发生不文明行为。</w:t>
            </w:r>
          </w:p>
        </w:tc>
        <w:tc>
          <w:tcPr>
            <w:tcW w:w="1877" w:type="dxa"/>
            <w:noWrap w:val="0"/>
            <w:vAlign w:val="center"/>
          </w:tcPr>
          <w:p w14:paraId="7CD4E9C8">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0.5</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/项·人次</w:t>
            </w:r>
          </w:p>
        </w:tc>
      </w:tr>
      <w:tr w14:paraId="3F92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1EE5F694">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29A8FFC9">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19</w:t>
            </w:r>
          </w:p>
        </w:tc>
        <w:tc>
          <w:tcPr>
            <w:tcW w:w="9825" w:type="dxa"/>
            <w:noWrap w:val="0"/>
            <w:vAlign w:val="center"/>
          </w:tcPr>
          <w:p w14:paraId="001E19E9">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作业过程中作业人员应严格遵守安全生产要求，不得穿木屐、拖鞋、高跟鞋等影响安全作业的鞋类，不得边吸烟边工作。</w:t>
            </w:r>
          </w:p>
        </w:tc>
        <w:tc>
          <w:tcPr>
            <w:tcW w:w="1877" w:type="dxa"/>
            <w:noWrap w:val="0"/>
            <w:vAlign w:val="center"/>
          </w:tcPr>
          <w:p w14:paraId="7D4AE996">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0.5</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/项·人次</w:t>
            </w:r>
          </w:p>
        </w:tc>
      </w:tr>
      <w:tr w14:paraId="2FC9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5CA3A18B">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7407FD85">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20</w:t>
            </w:r>
          </w:p>
        </w:tc>
        <w:tc>
          <w:tcPr>
            <w:tcW w:w="9825" w:type="dxa"/>
            <w:noWrap w:val="0"/>
            <w:vAlign w:val="center"/>
          </w:tcPr>
          <w:p w14:paraId="75F66B1E">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作业完成后，及时对产生者（单位）的收集设施进行保洁、复位，并清理清洗作业场地，保持废弃食用油脂收集设备设施和周边环境的干净整洁。</w:t>
            </w:r>
          </w:p>
        </w:tc>
        <w:tc>
          <w:tcPr>
            <w:tcW w:w="1877" w:type="dxa"/>
            <w:noWrap w:val="0"/>
            <w:vAlign w:val="center"/>
          </w:tcPr>
          <w:p w14:paraId="1EB8F629">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0.5</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/项·次</w:t>
            </w:r>
          </w:p>
        </w:tc>
      </w:tr>
      <w:tr w14:paraId="4E2BC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vMerge w:val="continue"/>
            <w:noWrap w:val="0"/>
            <w:vAlign w:val="center"/>
          </w:tcPr>
          <w:p w14:paraId="4F0E6553">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6A0CF866">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21</w:t>
            </w:r>
          </w:p>
        </w:tc>
        <w:tc>
          <w:tcPr>
            <w:tcW w:w="9825" w:type="dxa"/>
            <w:noWrap w:val="0"/>
            <w:vAlign w:val="center"/>
          </w:tcPr>
          <w:p w14:paraId="034EDD2A">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随车携带收运、处置联单，每辆车授权专人填写确认联单信息，确保联单内容真实有效。</w:t>
            </w:r>
          </w:p>
        </w:tc>
        <w:tc>
          <w:tcPr>
            <w:tcW w:w="1877" w:type="dxa"/>
            <w:noWrap w:val="0"/>
            <w:vAlign w:val="center"/>
          </w:tcPr>
          <w:p w14:paraId="2FCB8AF3">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0.5</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/项·次</w:t>
            </w:r>
          </w:p>
        </w:tc>
      </w:tr>
      <w:tr w14:paraId="0881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45BAF1B7">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7FAA2673">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22</w:t>
            </w:r>
          </w:p>
        </w:tc>
        <w:tc>
          <w:tcPr>
            <w:tcW w:w="9825" w:type="dxa"/>
            <w:noWrap w:val="0"/>
            <w:vAlign w:val="center"/>
          </w:tcPr>
          <w:p w14:paraId="74DB0A8E">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作业</w:t>
            </w:r>
            <w:r>
              <w:rPr>
                <w:rFonts w:hint="eastAsia" w:ascii="宋体" w:hAnsi="宋体" w:eastAsia="宋体" w:cs="宋体"/>
                <w:bCs/>
                <w:color w:val="auto"/>
                <w:sz w:val="24"/>
                <w:szCs w:val="24"/>
                <w:highlight w:val="none"/>
                <w:lang w:eastAsia="zh-CN" w:bidi="ar"/>
              </w:rPr>
              <w:t>员工在公众场所互</w:t>
            </w:r>
            <w:r>
              <w:rPr>
                <w:rFonts w:hint="eastAsia" w:ascii="宋体" w:hAnsi="宋体" w:eastAsia="宋体" w:cs="宋体"/>
                <w:bCs/>
                <w:color w:val="auto"/>
                <w:sz w:val="24"/>
                <w:szCs w:val="24"/>
                <w:highlight w:val="none"/>
                <w:lang w:bidi="ar"/>
              </w:rPr>
              <w:t>殴谩骂</w:t>
            </w:r>
            <w:r>
              <w:rPr>
                <w:rFonts w:hint="eastAsia" w:ascii="宋体" w:hAnsi="宋体" w:eastAsia="宋体" w:cs="宋体"/>
                <w:bCs/>
                <w:color w:val="auto"/>
                <w:sz w:val="24"/>
                <w:szCs w:val="24"/>
                <w:highlight w:val="none"/>
                <w:lang w:eastAsia="zh-CN" w:bidi="ar"/>
              </w:rPr>
              <w:t>，</w:t>
            </w:r>
            <w:r>
              <w:rPr>
                <w:rFonts w:hint="eastAsia" w:ascii="宋体" w:hAnsi="宋体" w:eastAsia="宋体" w:cs="宋体"/>
                <w:bCs/>
                <w:color w:val="auto"/>
                <w:sz w:val="24"/>
                <w:szCs w:val="24"/>
                <w:highlight w:val="none"/>
                <w:lang w:bidi="ar"/>
              </w:rPr>
              <w:t>对</w:t>
            </w:r>
            <w:r>
              <w:rPr>
                <w:rFonts w:hint="eastAsia" w:ascii="宋体" w:hAnsi="宋体" w:eastAsia="宋体" w:cs="宋体"/>
                <w:bCs/>
                <w:color w:val="auto"/>
                <w:sz w:val="24"/>
                <w:szCs w:val="24"/>
                <w:highlight w:val="none"/>
                <w:lang w:eastAsia="zh-CN" w:bidi="ar"/>
              </w:rPr>
              <w:t>产生者（单位）和</w:t>
            </w:r>
            <w:r>
              <w:rPr>
                <w:rFonts w:hint="eastAsia" w:ascii="宋体" w:hAnsi="宋体" w:eastAsia="宋体" w:cs="宋体"/>
                <w:bCs/>
                <w:color w:val="auto"/>
                <w:sz w:val="24"/>
                <w:szCs w:val="24"/>
                <w:highlight w:val="none"/>
                <w:lang w:bidi="ar"/>
              </w:rPr>
              <w:t>群众正当的投诉行为进行打击报复</w:t>
            </w:r>
            <w:r>
              <w:rPr>
                <w:rFonts w:hint="eastAsia" w:ascii="宋体" w:hAnsi="宋体" w:eastAsia="宋体" w:cs="宋体"/>
                <w:bCs/>
                <w:color w:val="auto"/>
                <w:sz w:val="24"/>
                <w:szCs w:val="24"/>
                <w:highlight w:val="none"/>
                <w:lang w:eastAsia="zh-CN" w:bidi="ar"/>
              </w:rPr>
              <w:t>，谩骂殴打</w:t>
            </w:r>
            <w:r>
              <w:rPr>
                <w:rFonts w:hint="eastAsia" w:ascii="宋体" w:hAnsi="宋体" w:eastAsia="宋体" w:cs="宋体"/>
                <w:bCs/>
                <w:color w:val="auto"/>
                <w:sz w:val="24"/>
                <w:szCs w:val="24"/>
                <w:highlight w:val="none"/>
                <w:lang w:bidi="ar"/>
              </w:rPr>
              <w:t>。</w:t>
            </w:r>
          </w:p>
        </w:tc>
        <w:tc>
          <w:tcPr>
            <w:tcW w:w="1877" w:type="dxa"/>
            <w:noWrap w:val="0"/>
            <w:vAlign w:val="center"/>
          </w:tcPr>
          <w:p w14:paraId="0A2F87D7">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/项·人次</w:t>
            </w:r>
          </w:p>
        </w:tc>
      </w:tr>
      <w:tr w14:paraId="30A9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restart"/>
            <w:noWrap w:val="0"/>
            <w:vAlign w:val="center"/>
          </w:tcPr>
          <w:p w14:paraId="40833D9C">
            <w:pPr>
              <w:spacing w:line="320" w:lineRule="exact"/>
              <w:jc w:val="center"/>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收运保障（</w:t>
            </w:r>
            <w:r>
              <w:rPr>
                <w:rFonts w:hint="eastAsia" w:ascii="宋体" w:hAnsi="宋体" w:eastAsia="宋体" w:cs="宋体"/>
                <w:bCs/>
                <w:color w:val="auto"/>
                <w:sz w:val="24"/>
                <w:szCs w:val="24"/>
                <w:highlight w:val="none"/>
                <w:lang w:val="en-US" w:eastAsia="zh-CN" w:bidi="ar"/>
              </w:rPr>
              <w:t>10分</w:t>
            </w:r>
            <w:r>
              <w:rPr>
                <w:rFonts w:hint="eastAsia" w:ascii="宋体" w:hAnsi="宋体" w:eastAsia="宋体" w:cs="宋体"/>
                <w:bCs/>
                <w:color w:val="auto"/>
                <w:sz w:val="24"/>
                <w:szCs w:val="24"/>
                <w:highlight w:val="none"/>
                <w:lang w:eastAsia="zh-CN" w:bidi="ar"/>
              </w:rPr>
              <w:t>）</w:t>
            </w:r>
          </w:p>
        </w:tc>
        <w:tc>
          <w:tcPr>
            <w:tcW w:w="1210" w:type="dxa"/>
            <w:noWrap w:val="0"/>
            <w:vAlign w:val="center"/>
          </w:tcPr>
          <w:p w14:paraId="39C0ED74">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23</w:t>
            </w:r>
          </w:p>
        </w:tc>
        <w:tc>
          <w:tcPr>
            <w:tcW w:w="9825" w:type="dxa"/>
            <w:noWrap w:val="0"/>
            <w:vAlign w:val="center"/>
          </w:tcPr>
          <w:p w14:paraId="08EDE36E">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收运车辆因机械故障超过10日历天不能进行收运作业的，未经九龙坡区城市管理审核批复擅自变更收运车辆的。</w:t>
            </w:r>
          </w:p>
        </w:tc>
        <w:tc>
          <w:tcPr>
            <w:tcW w:w="1877" w:type="dxa"/>
            <w:noWrap w:val="0"/>
            <w:vAlign w:val="center"/>
          </w:tcPr>
          <w:p w14:paraId="7DBD54DD">
            <w:pPr>
              <w:spacing w:line="320" w:lineRule="exact"/>
              <w:ind w:firstLine="28" w:firstLineChars="12"/>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w:t>
            </w:r>
            <w:r>
              <w:rPr>
                <w:rFonts w:hint="eastAsia" w:ascii="宋体" w:hAnsi="宋体" w:eastAsia="宋体" w:cs="宋体"/>
                <w:bCs/>
                <w:color w:val="auto"/>
                <w:sz w:val="24"/>
                <w:szCs w:val="24"/>
                <w:highlight w:val="none"/>
                <w:lang w:bidi="ar"/>
              </w:rPr>
              <w:t>分</w:t>
            </w:r>
            <w:r>
              <w:rPr>
                <w:rFonts w:hint="eastAsia" w:ascii="宋体" w:hAnsi="宋体" w:eastAsia="宋体" w:cs="宋体"/>
                <w:bCs/>
                <w:color w:val="auto"/>
                <w:sz w:val="24"/>
                <w:szCs w:val="24"/>
                <w:highlight w:val="none"/>
                <w:lang w:val="en-US" w:eastAsia="zh-CN" w:bidi="ar"/>
              </w:rPr>
              <w:t>/项·台次</w:t>
            </w:r>
          </w:p>
        </w:tc>
      </w:tr>
      <w:tr w14:paraId="4E7E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7A0EE8A1">
            <w:pPr>
              <w:spacing w:line="320" w:lineRule="exact"/>
              <w:jc w:val="center"/>
              <w:rPr>
                <w:rFonts w:hint="eastAsia" w:ascii="宋体" w:hAnsi="宋体" w:eastAsia="宋体" w:cs="宋体"/>
                <w:bCs/>
                <w:color w:val="auto"/>
                <w:sz w:val="24"/>
                <w:szCs w:val="24"/>
                <w:highlight w:val="none"/>
                <w:lang w:eastAsia="zh-CN" w:bidi="ar"/>
              </w:rPr>
            </w:pPr>
          </w:p>
        </w:tc>
        <w:tc>
          <w:tcPr>
            <w:tcW w:w="1210" w:type="dxa"/>
            <w:noWrap w:val="0"/>
            <w:vAlign w:val="center"/>
          </w:tcPr>
          <w:p w14:paraId="13E1E485">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24</w:t>
            </w:r>
          </w:p>
        </w:tc>
        <w:tc>
          <w:tcPr>
            <w:tcW w:w="9825" w:type="dxa"/>
            <w:noWrap w:val="0"/>
            <w:vAlign w:val="center"/>
          </w:tcPr>
          <w:p w14:paraId="34A1C356">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定期对收运车辆、设备、器械进行检查维修保养，做好维修保养记录、台账。</w:t>
            </w:r>
          </w:p>
        </w:tc>
        <w:tc>
          <w:tcPr>
            <w:tcW w:w="1877" w:type="dxa"/>
            <w:noWrap w:val="0"/>
            <w:vAlign w:val="center"/>
          </w:tcPr>
          <w:p w14:paraId="05544440">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0.5分/项·台次</w:t>
            </w:r>
          </w:p>
        </w:tc>
      </w:tr>
      <w:tr w14:paraId="4C52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41551ED6">
            <w:pPr>
              <w:spacing w:line="320" w:lineRule="exact"/>
              <w:jc w:val="center"/>
              <w:rPr>
                <w:rFonts w:hint="eastAsia" w:ascii="宋体" w:hAnsi="宋体" w:eastAsia="宋体" w:cs="宋体"/>
                <w:bCs/>
                <w:color w:val="auto"/>
                <w:sz w:val="24"/>
                <w:szCs w:val="24"/>
                <w:highlight w:val="none"/>
                <w:lang w:eastAsia="zh-CN" w:bidi="ar"/>
              </w:rPr>
            </w:pPr>
          </w:p>
        </w:tc>
        <w:tc>
          <w:tcPr>
            <w:tcW w:w="1210" w:type="dxa"/>
            <w:noWrap w:val="0"/>
            <w:vAlign w:val="center"/>
          </w:tcPr>
          <w:p w14:paraId="5B3F3302">
            <w:pPr>
              <w:spacing w:line="320" w:lineRule="exact"/>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kern w:val="2"/>
                <w:sz w:val="24"/>
                <w:szCs w:val="24"/>
                <w:highlight w:val="none"/>
                <w:lang w:val="en-US" w:eastAsia="zh-CN" w:bidi="ar"/>
              </w:rPr>
              <w:t>25</w:t>
            </w:r>
          </w:p>
        </w:tc>
        <w:tc>
          <w:tcPr>
            <w:tcW w:w="9825" w:type="dxa"/>
            <w:noWrap w:val="0"/>
            <w:vAlign w:val="center"/>
          </w:tcPr>
          <w:p w14:paraId="1112A3F5">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无偿向中选标段内取得收集权限的废弃食用油脂产生者（单位）提供具有市、区明确的废弃食用油脂收运统一标识的专业收集容器。不得强制或变相将专用收集容器出售给中选标段内的产生者。</w:t>
            </w:r>
          </w:p>
        </w:tc>
        <w:tc>
          <w:tcPr>
            <w:tcW w:w="1877" w:type="dxa"/>
            <w:noWrap w:val="0"/>
            <w:vAlign w:val="center"/>
          </w:tcPr>
          <w:p w14:paraId="531147C0">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0.5分/个·次</w:t>
            </w:r>
          </w:p>
        </w:tc>
      </w:tr>
      <w:tr w14:paraId="3B25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41255A86">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1C82EA14">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26</w:t>
            </w:r>
          </w:p>
        </w:tc>
        <w:tc>
          <w:tcPr>
            <w:tcW w:w="9825" w:type="dxa"/>
            <w:noWrap w:val="0"/>
            <w:vAlign w:val="center"/>
          </w:tcPr>
          <w:p w14:paraId="3C755C07">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及时清洗清洁收集容器，保持收集容器干净整洁、无污垢油渍。</w:t>
            </w:r>
          </w:p>
        </w:tc>
        <w:tc>
          <w:tcPr>
            <w:tcW w:w="1877" w:type="dxa"/>
            <w:noWrap w:val="0"/>
            <w:vAlign w:val="center"/>
          </w:tcPr>
          <w:p w14:paraId="689CF12F">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0.5分/个·次</w:t>
            </w:r>
          </w:p>
        </w:tc>
      </w:tr>
      <w:tr w14:paraId="328E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08CC5B43">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682DFF3B">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27</w:t>
            </w:r>
          </w:p>
        </w:tc>
        <w:tc>
          <w:tcPr>
            <w:tcW w:w="9825" w:type="dxa"/>
            <w:noWrap w:val="0"/>
            <w:vAlign w:val="center"/>
          </w:tcPr>
          <w:p w14:paraId="4B4A15B6">
            <w:pPr>
              <w:spacing w:line="320" w:lineRule="exact"/>
              <w:jc w:val="left"/>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及时更换达到报废条件、无维修可能、脏旧破等影响正常收运作业和市容市貌的收集容器。</w:t>
            </w:r>
          </w:p>
        </w:tc>
        <w:tc>
          <w:tcPr>
            <w:tcW w:w="1877" w:type="dxa"/>
            <w:noWrap w:val="0"/>
            <w:vAlign w:val="center"/>
          </w:tcPr>
          <w:p w14:paraId="0C41AEF7">
            <w:pPr>
              <w:spacing w:line="320" w:lineRule="exact"/>
              <w:ind w:firstLine="28" w:firstLineChars="12"/>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0.5分/个·次</w:t>
            </w:r>
          </w:p>
        </w:tc>
      </w:tr>
      <w:tr w14:paraId="6B5F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restart"/>
            <w:noWrap w:val="0"/>
            <w:vAlign w:val="center"/>
          </w:tcPr>
          <w:p w14:paraId="46007874">
            <w:pPr>
              <w:spacing w:line="320" w:lineRule="exact"/>
              <w:jc w:val="center"/>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bidi="ar"/>
              </w:rPr>
              <w:t>舆情</w:t>
            </w:r>
            <w:r>
              <w:rPr>
                <w:rFonts w:hint="eastAsia" w:ascii="宋体" w:hAnsi="宋体" w:eastAsia="宋体" w:cs="宋体"/>
                <w:bCs/>
                <w:color w:val="auto"/>
                <w:sz w:val="24"/>
                <w:szCs w:val="24"/>
                <w:highlight w:val="none"/>
                <w:lang w:eastAsia="zh-CN" w:bidi="ar"/>
              </w:rPr>
              <w:t>处置</w:t>
            </w:r>
          </w:p>
          <w:p w14:paraId="0CDEE926">
            <w:pPr>
              <w:spacing w:line="320" w:lineRule="exact"/>
              <w:jc w:val="center"/>
              <w:rPr>
                <w:rFonts w:hint="eastAsia" w:ascii="宋体" w:hAnsi="宋体" w:eastAsia="宋体" w:cs="宋体"/>
                <w:bCs/>
                <w:color w:val="auto"/>
                <w:sz w:val="24"/>
                <w:szCs w:val="24"/>
                <w:highlight w:val="none"/>
                <w:lang w:eastAsia="zh-CN" w:bidi="ar"/>
              </w:rPr>
            </w:pPr>
            <w:r>
              <w:rPr>
                <w:rFonts w:hint="eastAsia" w:ascii="宋体" w:hAnsi="宋体" w:eastAsia="宋体" w:cs="宋体"/>
                <w:bCs/>
                <w:color w:val="auto"/>
                <w:sz w:val="24"/>
                <w:szCs w:val="24"/>
                <w:highlight w:val="none"/>
                <w:lang w:eastAsia="zh-CN" w:bidi="ar"/>
              </w:rPr>
              <w:t>（</w:t>
            </w:r>
            <w:r>
              <w:rPr>
                <w:rFonts w:hint="eastAsia" w:ascii="宋体" w:hAnsi="宋体" w:eastAsia="宋体" w:cs="宋体"/>
                <w:bCs/>
                <w:color w:val="auto"/>
                <w:sz w:val="24"/>
                <w:szCs w:val="24"/>
                <w:highlight w:val="none"/>
                <w:lang w:val="en-US" w:eastAsia="zh-CN" w:bidi="ar"/>
              </w:rPr>
              <w:t>10分</w:t>
            </w:r>
            <w:r>
              <w:rPr>
                <w:rFonts w:hint="eastAsia" w:ascii="宋体" w:hAnsi="宋体" w:eastAsia="宋体" w:cs="宋体"/>
                <w:bCs/>
                <w:color w:val="auto"/>
                <w:sz w:val="24"/>
                <w:szCs w:val="24"/>
                <w:highlight w:val="none"/>
                <w:lang w:eastAsia="zh-CN" w:bidi="ar"/>
              </w:rPr>
              <w:t>）</w:t>
            </w:r>
          </w:p>
        </w:tc>
        <w:tc>
          <w:tcPr>
            <w:tcW w:w="1210" w:type="dxa"/>
            <w:noWrap w:val="0"/>
            <w:vAlign w:val="center"/>
          </w:tcPr>
          <w:p w14:paraId="5ADB2179">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28</w:t>
            </w:r>
          </w:p>
        </w:tc>
        <w:tc>
          <w:tcPr>
            <w:tcW w:w="9825" w:type="dxa"/>
            <w:noWrap w:val="0"/>
            <w:vAlign w:val="center"/>
          </w:tcPr>
          <w:p w14:paraId="6CBE527A">
            <w:pPr>
              <w:spacing w:line="320" w:lineRule="exact"/>
              <w:jc w:val="left"/>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bidi="ar"/>
              </w:rPr>
              <w:t>各类投诉舆情</w:t>
            </w:r>
            <w:r>
              <w:rPr>
                <w:rFonts w:hint="eastAsia" w:ascii="宋体" w:hAnsi="宋体" w:eastAsia="宋体" w:cs="宋体"/>
                <w:bCs/>
                <w:color w:val="auto"/>
                <w:sz w:val="24"/>
                <w:szCs w:val="24"/>
                <w:highlight w:val="none"/>
                <w:lang w:eastAsia="zh-CN" w:bidi="ar"/>
              </w:rPr>
              <w:t>事</w:t>
            </w:r>
            <w:r>
              <w:rPr>
                <w:rFonts w:hint="eastAsia" w:ascii="宋体" w:hAnsi="宋体" w:eastAsia="宋体" w:cs="宋体"/>
                <w:bCs/>
                <w:color w:val="auto"/>
                <w:sz w:val="24"/>
                <w:szCs w:val="24"/>
                <w:highlight w:val="none"/>
                <w:lang w:bidi="ar"/>
              </w:rPr>
              <w:t>件，经核查属实的。</w:t>
            </w:r>
          </w:p>
        </w:tc>
        <w:tc>
          <w:tcPr>
            <w:tcW w:w="1877" w:type="dxa"/>
            <w:noWrap w:val="0"/>
            <w:vAlign w:val="center"/>
          </w:tcPr>
          <w:p w14:paraId="12CB03EB">
            <w:pPr>
              <w:spacing w:line="320" w:lineRule="exact"/>
              <w:ind w:firstLine="28" w:firstLineChars="12"/>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1分/次</w:t>
            </w:r>
          </w:p>
        </w:tc>
      </w:tr>
      <w:tr w14:paraId="7A455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390DADCC">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01890D8B">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29</w:t>
            </w:r>
          </w:p>
        </w:tc>
        <w:tc>
          <w:tcPr>
            <w:tcW w:w="9825" w:type="dxa"/>
            <w:noWrap w:val="0"/>
            <w:vAlign w:val="center"/>
          </w:tcPr>
          <w:p w14:paraId="3A8272BF">
            <w:pPr>
              <w:spacing w:line="320" w:lineRule="exact"/>
              <w:jc w:val="left"/>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bidi="ar"/>
              </w:rPr>
              <w:t>各类投诉舆情</w:t>
            </w:r>
            <w:r>
              <w:rPr>
                <w:rFonts w:hint="eastAsia" w:ascii="宋体" w:hAnsi="宋体" w:eastAsia="宋体" w:cs="宋体"/>
                <w:bCs/>
                <w:color w:val="auto"/>
                <w:sz w:val="24"/>
                <w:szCs w:val="24"/>
                <w:highlight w:val="none"/>
                <w:lang w:eastAsia="zh-CN" w:bidi="ar"/>
              </w:rPr>
              <w:t>事</w:t>
            </w:r>
            <w:r>
              <w:rPr>
                <w:rFonts w:hint="eastAsia" w:ascii="宋体" w:hAnsi="宋体" w:eastAsia="宋体" w:cs="宋体"/>
                <w:bCs/>
                <w:color w:val="auto"/>
                <w:sz w:val="24"/>
                <w:szCs w:val="24"/>
                <w:highlight w:val="none"/>
                <w:lang w:bidi="ar"/>
              </w:rPr>
              <w:t>件</w:t>
            </w:r>
            <w:r>
              <w:rPr>
                <w:rFonts w:hint="eastAsia" w:ascii="宋体" w:hAnsi="宋体" w:eastAsia="宋体" w:cs="宋体"/>
                <w:bCs/>
                <w:color w:val="auto"/>
                <w:sz w:val="24"/>
                <w:szCs w:val="24"/>
                <w:highlight w:val="none"/>
                <w:lang w:eastAsia="zh-CN" w:bidi="ar"/>
              </w:rPr>
              <w:t>，</w:t>
            </w:r>
            <w:r>
              <w:rPr>
                <w:rFonts w:hint="eastAsia" w:ascii="宋体" w:hAnsi="宋体" w:eastAsia="宋体" w:cs="宋体"/>
                <w:bCs/>
                <w:color w:val="auto"/>
                <w:sz w:val="24"/>
                <w:szCs w:val="24"/>
                <w:highlight w:val="none"/>
                <w:lang w:bidi="ar"/>
              </w:rPr>
              <w:t>在规定时限内整治不到位的；未按规定要求处置的；或未按规定时限办结回复的。</w:t>
            </w:r>
          </w:p>
        </w:tc>
        <w:tc>
          <w:tcPr>
            <w:tcW w:w="1877" w:type="dxa"/>
            <w:noWrap w:val="0"/>
            <w:vAlign w:val="center"/>
          </w:tcPr>
          <w:p w14:paraId="4871E407">
            <w:pPr>
              <w:spacing w:line="320" w:lineRule="exact"/>
              <w:ind w:firstLine="28" w:firstLineChars="12"/>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1分/项·次</w:t>
            </w:r>
          </w:p>
        </w:tc>
      </w:tr>
      <w:tr w14:paraId="07B2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45AD81BD">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4FC93DC1">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30</w:t>
            </w:r>
          </w:p>
        </w:tc>
        <w:tc>
          <w:tcPr>
            <w:tcW w:w="9825" w:type="dxa"/>
            <w:noWrap w:val="0"/>
            <w:vAlign w:val="center"/>
          </w:tcPr>
          <w:p w14:paraId="1B978769">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各类投诉舆情</w:t>
            </w:r>
            <w:r>
              <w:rPr>
                <w:rFonts w:hint="eastAsia" w:ascii="宋体" w:hAnsi="宋体" w:eastAsia="宋体" w:cs="宋体"/>
                <w:bCs/>
                <w:color w:val="auto"/>
                <w:sz w:val="24"/>
                <w:szCs w:val="24"/>
                <w:highlight w:val="none"/>
                <w:lang w:eastAsia="zh-CN" w:bidi="ar"/>
              </w:rPr>
              <w:t>事</w:t>
            </w:r>
            <w:r>
              <w:rPr>
                <w:rFonts w:hint="eastAsia" w:ascii="宋体" w:hAnsi="宋体" w:eastAsia="宋体" w:cs="宋体"/>
                <w:bCs/>
                <w:color w:val="auto"/>
                <w:sz w:val="24"/>
                <w:szCs w:val="24"/>
                <w:highlight w:val="none"/>
                <w:lang w:bidi="ar"/>
              </w:rPr>
              <w:t>件在处置完后未提供前后对比图片及文字说明的。</w:t>
            </w:r>
          </w:p>
        </w:tc>
        <w:tc>
          <w:tcPr>
            <w:tcW w:w="1877" w:type="dxa"/>
            <w:noWrap w:val="0"/>
            <w:vAlign w:val="center"/>
          </w:tcPr>
          <w:p w14:paraId="2D74DB82">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1分/次</w:t>
            </w:r>
          </w:p>
        </w:tc>
      </w:tr>
      <w:tr w14:paraId="1C39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699E17E8">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3E781998">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31</w:t>
            </w:r>
          </w:p>
        </w:tc>
        <w:tc>
          <w:tcPr>
            <w:tcW w:w="9825" w:type="dxa"/>
            <w:noWrap w:val="0"/>
            <w:vAlign w:val="center"/>
          </w:tcPr>
          <w:p w14:paraId="23B41495">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虚假结案，导致重复投诉的案件。</w:t>
            </w:r>
          </w:p>
        </w:tc>
        <w:tc>
          <w:tcPr>
            <w:tcW w:w="1877" w:type="dxa"/>
            <w:noWrap w:val="0"/>
            <w:vAlign w:val="center"/>
          </w:tcPr>
          <w:p w14:paraId="03C64658">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1分/次</w:t>
            </w:r>
          </w:p>
        </w:tc>
      </w:tr>
      <w:tr w14:paraId="7B5C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1033C5D1">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6570EB7D">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32</w:t>
            </w:r>
          </w:p>
        </w:tc>
        <w:tc>
          <w:tcPr>
            <w:tcW w:w="9825" w:type="dxa"/>
            <w:noWrap w:val="0"/>
            <w:vAlign w:val="center"/>
          </w:tcPr>
          <w:p w14:paraId="0A9AEF5B">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舆情</w:t>
            </w:r>
            <w:r>
              <w:rPr>
                <w:rFonts w:hint="eastAsia" w:ascii="宋体" w:hAnsi="宋体" w:eastAsia="宋体" w:cs="宋体"/>
                <w:bCs/>
                <w:color w:val="auto"/>
                <w:sz w:val="24"/>
                <w:szCs w:val="24"/>
                <w:highlight w:val="none"/>
                <w:lang w:eastAsia="zh-CN" w:bidi="ar"/>
              </w:rPr>
              <w:t>事</w:t>
            </w:r>
            <w:r>
              <w:rPr>
                <w:rFonts w:hint="eastAsia" w:ascii="宋体" w:hAnsi="宋体" w:eastAsia="宋体" w:cs="宋体"/>
                <w:bCs/>
                <w:color w:val="auto"/>
                <w:sz w:val="24"/>
                <w:szCs w:val="24"/>
                <w:highlight w:val="none"/>
                <w:lang w:bidi="ar"/>
              </w:rPr>
              <w:t>件无正当理由不受理、不处置、相互推诿的。</w:t>
            </w:r>
          </w:p>
        </w:tc>
        <w:tc>
          <w:tcPr>
            <w:tcW w:w="1877" w:type="dxa"/>
            <w:noWrap w:val="0"/>
            <w:vAlign w:val="center"/>
          </w:tcPr>
          <w:p w14:paraId="6DE25344">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2分/次</w:t>
            </w:r>
          </w:p>
        </w:tc>
      </w:tr>
      <w:tr w14:paraId="4D34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41375019">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11573068">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33</w:t>
            </w:r>
          </w:p>
        </w:tc>
        <w:tc>
          <w:tcPr>
            <w:tcW w:w="9825" w:type="dxa"/>
            <w:noWrap w:val="0"/>
            <w:vAlign w:val="center"/>
          </w:tcPr>
          <w:p w14:paraId="45BFF41F">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被</w:t>
            </w:r>
            <w:r>
              <w:rPr>
                <w:rFonts w:hint="eastAsia" w:ascii="宋体" w:hAnsi="宋体" w:eastAsia="宋体" w:cs="宋体"/>
                <w:bCs/>
                <w:color w:val="auto"/>
                <w:sz w:val="24"/>
                <w:szCs w:val="24"/>
                <w:highlight w:val="none"/>
                <w:lang w:eastAsia="zh-CN" w:bidi="ar"/>
              </w:rPr>
              <w:t>市级相关部门及</w:t>
            </w:r>
            <w:r>
              <w:rPr>
                <w:rFonts w:hint="eastAsia" w:ascii="宋体" w:hAnsi="宋体" w:eastAsia="宋体" w:cs="宋体"/>
                <w:bCs/>
                <w:color w:val="auto"/>
                <w:sz w:val="24"/>
                <w:szCs w:val="24"/>
                <w:highlight w:val="none"/>
                <w:lang w:bidi="ar"/>
              </w:rPr>
              <w:t>领导点名批评的</w:t>
            </w:r>
          </w:p>
        </w:tc>
        <w:tc>
          <w:tcPr>
            <w:tcW w:w="1877" w:type="dxa"/>
            <w:noWrap w:val="0"/>
            <w:vAlign w:val="center"/>
          </w:tcPr>
          <w:p w14:paraId="5DF9F629">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2分/次</w:t>
            </w:r>
          </w:p>
        </w:tc>
      </w:tr>
      <w:tr w14:paraId="6CA8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3044A8AE">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648415AA">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34</w:t>
            </w:r>
          </w:p>
        </w:tc>
        <w:tc>
          <w:tcPr>
            <w:tcW w:w="9825" w:type="dxa"/>
            <w:noWrap w:val="0"/>
            <w:vAlign w:val="center"/>
          </w:tcPr>
          <w:p w14:paraId="74C7B365">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被各类网络自媒体负面曝光，经核查属实的。</w:t>
            </w:r>
          </w:p>
        </w:tc>
        <w:tc>
          <w:tcPr>
            <w:tcW w:w="1877" w:type="dxa"/>
            <w:noWrap w:val="0"/>
            <w:vAlign w:val="center"/>
          </w:tcPr>
          <w:p w14:paraId="4829BDA0">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3分/次</w:t>
            </w:r>
          </w:p>
        </w:tc>
      </w:tr>
      <w:tr w14:paraId="1D62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2389D8BD">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582F8EA5">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35</w:t>
            </w:r>
          </w:p>
        </w:tc>
        <w:tc>
          <w:tcPr>
            <w:tcW w:w="9825" w:type="dxa"/>
            <w:noWrap w:val="0"/>
            <w:vAlign w:val="center"/>
          </w:tcPr>
          <w:p w14:paraId="0F03301D">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eastAsia="zh-CN" w:bidi="ar"/>
              </w:rPr>
              <w:t>标段内员工上访、罢工的。</w:t>
            </w:r>
          </w:p>
        </w:tc>
        <w:tc>
          <w:tcPr>
            <w:tcW w:w="1877" w:type="dxa"/>
            <w:noWrap w:val="0"/>
            <w:vAlign w:val="center"/>
          </w:tcPr>
          <w:p w14:paraId="65216B2B">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3分/人·次</w:t>
            </w:r>
          </w:p>
        </w:tc>
      </w:tr>
      <w:tr w14:paraId="1961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962" w:type="dxa"/>
            <w:vMerge w:val="continue"/>
            <w:noWrap w:val="0"/>
            <w:vAlign w:val="center"/>
          </w:tcPr>
          <w:p w14:paraId="28AA3A61">
            <w:pPr>
              <w:spacing w:line="320" w:lineRule="exact"/>
              <w:jc w:val="center"/>
              <w:rPr>
                <w:rFonts w:hint="eastAsia" w:ascii="宋体" w:hAnsi="宋体" w:eastAsia="宋体" w:cs="宋体"/>
                <w:bCs/>
                <w:color w:val="auto"/>
                <w:sz w:val="24"/>
                <w:szCs w:val="24"/>
                <w:highlight w:val="none"/>
                <w:lang w:bidi="ar"/>
              </w:rPr>
            </w:pPr>
          </w:p>
        </w:tc>
        <w:tc>
          <w:tcPr>
            <w:tcW w:w="1210" w:type="dxa"/>
            <w:noWrap w:val="0"/>
            <w:vAlign w:val="center"/>
          </w:tcPr>
          <w:p w14:paraId="700A981B">
            <w:pPr>
              <w:spacing w:line="320" w:lineRule="exact"/>
              <w:jc w:val="center"/>
              <w:rPr>
                <w:rFonts w:hint="eastAsia" w:ascii="宋体" w:hAnsi="宋体" w:eastAsia="宋体" w:cs="宋体"/>
                <w:bCs/>
                <w:color w:val="auto"/>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36</w:t>
            </w:r>
          </w:p>
        </w:tc>
        <w:tc>
          <w:tcPr>
            <w:tcW w:w="9825" w:type="dxa"/>
            <w:noWrap w:val="0"/>
            <w:vAlign w:val="center"/>
          </w:tcPr>
          <w:p w14:paraId="6CD222F6">
            <w:pPr>
              <w:spacing w:line="320" w:lineRule="exact"/>
              <w:jc w:val="left"/>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bidi="ar"/>
              </w:rPr>
              <w:t>发生安全生产责任事故未及时上报或瞒</w:t>
            </w:r>
            <w:r>
              <w:rPr>
                <w:rFonts w:hint="eastAsia" w:ascii="宋体" w:hAnsi="宋体" w:eastAsia="宋体" w:cs="宋体"/>
                <w:bCs/>
                <w:color w:val="auto"/>
                <w:sz w:val="24"/>
                <w:szCs w:val="24"/>
                <w:highlight w:val="none"/>
                <w:lang w:eastAsia="zh-CN" w:bidi="ar"/>
              </w:rPr>
              <w:t>的。</w:t>
            </w:r>
          </w:p>
        </w:tc>
        <w:tc>
          <w:tcPr>
            <w:tcW w:w="1877" w:type="dxa"/>
            <w:noWrap w:val="0"/>
            <w:vAlign w:val="center"/>
          </w:tcPr>
          <w:p w14:paraId="1BE9F8AB">
            <w:pPr>
              <w:spacing w:line="320" w:lineRule="exact"/>
              <w:ind w:firstLine="28" w:firstLineChars="12"/>
              <w:jc w:val="center"/>
              <w:rPr>
                <w:rFonts w:hint="eastAsia" w:ascii="宋体" w:hAnsi="宋体" w:eastAsia="宋体" w:cs="宋体"/>
                <w:bCs/>
                <w:color w:val="auto"/>
                <w:kern w:val="2"/>
                <w:sz w:val="24"/>
                <w:szCs w:val="24"/>
                <w:highlight w:val="none"/>
                <w:lang w:val="en-US" w:eastAsia="zh-CN" w:bidi="ar"/>
              </w:rPr>
            </w:pPr>
            <w:r>
              <w:rPr>
                <w:rFonts w:hint="eastAsia" w:ascii="宋体" w:hAnsi="宋体" w:eastAsia="宋体" w:cs="宋体"/>
                <w:bCs/>
                <w:color w:val="auto"/>
                <w:sz w:val="24"/>
                <w:szCs w:val="24"/>
                <w:highlight w:val="none"/>
                <w:lang w:val="en-US" w:eastAsia="zh-CN" w:bidi="ar"/>
              </w:rPr>
              <w:t>3分/人·次</w:t>
            </w:r>
          </w:p>
        </w:tc>
      </w:tr>
    </w:tbl>
    <w:p w14:paraId="2B1A5644">
      <w:pPr>
        <w:pStyle w:val="2"/>
        <w:rPr>
          <w:rFonts w:hint="eastAsia" w:ascii="宋体" w:hAnsi="宋体" w:eastAsia="宋体" w:cs="宋体"/>
          <w:sz w:val="24"/>
          <w:szCs w:val="24"/>
        </w:rPr>
        <w:sectPr>
          <w:pgSz w:w="16838" w:h="11905" w:orient="landscape"/>
          <w:pgMar w:top="1361" w:right="1440" w:bottom="1361" w:left="1440" w:header="851" w:footer="992"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szCs w:val="24"/>
          <w:highlight w:val="none"/>
          <w:lang w:eastAsia="zh-CN"/>
        </w:rPr>
        <w:t>由九龙坡区城市管理局组织（委托）按月对中选废弃食用油脂收运企业进行考核评价，总分为</w:t>
      </w:r>
      <w:r>
        <w:rPr>
          <w:rFonts w:hint="eastAsia" w:ascii="宋体" w:hAnsi="宋体" w:eastAsia="宋体" w:cs="宋体"/>
          <w:color w:val="auto"/>
          <w:sz w:val="24"/>
          <w:szCs w:val="24"/>
          <w:highlight w:val="none"/>
          <w:lang w:val="en-US" w:eastAsia="zh-CN"/>
        </w:rPr>
        <w:t>100分，一个年度内月度评价连续二次、累计三次不足80分的，启动退出机制。</w:t>
      </w:r>
    </w:p>
    <w:p w14:paraId="49418F84">
      <w:pPr>
        <w:pStyle w:val="4"/>
        <w:spacing w:before="0" w:beforeLines="0" w:after="0" w:afterLines="0" w:line="360" w:lineRule="auto"/>
        <w:rPr>
          <w:rFonts w:hint="eastAsia" w:ascii="宋体" w:hAnsi="宋体" w:eastAsia="宋体" w:cs="Times New Roman"/>
          <w:b/>
          <w:color w:val="000000"/>
          <w:lang w:eastAsia="zh-CN"/>
        </w:rPr>
      </w:pPr>
      <w:bookmarkStart w:id="34" w:name="_Toc21504"/>
      <w:bookmarkStart w:id="35" w:name="_Toc13841"/>
      <w:r>
        <w:rPr>
          <w:rFonts w:hint="eastAsia" w:ascii="宋体" w:hAnsi="宋体" w:eastAsia="宋体"/>
          <w:b/>
          <w:color w:val="000000"/>
        </w:rPr>
        <w:t>第</w:t>
      </w:r>
      <w:r>
        <w:rPr>
          <w:rFonts w:hint="eastAsia" w:ascii="宋体" w:hAnsi="宋体" w:eastAsia="宋体" w:cs="Times New Roman"/>
          <w:b/>
          <w:color w:val="000000"/>
        </w:rPr>
        <w:t xml:space="preserve">三篇 </w:t>
      </w:r>
      <w:bookmarkEnd w:id="34"/>
      <w:r>
        <w:rPr>
          <w:rFonts w:hint="eastAsia" w:ascii="宋体" w:hAnsi="宋体" w:eastAsia="宋体" w:cs="Times New Roman"/>
          <w:b/>
          <w:color w:val="000000"/>
          <w:lang w:eastAsia="zh-CN"/>
        </w:rPr>
        <w:t>服务需求</w:t>
      </w:r>
      <w:bookmarkEnd w:id="35"/>
    </w:p>
    <w:p w14:paraId="38902B8B">
      <w:pPr>
        <w:shd w:val="clear" w:color="auto" w:fill="FFFFFF"/>
        <w:spacing w:line="400" w:lineRule="exact"/>
        <w:ind w:firstLine="482" w:firstLineChars="200"/>
        <w:rPr>
          <w:rFonts w:hint="eastAsia" w:ascii="宋体" w:hAnsi="宋体" w:eastAsia="宋体" w:cs="Times New Roman"/>
          <w:b/>
          <w:color w:val="000000"/>
          <w:sz w:val="24"/>
          <w:szCs w:val="24"/>
          <w:lang w:eastAsia="zh-CN"/>
        </w:rPr>
      </w:pPr>
      <w:r>
        <w:rPr>
          <w:rFonts w:hint="eastAsia" w:ascii="宋体" w:hAnsi="宋体" w:eastAsia="宋体" w:cs="Times New Roman"/>
          <w:b/>
          <w:color w:val="000000"/>
          <w:sz w:val="24"/>
          <w:szCs w:val="24"/>
          <w:lang w:eastAsia="zh-CN"/>
        </w:rPr>
        <w:t>一、废弃食用油脂收运车辆标识和收运人员着装说明</w:t>
      </w:r>
    </w:p>
    <w:p w14:paraId="1BF8BFC9">
      <w:pPr>
        <w:pStyle w:val="2"/>
        <w:spacing w:before="268" w:line="183" w:lineRule="auto"/>
        <w:ind w:right="210"/>
        <w:rPr>
          <w:rFonts w:hint="eastAsia" w:ascii="宋体" w:hAnsi="宋体" w:eastAsia="宋体" w:cs="宋体"/>
          <w:sz w:val="24"/>
          <w:szCs w:val="24"/>
          <w:highlight w:val="none"/>
        </w:rPr>
      </w:pPr>
      <w:r>
        <w:rPr>
          <w:rFonts w:hint="eastAsia" w:ascii="宋体" w:hAnsi="宋体" w:eastAsia="宋体" w:cs="宋体"/>
          <w:b/>
          <w:bCs/>
          <w:color w:val="00A54F"/>
          <w:spacing w:val="-1"/>
          <w:sz w:val="24"/>
          <w:szCs w:val="24"/>
          <w:highlight w:val="none"/>
        </w:rPr>
        <w:t>使用说明</w:t>
      </w:r>
      <w:r>
        <w:rPr>
          <w:rFonts w:hint="eastAsia" w:ascii="宋体" w:hAnsi="宋体" w:eastAsia="宋体" w:cs="宋体"/>
          <w:sz w:val="24"/>
          <w:szCs w:val="24"/>
          <w:highlight w:val="none"/>
        </w:rPr>
        <w:drawing>
          <wp:inline distT="0" distB="0" distL="114300" distR="114300">
            <wp:extent cx="198755" cy="107950"/>
            <wp:effectExtent l="0" t="0" r="14605" b="13970"/>
            <wp:docPr id="2" name="图片 54"/>
            <wp:cNvGraphicFramePr/>
            <a:graphic xmlns:a="http://schemas.openxmlformats.org/drawingml/2006/main">
              <a:graphicData uri="http://schemas.openxmlformats.org/drawingml/2006/picture">
                <pic:pic xmlns:pic="http://schemas.openxmlformats.org/drawingml/2006/picture">
                  <pic:nvPicPr>
                    <pic:cNvPr id="2" name="图片 54"/>
                    <pic:cNvPicPr/>
                  </pic:nvPicPr>
                  <pic:blipFill>
                    <a:blip r:embed="rId14"/>
                    <a:stretch>
                      <a:fillRect/>
                    </a:stretch>
                  </pic:blipFill>
                  <pic:spPr>
                    <a:xfrm>
                      <a:off x="0" y="0"/>
                      <a:ext cx="198755" cy="107950"/>
                    </a:xfrm>
                    <a:prstGeom prst="rect">
                      <a:avLst/>
                    </a:prstGeom>
                    <a:noFill/>
                    <a:ln>
                      <a:noFill/>
                    </a:ln>
                  </pic:spPr>
                </pic:pic>
              </a:graphicData>
            </a:graphic>
          </wp:inline>
        </w:drawing>
      </w:r>
    </w:p>
    <w:p w14:paraId="13B03651">
      <w:pPr>
        <w:shd w:val="clear" w:color="auto" w:fill="FFFFFF"/>
        <w:spacing w:line="400" w:lineRule="exact"/>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eastAsia="zh-CN"/>
        </w:rPr>
        <w:t>● 涂装区域位于车厢部分，灰色与绿色涂装比例为0.92:1，绿色涂装区域与车厢底部夹角为64度。涂装所使用的颜色需严格按照指定色值进行使用，图标及文字内容大小，根据不同车型，尺寸区间值为——厨余垃圾LOGO图形及中英文：高231mm长640mm~高3</w:t>
      </w:r>
      <w:r>
        <w:rPr>
          <w:rFonts w:hint="eastAsia" w:ascii="宋体" w:hAnsi="宋体" w:cs="Times New Roman"/>
          <w:color w:val="000000"/>
          <w:sz w:val="24"/>
          <w:szCs w:val="24"/>
          <w:lang w:eastAsia="zh-CN"/>
        </w:rPr>
        <w:t>65</w:t>
      </w:r>
      <w:r>
        <w:rPr>
          <w:rFonts w:hint="eastAsia" w:ascii="宋体" w:hAnsi="宋体" w:eastAsia="宋体" w:cs="Times New Roman"/>
          <w:color w:val="000000"/>
          <w:sz w:val="24"/>
          <w:szCs w:val="24"/>
          <w:lang w:eastAsia="zh-CN"/>
        </w:rPr>
        <w:t>长1062mm，“重庆市废弃食用油脂专用收运车”文字：高118mm长1410mm~高195mm长2340mm。整体涂装LOGO及文字需在指定区域，醒目清晰。（涂装相应颜色色值已在下方收运车辆涂装示意图旁标注，涂装中，所使用到的白色色值均为C:0M:0Y:0K:0。）</w:t>
      </w:r>
    </w:p>
    <w:p w14:paraId="4745DE1F">
      <w:pPr>
        <w:shd w:val="clear" w:color="auto" w:fill="FFFFFF"/>
        <w:spacing w:line="400" w:lineRule="exact"/>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lang w:eastAsia="zh-CN"/>
        </w:rPr>
        <w:t>收运车辆涂装示意图</w:t>
      </w:r>
    </w:p>
    <w:p w14:paraId="339B52BF">
      <w:pPr>
        <w:spacing w:before="24" w:line="170" w:lineRule="exact"/>
        <w:ind w:firstLine="640"/>
        <w:rPr>
          <w:highlight w:val="none"/>
        </w:rPr>
      </w:pPr>
      <w:r>
        <w:rPr>
          <w:position w:val="-3"/>
          <w:highlight w:val="none"/>
        </w:rPr>
        <w:drawing>
          <wp:inline distT="0" distB="0" distL="114300" distR="114300">
            <wp:extent cx="198755" cy="107950"/>
            <wp:effectExtent l="0" t="0" r="14605" b="13970"/>
            <wp:docPr id="3" name="图片 55"/>
            <wp:cNvGraphicFramePr/>
            <a:graphic xmlns:a="http://schemas.openxmlformats.org/drawingml/2006/main">
              <a:graphicData uri="http://schemas.openxmlformats.org/drawingml/2006/picture">
                <pic:pic xmlns:pic="http://schemas.openxmlformats.org/drawingml/2006/picture">
                  <pic:nvPicPr>
                    <pic:cNvPr id="3" name="图片 55"/>
                    <pic:cNvPicPr/>
                  </pic:nvPicPr>
                  <pic:blipFill>
                    <a:blip r:embed="rId15"/>
                    <a:stretch>
                      <a:fillRect/>
                    </a:stretch>
                  </pic:blipFill>
                  <pic:spPr>
                    <a:xfrm>
                      <a:off x="0" y="0"/>
                      <a:ext cx="198755" cy="107950"/>
                    </a:xfrm>
                    <a:prstGeom prst="rect">
                      <a:avLst/>
                    </a:prstGeom>
                    <a:noFill/>
                    <a:ln>
                      <a:noFill/>
                    </a:ln>
                  </pic:spPr>
                </pic:pic>
              </a:graphicData>
            </a:graphic>
          </wp:inline>
        </w:drawing>
      </w:r>
    </w:p>
    <w:p w14:paraId="23C8CE84">
      <w:pPr>
        <w:spacing w:before="192" w:line="3693" w:lineRule="exact"/>
        <w:ind w:firstLine="640"/>
        <w:rPr>
          <w:highlight w:val="none"/>
        </w:rPr>
      </w:pPr>
      <w:r>
        <w:rPr>
          <w:position w:val="-73"/>
          <w:highlight w:val="none"/>
        </w:rPr>
        <w:drawing>
          <wp:inline distT="0" distB="0" distL="114300" distR="114300">
            <wp:extent cx="4932680" cy="2344420"/>
            <wp:effectExtent l="0" t="0" r="5080" b="2540"/>
            <wp:docPr id="4" name="图片 56"/>
            <wp:cNvGraphicFramePr/>
            <a:graphic xmlns:a="http://schemas.openxmlformats.org/drawingml/2006/main">
              <a:graphicData uri="http://schemas.openxmlformats.org/drawingml/2006/picture">
                <pic:pic xmlns:pic="http://schemas.openxmlformats.org/drawingml/2006/picture">
                  <pic:nvPicPr>
                    <pic:cNvPr id="4" name="图片 56"/>
                    <pic:cNvPicPr/>
                  </pic:nvPicPr>
                  <pic:blipFill>
                    <a:blip r:embed="rId16"/>
                    <a:stretch>
                      <a:fillRect/>
                    </a:stretch>
                  </pic:blipFill>
                  <pic:spPr>
                    <a:xfrm>
                      <a:off x="0" y="0"/>
                      <a:ext cx="4932680" cy="2344420"/>
                    </a:xfrm>
                    <a:prstGeom prst="rect">
                      <a:avLst/>
                    </a:prstGeom>
                    <a:noFill/>
                    <a:ln>
                      <a:noFill/>
                    </a:ln>
                  </pic:spPr>
                </pic:pic>
              </a:graphicData>
            </a:graphic>
          </wp:inline>
        </w:drawing>
      </w:r>
    </w:p>
    <w:p w14:paraId="1F27F757">
      <w:pPr>
        <w:spacing w:before="26"/>
        <w:ind w:firstLine="600"/>
        <w:rPr>
          <w:highlight w:val="none"/>
        </w:rPr>
      </w:pPr>
    </w:p>
    <w:p w14:paraId="21EBE68C">
      <w:pPr>
        <w:pStyle w:val="2"/>
        <w:spacing w:before="162" w:line="206" w:lineRule="auto"/>
        <w:ind w:left="210" w:right="210" w:firstLine="478"/>
        <w:rPr>
          <w:rFonts w:hint="eastAsia" w:ascii="宋体" w:hAnsi="宋体" w:eastAsia="宋体" w:cs="宋体"/>
          <w:position w:val="-7"/>
          <w:sz w:val="24"/>
          <w:szCs w:val="24"/>
          <w:highlight w:val="none"/>
        </w:rPr>
      </w:pPr>
      <w:r>
        <w:rPr>
          <w:rFonts w:hint="eastAsia" w:ascii="宋体" w:hAnsi="宋体" w:eastAsia="宋体" w:cs="宋体"/>
          <w:b/>
          <w:bCs/>
          <w:color w:val="00A54F"/>
          <w:spacing w:val="-1"/>
          <w:sz w:val="24"/>
          <w:szCs w:val="24"/>
          <w:highlight w:val="none"/>
        </w:rPr>
        <w:t>涂装色值</w:t>
      </w:r>
      <w:r>
        <w:rPr>
          <w:rFonts w:hint="eastAsia" w:ascii="宋体" w:hAnsi="宋体" w:eastAsia="宋体" w:cs="宋体"/>
          <w:position w:val="-7"/>
          <w:sz w:val="24"/>
          <w:szCs w:val="24"/>
          <w:highlight w:val="none"/>
        </w:rPr>
        <w:drawing>
          <wp:inline distT="0" distB="0" distL="114300" distR="114300">
            <wp:extent cx="107950" cy="198755"/>
            <wp:effectExtent l="0" t="0" r="13970" b="14605"/>
            <wp:docPr id="5" name="图片 57"/>
            <wp:cNvGraphicFramePr/>
            <a:graphic xmlns:a="http://schemas.openxmlformats.org/drawingml/2006/main">
              <a:graphicData uri="http://schemas.openxmlformats.org/drawingml/2006/picture">
                <pic:pic xmlns:pic="http://schemas.openxmlformats.org/drawingml/2006/picture">
                  <pic:nvPicPr>
                    <pic:cNvPr id="5" name="图片 57"/>
                    <pic:cNvPicPr/>
                  </pic:nvPicPr>
                  <pic:blipFill>
                    <a:blip r:embed="rId17"/>
                    <a:stretch>
                      <a:fillRect/>
                    </a:stretch>
                  </pic:blipFill>
                  <pic:spPr>
                    <a:xfrm>
                      <a:off x="0" y="0"/>
                      <a:ext cx="107950" cy="198755"/>
                    </a:xfrm>
                    <a:prstGeom prst="rect">
                      <a:avLst/>
                    </a:prstGeom>
                    <a:noFill/>
                    <a:ln>
                      <a:noFill/>
                    </a:ln>
                  </pic:spPr>
                </pic:pic>
              </a:graphicData>
            </a:graphic>
          </wp:inline>
        </w:drawing>
      </w:r>
    </w:p>
    <w:p w14:paraId="1A975268">
      <w:pPr>
        <w:spacing w:line="14" w:lineRule="auto"/>
        <w:rPr>
          <w:rFonts w:ascii="Arial"/>
          <w:sz w:val="2"/>
          <w:highlight w:val="none"/>
        </w:rPr>
      </w:pPr>
    </w:p>
    <w:p w14:paraId="24823E19">
      <w:pPr>
        <w:spacing w:line="281" w:lineRule="auto"/>
        <w:ind w:firstLine="640"/>
        <w:rPr>
          <w:rFonts w:ascii="Arial"/>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201295</wp:posOffset>
                </wp:positionH>
                <wp:positionV relativeFrom="paragraph">
                  <wp:posOffset>120650</wp:posOffset>
                </wp:positionV>
                <wp:extent cx="843280" cy="316230"/>
                <wp:effectExtent l="0" t="0" r="10160" b="3810"/>
                <wp:wrapNone/>
                <wp:docPr id="11" name="矩形 11"/>
                <wp:cNvGraphicFramePr/>
                <a:graphic xmlns:a="http://schemas.openxmlformats.org/drawingml/2006/main">
                  <a:graphicData uri="http://schemas.microsoft.com/office/word/2010/wordprocessingShape">
                    <wps:wsp>
                      <wps:cNvSpPr/>
                      <wps:spPr>
                        <a:xfrm>
                          <a:off x="0" y="0"/>
                          <a:ext cx="843280" cy="316230"/>
                        </a:xfrm>
                        <a:prstGeom prst="rect">
                          <a:avLst/>
                        </a:prstGeom>
                        <a:solidFill>
                          <a:srgbClr val="00A54F"/>
                        </a:solidFill>
                        <a:ln>
                          <a:noFill/>
                        </a:ln>
                        <a:effectLst/>
                      </wps:spPr>
                      <wps:bodyPr vert="horz" wrap="square" anchor="t" anchorCtr="0" upright="1"/>
                    </wps:wsp>
                  </a:graphicData>
                </a:graphic>
              </wp:anchor>
            </w:drawing>
          </mc:Choice>
          <mc:Fallback>
            <w:pict>
              <v:rect id="_x0000_s1026" o:spid="_x0000_s1026" o:spt="1" style="position:absolute;left:0pt;margin-left:15.85pt;margin-top:9.5pt;height:24.9pt;width:66.4pt;z-index:251663360;mso-width-relative:page;mso-height-relative:page;" fillcolor="#00A54F" filled="t" stroked="f" coordsize="21600,21600" o:gfxdata="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kzqej9UAAAAIAQAADwAAAAAAAAABACAA&#10;AAAiAAAAZHJzL2Rvd25yZXYueG1sUEsBAhQAFAAAAAgAh07iQHBYHnnXAQAAoQMAAA4AAAAAAAAA&#10;AQAgAAAAJAEAAGRycy9lMm9Eb2MueG1sUEsFBgAAAAAGAAYAWQEAAG0FAAAAAA==&#10;">
                <v:fill on="t" focussize="0,0"/>
                <v:stroke on="f"/>
                <v:imagedata o:title=""/>
                <o:lock v:ext="edit" aspectratio="f"/>
              </v:rect>
            </w:pict>
          </mc:Fallback>
        </mc:AlternateContent>
      </w:r>
    </w:p>
    <w:p w14:paraId="1B102C5E">
      <w:pPr>
        <w:spacing w:line="282" w:lineRule="auto"/>
        <w:ind w:firstLine="600"/>
        <w:rPr>
          <w:rFonts w:ascii="Arial"/>
          <w:highlight w:val="none"/>
        </w:rPr>
      </w:pPr>
    </w:p>
    <w:p w14:paraId="7D7B0547">
      <w:pPr>
        <w:pStyle w:val="2"/>
        <w:spacing w:before="47" w:line="109" w:lineRule="exact"/>
        <w:ind w:left="210" w:right="210" w:firstLine="212"/>
        <w:rPr>
          <w:color w:val="2D2D2E"/>
          <w:spacing w:val="-2"/>
          <w:sz w:val="11"/>
          <w:szCs w:val="11"/>
          <w:highlight w:val="none"/>
        </w:rPr>
      </w:pPr>
    </w:p>
    <w:p w14:paraId="5EF26C93">
      <w:pPr>
        <w:pStyle w:val="2"/>
        <w:spacing w:before="47" w:line="109" w:lineRule="exact"/>
        <w:ind w:left="210" w:right="210" w:firstLine="106" w:firstLineChars="100"/>
        <w:rPr>
          <w:color w:val="2D2D2E"/>
          <w:spacing w:val="-2"/>
          <w:sz w:val="11"/>
          <w:szCs w:val="11"/>
          <w:highlight w:val="none"/>
        </w:rPr>
      </w:pPr>
      <w:r>
        <w:rPr>
          <w:color w:val="2D2D2E"/>
          <w:spacing w:val="-2"/>
          <w:sz w:val="11"/>
          <w:szCs w:val="11"/>
          <w:highlight w:val="none"/>
        </w:rPr>
        <w:t>（C:100M:0Y:100  K:0）</w:t>
      </w:r>
    </w:p>
    <w:p w14:paraId="2782C6A2">
      <w:pPr>
        <w:spacing w:line="14" w:lineRule="auto"/>
        <w:rPr>
          <w:rFonts w:ascii="Arial"/>
          <w:sz w:val="2"/>
          <w:highlight w:val="none"/>
        </w:rPr>
      </w:pPr>
    </w:p>
    <w:p w14:paraId="4DB29631">
      <w:pPr>
        <w:spacing w:line="281" w:lineRule="auto"/>
        <w:ind w:firstLine="640"/>
        <w:rPr>
          <w:rFonts w:ascii="Arial"/>
          <w:highlight w:val="none"/>
        </w:rPr>
      </w:pPr>
      <w:r>
        <w:rPr>
          <w:highlight w:val="none"/>
        </w:rPr>
        <mc:AlternateContent>
          <mc:Choice Requires="wps">
            <w:drawing>
              <wp:anchor distT="0" distB="0" distL="114300" distR="114300" simplePos="0" relativeHeight="251664384" behindDoc="0" locked="0" layoutInCell="1" allowOverlap="1">
                <wp:simplePos x="0" y="0"/>
                <wp:positionH relativeFrom="column">
                  <wp:posOffset>180975</wp:posOffset>
                </wp:positionH>
                <wp:positionV relativeFrom="paragraph">
                  <wp:posOffset>80010</wp:posOffset>
                </wp:positionV>
                <wp:extent cx="843280" cy="316230"/>
                <wp:effectExtent l="0" t="0" r="10160" b="3810"/>
                <wp:wrapNone/>
                <wp:docPr id="23" name="矩形 23"/>
                <wp:cNvGraphicFramePr/>
                <a:graphic xmlns:a="http://schemas.openxmlformats.org/drawingml/2006/main">
                  <a:graphicData uri="http://schemas.microsoft.com/office/word/2010/wordprocessingShape">
                    <wps:wsp>
                      <wps:cNvSpPr/>
                      <wps:spPr>
                        <a:xfrm>
                          <a:off x="0" y="0"/>
                          <a:ext cx="843280" cy="316230"/>
                        </a:xfrm>
                        <a:prstGeom prst="rect">
                          <a:avLst/>
                        </a:prstGeom>
                        <a:solidFill>
                          <a:srgbClr val="A8A9AD"/>
                        </a:solidFill>
                        <a:ln>
                          <a:noFill/>
                        </a:ln>
                        <a:effectLst/>
                      </wps:spPr>
                      <wps:bodyPr vert="horz" wrap="square" anchor="t" anchorCtr="0" upright="1"/>
                    </wps:wsp>
                  </a:graphicData>
                </a:graphic>
              </wp:anchor>
            </w:drawing>
          </mc:Choice>
          <mc:Fallback>
            <w:pict>
              <v:rect id="_x0000_s1026" o:spid="_x0000_s1026" o:spt="1" style="position:absolute;left:0pt;margin-left:14.25pt;margin-top:6.3pt;height:24.9pt;width:66.4pt;z-index:251664384;mso-width-relative:page;mso-height-relative:page;" fillcolor="#A8A9AD" filled="t" stroked="f" coordsize="21600,21600" o:gfxdata="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mGBg1QAAAAgBAAAPAAAAAAAAAAEA&#10;IAAAACIAAABkcnMvZG93bnJldi54bWxQSwECFAAUAAAACACHTuJAn13ZMdkBAAChAwAADgAAAAAA&#10;AAABACAAAAAkAQAAZHJzL2Uyb0RvYy54bWxQSwUGAAAAAAYABgBZAQAAbwUAAAAA&#10;">
                <v:fill on="t" focussize="0,0"/>
                <v:stroke on="f"/>
                <v:imagedata o:title=""/>
                <o:lock v:ext="edit" aspectratio="f"/>
              </v:rect>
            </w:pict>
          </mc:Fallback>
        </mc:AlternateContent>
      </w:r>
    </w:p>
    <w:p w14:paraId="1F3E0E8C">
      <w:pPr>
        <w:spacing w:line="282" w:lineRule="auto"/>
        <w:ind w:firstLine="600"/>
        <w:rPr>
          <w:rFonts w:ascii="Arial"/>
          <w:highlight w:val="none"/>
        </w:rPr>
      </w:pPr>
    </w:p>
    <w:p w14:paraId="64ECEE4B">
      <w:pPr>
        <w:pStyle w:val="2"/>
        <w:spacing w:before="48" w:line="108" w:lineRule="exact"/>
        <w:ind w:left="210" w:right="210" w:firstLine="204"/>
        <w:rPr>
          <w:color w:val="2D2D2E"/>
          <w:spacing w:val="-4"/>
          <w:sz w:val="11"/>
          <w:szCs w:val="11"/>
          <w:highlight w:val="none"/>
        </w:rPr>
      </w:pPr>
    </w:p>
    <w:p w14:paraId="36C4CF4B">
      <w:pPr>
        <w:pStyle w:val="2"/>
        <w:spacing w:before="48" w:line="108" w:lineRule="exact"/>
        <w:ind w:left="210" w:right="210" w:firstLine="204" w:firstLineChars="200"/>
        <w:rPr>
          <w:sz w:val="11"/>
          <w:szCs w:val="11"/>
          <w:highlight w:val="none"/>
        </w:rPr>
      </w:pPr>
      <w:r>
        <w:rPr>
          <w:color w:val="2D2D2E"/>
          <w:spacing w:val="-4"/>
          <w:sz w:val="11"/>
          <w:szCs w:val="11"/>
          <w:highlight w:val="none"/>
        </w:rPr>
        <w:t>（C:0M:0Y:0K:50）</w:t>
      </w:r>
    </w:p>
    <w:p w14:paraId="11C4BDD2">
      <w:pPr>
        <w:pStyle w:val="2"/>
        <w:spacing w:before="47" w:line="109" w:lineRule="exact"/>
        <w:ind w:left="210" w:right="210" w:firstLine="106" w:firstLineChars="100"/>
        <w:rPr>
          <w:color w:val="2D2D2E"/>
          <w:spacing w:val="-2"/>
          <w:sz w:val="11"/>
          <w:szCs w:val="11"/>
          <w:highlight w:val="none"/>
        </w:rPr>
      </w:pPr>
    </w:p>
    <w:p w14:paraId="599E1F3F">
      <w:pPr>
        <w:pStyle w:val="2"/>
        <w:spacing w:before="162" w:line="206" w:lineRule="auto"/>
        <w:ind w:left="210" w:right="210" w:firstLine="440"/>
        <w:rPr>
          <w:position w:val="-7"/>
          <w:sz w:val="24"/>
          <w:szCs w:val="24"/>
          <w:highlight w:val="none"/>
        </w:rPr>
      </w:pPr>
    </w:p>
    <w:p w14:paraId="22E32F5E">
      <w:pPr>
        <w:pStyle w:val="2"/>
        <w:spacing w:before="48" w:line="108" w:lineRule="exact"/>
        <w:ind w:left="210" w:right="210"/>
        <w:rPr>
          <w:highlight w:val="none"/>
        </w:rPr>
      </w:pPr>
      <w:r>
        <w:rPr>
          <w:position w:val="-8"/>
          <w:highlight w:val="none"/>
        </w:rPr>
        <mc:AlternateContent>
          <mc:Choice Requires="wps">
            <w:drawing>
              <wp:inline distT="0" distB="0" distL="114300" distR="114300">
                <wp:extent cx="4472940" cy="278765"/>
                <wp:effectExtent l="0" t="0" r="7620" b="10795"/>
                <wp:docPr id="13" name="文本框 13"/>
                <wp:cNvGraphicFramePr/>
                <a:graphic xmlns:a="http://schemas.openxmlformats.org/drawingml/2006/main">
                  <a:graphicData uri="http://schemas.microsoft.com/office/word/2010/wordprocessingShape">
                    <wps:wsp>
                      <wps:cNvSpPr txBox="1"/>
                      <wps:spPr>
                        <a:xfrm>
                          <a:off x="0" y="0"/>
                          <a:ext cx="4472940" cy="278765"/>
                        </a:xfrm>
                        <a:prstGeom prst="rect">
                          <a:avLst/>
                        </a:prstGeom>
                        <a:solidFill>
                          <a:srgbClr val="00A54F"/>
                        </a:solidFill>
                        <a:ln>
                          <a:noFill/>
                        </a:ln>
                        <a:effectLst/>
                      </wps:spPr>
                      <wps:txbx>
                        <w:txbxContent>
                          <w:p w14:paraId="753A05B2">
                            <w:pPr>
                              <w:spacing w:before="97" w:line="184" w:lineRule="auto"/>
                              <w:ind w:left="251"/>
                              <w:rPr>
                                <w:sz w:val="24"/>
                              </w:rPr>
                            </w:pPr>
                            <w:r>
                              <w:rPr>
                                <w:rFonts w:ascii="微软雅黑" w:hAnsi="微软雅黑" w:eastAsia="微软雅黑" w:cs="微软雅黑"/>
                                <w:color w:val="FFFFFF"/>
                                <w:sz w:val="24"/>
                              </w:rPr>
                              <w:t xml:space="preserve">废弃食用油脂专用收运车LOGO图形及文字尺寸     </w:t>
                            </w:r>
                            <w:r>
                              <w:rPr>
                                <w:position w:val="4"/>
                                <w:sz w:val="24"/>
                              </w:rPr>
                              <w:drawing>
                                <wp:inline distT="0" distB="0" distL="114300" distR="114300">
                                  <wp:extent cx="60325" cy="60325"/>
                                  <wp:effectExtent l="0" t="0" r="635" b="635"/>
                                  <wp:docPr id="6" name="图片 23"/>
                                  <wp:cNvGraphicFramePr/>
                                  <a:graphic xmlns:a="http://schemas.openxmlformats.org/drawingml/2006/main">
                                    <a:graphicData uri="http://schemas.openxmlformats.org/drawingml/2006/picture">
                                      <pic:pic xmlns:pic="http://schemas.openxmlformats.org/drawingml/2006/picture">
                                        <pic:nvPicPr>
                                          <pic:cNvPr id="6" name="图片 23"/>
                                          <pic:cNvPicPr/>
                                        </pic:nvPicPr>
                                        <pic:blipFill>
                                          <a:blip r:embed="rId18"/>
                                          <a:stretch>
                                            <a:fillRect/>
                                          </a:stretch>
                                        </pic:blipFill>
                                        <pic:spPr>
                                          <a:xfrm>
                                            <a:off x="0" y="0"/>
                                            <a:ext cx="60325" cy="60325"/>
                                          </a:xfrm>
                                          <a:prstGeom prst="rect">
                                            <a:avLst/>
                                          </a:prstGeom>
                                          <a:noFill/>
                                          <a:ln>
                                            <a:noFill/>
                                          </a:ln>
                                        </pic:spPr>
                                      </pic:pic>
                                    </a:graphicData>
                                  </a:graphic>
                                </wp:inline>
                              </w:drawing>
                            </w:r>
                            <w:r>
                              <w:rPr>
                                <w:position w:val="4"/>
                                <w:sz w:val="24"/>
                              </w:rPr>
                              <w:drawing>
                                <wp:inline distT="0" distB="0" distL="114300" distR="114300">
                                  <wp:extent cx="60325" cy="60325"/>
                                  <wp:effectExtent l="0" t="0" r="635" b="635"/>
                                  <wp:docPr id="7" name="图片 24"/>
                                  <wp:cNvGraphicFramePr/>
                                  <a:graphic xmlns:a="http://schemas.openxmlformats.org/drawingml/2006/main">
                                    <a:graphicData uri="http://schemas.openxmlformats.org/drawingml/2006/picture">
                                      <pic:pic xmlns:pic="http://schemas.openxmlformats.org/drawingml/2006/picture">
                                        <pic:nvPicPr>
                                          <pic:cNvPr id="7" name="图片 24"/>
                                          <pic:cNvPicPr/>
                                        </pic:nvPicPr>
                                        <pic:blipFill>
                                          <a:blip r:embed="rId19"/>
                                          <a:stretch>
                                            <a:fillRect/>
                                          </a:stretch>
                                        </pic:blipFill>
                                        <pic:spPr>
                                          <a:xfrm>
                                            <a:off x="0" y="0"/>
                                            <a:ext cx="60325" cy="60325"/>
                                          </a:xfrm>
                                          <a:prstGeom prst="rect">
                                            <a:avLst/>
                                          </a:prstGeom>
                                          <a:noFill/>
                                          <a:ln>
                                            <a:noFill/>
                                          </a:ln>
                                        </pic:spPr>
                                      </pic:pic>
                                    </a:graphicData>
                                  </a:graphic>
                                </wp:inline>
                              </w:drawing>
                            </w:r>
                            <w:r>
                              <w:rPr>
                                <w:position w:val="4"/>
                                <w:sz w:val="24"/>
                              </w:rPr>
                              <w:drawing>
                                <wp:inline distT="0" distB="0" distL="114300" distR="114300">
                                  <wp:extent cx="60325" cy="60325"/>
                                  <wp:effectExtent l="0" t="0" r="635" b="635"/>
                                  <wp:docPr id="8" name="图片 25"/>
                                  <wp:cNvGraphicFramePr/>
                                  <a:graphic xmlns:a="http://schemas.openxmlformats.org/drawingml/2006/main">
                                    <a:graphicData uri="http://schemas.openxmlformats.org/drawingml/2006/picture">
                                      <pic:pic xmlns:pic="http://schemas.openxmlformats.org/drawingml/2006/picture">
                                        <pic:nvPicPr>
                                          <pic:cNvPr id="8" name="图片 25"/>
                                          <pic:cNvPicPr/>
                                        </pic:nvPicPr>
                                        <pic:blipFill>
                                          <a:blip r:embed="rId20"/>
                                          <a:stretch>
                                            <a:fillRect/>
                                          </a:stretch>
                                        </pic:blipFill>
                                        <pic:spPr>
                                          <a:xfrm>
                                            <a:off x="0" y="0"/>
                                            <a:ext cx="60325" cy="60325"/>
                                          </a:xfrm>
                                          <a:prstGeom prst="rect">
                                            <a:avLst/>
                                          </a:prstGeom>
                                          <a:noFill/>
                                          <a:ln>
                                            <a:noFill/>
                                          </a:ln>
                                        </pic:spPr>
                                      </pic:pic>
                                    </a:graphicData>
                                  </a:graphic>
                                </wp:inline>
                              </w:drawing>
                            </w:r>
                            <w:r>
                              <w:rPr>
                                <w:position w:val="4"/>
                                <w:sz w:val="24"/>
                              </w:rPr>
                              <w:drawing>
                                <wp:inline distT="0" distB="0" distL="114300" distR="114300">
                                  <wp:extent cx="60325" cy="60325"/>
                                  <wp:effectExtent l="0" t="0" r="635" b="635"/>
                                  <wp:docPr id="9" name="图片 26"/>
                                  <wp:cNvGraphicFramePr/>
                                  <a:graphic xmlns:a="http://schemas.openxmlformats.org/drawingml/2006/main">
                                    <a:graphicData uri="http://schemas.openxmlformats.org/drawingml/2006/picture">
                                      <pic:pic xmlns:pic="http://schemas.openxmlformats.org/drawingml/2006/picture">
                                        <pic:nvPicPr>
                                          <pic:cNvPr id="9" name="图片 26"/>
                                          <pic:cNvPicPr/>
                                        </pic:nvPicPr>
                                        <pic:blipFill>
                                          <a:blip r:embed="rId20"/>
                                          <a:stretch>
                                            <a:fillRect/>
                                          </a:stretch>
                                        </pic:blipFill>
                                        <pic:spPr>
                                          <a:xfrm>
                                            <a:off x="0" y="0"/>
                                            <a:ext cx="60325" cy="60325"/>
                                          </a:xfrm>
                                          <a:prstGeom prst="rect">
                                            <a:avLst/>
                                          </a:prstGeom>
                                          <a:noFill/>
                                          <a:ln>
                                            <a:noFill/>
                                          </a:ln>
                                        </pic:spPr>
                                      </pic:pic>
                                    </a:graphicData>
                                  </a:graphic>
                                </wp:inline>
                              </w:drawing>
                            </w:r>
                            <w:r>
                              <w:rPr>
                                <w:position w:val="4"/>
                                <w:sz w:val="24"/>
                              </w:rPr>
                              <w:drawing>
                                <wp:inline distT="0" distB="0" distL="114300" distR="114300">
                                  <wp:extent cx="60325" cy="60325"/>
                                  <wp:effectExtent l="0" t="0" r="635" b="635"/>
                                  <wp:docPr id="10" name="图片 27"/>
                                  <wp:cNvGraphicFramePr/>
                                  <a:graphic xmlns:a="http://schemas.openxmlformats.org/drawingml/2006/main">
                                    <a:graphicData uri="http://schemas.openxmlformats.org/drawingml/2006/picture">
                                      <pic:pic xmlns:pic="http://schemas.openxmlformats.org/drawingml/2006/picture">
                                        <pic:nvPicPr>
                                          <pic:cNvPr id="10" name="图片 27"/>
                                          <pic:cNvPicPr/>
                                        </pic:nvPicPr>
                                        <pic:blipFill>
                                          <a:blip r:embed="rId21"/>
                                          <a:stretch>
                                            <a:fillRect/>
                                          </a:stretch>
                                        </pic:blipFill>
                                        <pic:spPr>
                                          <a:xfrm>
                                            <a:off x="0" y="0"/>
                                            <a:ext cx="60325" cy="60325"/>
                                          </a:xfrm>
                                          <a:prstGeom prst="rect">
                                            <a:avLst/>
                                          </a:prstGeom>
                                          <a:noFill/>
                                          <a:ln>
                                            <a:noFill/>
                                          </a:ln>
                                        </pic:spPr>
                                      </pic:pic>
                                    </a:graphicData>
                                  </a:graphic>
                                </wp:inline>
                              </w:drawing>
                            </w:r>
                          </w:p>
                        </w:txbxContent>
                      </wps:txbx>
                      <wps:bodyPr wrap="square" lIns="0" tIns="0" rIns="0" bIns="0" upright="1"/>
                    </wps:wsp>
                  </a:graphicData>
                </a:graphic>
              </wp:inline>
            </w:drawing>
          </mc:Choice>
          <mc:Fallback>
            <w:pict>
              <v:shape id="_x0000_s1026" o:spid="_x0000_s1026" o:spt="202" type="#_x0000_t202" style="height:21.95pt;width:352.2pt;" fillcolor="#00A54F" filled="t" stroked="f" coordsize="21600,21600" o:gfxdata="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tZzN3UAAAABAEAAA8AAAAA&#10;AAAAAQAgAAAAIgAAAGRycy9kb3ducmV2LnhtbFBLAQIUABQAAAAIAIdO4kCKcVYG3wEAALkDAAAO&#10;AAAAAAAAAAEAIAAAACMBAABkcnMvZTJvRG9jLnhtbFBLBQYAAAAABgAGAFkBAAB0BQAAAAA=&#10;">
                <v:fill on="t" focussize="0,0"/>
                <v:stroke on="f"/>
                <v:imagedata o:title=""/>
                <o:lock v:ext="edit" aspectratio="f"/>
                <v:textbox inset="0mm,0mm,0mm,0mm">
                  <w:txbxContent>
                    <w:p w14:paraId="753A05B2">
                      <w:pPr>
                        <w:spacing w:before="97" w:line="184" w:lineRule="auto"/>
                        <w:ind w:left="251"/>
                        <w:rPr>
                          <w:sz w:val="24"/>
                        </w:rPr>
                      </w:pPr>
                      <w:r>
                        <w:rPr>
                          <w:rFonts w:ascii="微软雅黑" w:hAnsi="微软雅黑" w:eastAsia="微软雅黑" w:cs="微软雅黑"/>
                          <w:color w:val="FFFFFF"/>
                          <w:sz w:val="24"/>
                        </w:rPr>
                        <w:t xml:space="preserve">废弃食用油脂专用收运车LOGO图形及文字尺寸     </w:t>
                      </w:r>
                      <w:r>
                        <w:rPr>
                          <w:position w:val="4"/>
                          <w:sz w:val="24"/>
                        </w:rPr>
                        <w:drawing>
                          <wp:inline distT="0" distB="0" distL="114300" distR="114300">
                            <wp:extent cx="60325" cy="60325"/>
                            <wp:effectExtent l="0" t="0" r="635" b="635"/>
                            <wp:docPr id="6" name="图片 23"/>
                            <wp:cNvGraphicFramePr/>
                            <a:graphic xmlns:a="http://schemas.openxmlformats.org/drawingml/2006/main">
                              <a:graphicData uri="http://schemas.openxmlformats.org/drawingml/2006/picture">
                                <pic:pic xmlns:pic="http://schemas.openxmlformats.org/drawingml/2006/picture">
                                  <pic:nvPicPr>
                                    <pic:cNvPr id="6" name="图片 23"/>
                                    <pic:cNvPicPr/>
                                  </pic:nvPicPr>
                                  <pic:blipFill>
                                    <a:blip r:embed="rId18"/>
                                    <a:stretch>
                                      <a:fillRect/>
                                    </a:stretch>
                                  </pic:blipFill>
                                  <pic:spPr>
                                    <a:xfrm>
                                      <a:off x="0" y="0"/>
                                      <a:ext cx="60325" cy="60325"/>
                                    </a:xfrm>
                                    <a:prstGeom prst="rect">
                                      <a:avLst/>
                                    </a:prstGeom>
                                    <a:noFill/>
                                    <a:ln>
                                      <a:noFill/>
                                    </a:ln>
                                  </pic:spPr>
                                </pic:pic>
                              </a:graphicData>
                            </a:graphic>
                          </wp:inline>
                        </w:drawing>
                      </w:r>
                      <w:r>
                        <w:rPr>
                          <w:position w:val="4"/>
                          <w:sz w:val="24"/>
                        </w:rPr>
                        <w:drawing>
                          <wp:inline distT="0" distB="0" distL="114300" distR="114300">
                            <wp:extent cx="60325" cy="60325"/>
                            <wp:effectExtent l="0" t="0" r="635" b="635"/>
                            <wp:docPr id="7" name="图片 24"/>
                            <wp:cNvGraphicFramePr/>
                            <a:graphic xmlns:a="http://schemas.openxmlformats.org/drawingml/2006/main">
                              <a:graphicData uri="http://schemas.openxmlformats.org/drawingml/2006/picture">
                                <pic:pic xmlns:pic="http://schemas.openxmlformats.org/drawingml/2006/picture">
                                  <pic:nvPicPr>
                                    <pic:cNvPr id="7" name="图片 24"/>
                                    <pic:cNvPicPr/>
                                  </pic:nvPicPr>
                                  <pic:blipFill>
                                    <a:blip r:embed="rId19"/>
                                    <a:stretch>
                                      <a:fillRect/>
                                    </a:stretch>
                                  </pic:blipFill>
                                  <pic:spPr>
                                    <a:xfrm>
                                      <a:off x="0" y="0"/>
                                      <a:ext cx="60325" cy="60325"/>
                                    </a:xfrm>
                                    <a:prstGeom prst="rect">
                                      <a:avLst/>
                                    </a:prstGeom>
                                    <a:noFill/>
                                    <a:ln>
                                      <a:noFill/>
                                    </a:ln>
                                  </pic:spPr>
                                </pic:pic>
                              </a:graphicData>
                            </a:graphic>
                          </wp:inline>
                        </w:drawing>
                      </w:r>
                      <w:r>
                        <w:rPr>
                          <w:position w:val="4"/>
                          <w:sz w:val="24"/>
                        </w:rPr>
                        <w:drawing>
                          <wp:inline distT="0" distB="0" distL="114300" distR="114300">
                            <wp:extent cx="60325" cy="60325"/>
                            <wp:effectExtent l="0" t="0" r="635" b="635"/>
                            <wp:docPr id="8" name="图片 25"/>
                            <wp:cNvGraphicFramePr/>
                            <a:graphic xmlns:a="http://schemas.openxmlformats.org/drawingml/2006/main">
                              <a:graphicData uri="http://schemas.openxmlformats.org/drawingml/2006/picture">
                                <pic:pic xmlns:pic="http://schemas.openxmlformats.org/drawingml/2006/picture">
                                  <pic:nvPicPr>
                                    <pic:cNvPr id="8" name="图片 25"/>
                                    <pic:cNvPicPr/>
                                  </pic:nvPicPr>
                                  <pic:blipFill>
                                    <a:blip r:embed="rId20"/>
                                    <a:stretch>
                                      <a:fillRect/>
                                    </a:stretch>
                                  </pic:blipFill>
                                  <pic:spPr>
                                    <a:xfrm>
                                      <a:off x="0" y="0"/>
                                      <a:ext cx="60325" cy="60325"/>
                                    </a:xfrm>
                                    <a:prstGeom prst="rect">
                                      <a:avLst/>
                                    </a:prstGeom>
                                    <a:noFill/>
                                    <a:ln>
                                      <a:noFill/>
                                    </a:ln>
                                  </pic:spPr>
                                </pic:pic>
                              </a:graphicData>
                            </a:graphic>
                          </wp:inline>
                        </w:drawing>
                      </w:r>
                      <w:r>
                        <w:rPr>
                          <w:position w:val="4"/>
                          <w:sz w:val="24"/>
                        </w:rPr>
                        <w:drawing>
                          <wp:inline distT="0" distB="0" distL="114300" distR="114300">
                            <wp:extent cx="60325" cy="60325"/>
                            <wp:effectExtent l="0" t="0" r="635" b="635"/>
                            <wp:docPr id="9" name="图片 26"/>
                            <wp:cNvGraphicFramePr/>
                            <a:graphic xmlns:a="http://schemas.openxmlformats.org/drawingml/2006/main">
                              <a:graphicData uri="http://schemas.openxmlformats.org/drawingml/2006/picture">
                                <pic:pic xmlns:pic="http://schemas.openxmlformats.org/drawingml/2006/picture">
                                  <pic:nvPicPr>
                                    <pic:cNvPr id="9" name="图片 26"/>
                                    <pic:cNvPicPr/>
                                  </pic:nvPicPr>
                                  <pic:blipFill>
                                    <a:blip r:embed="rId20"/>
                                    <a:stretch>
                                      <a:fillRect/>
                                    </a:stretch>
                                  </pic:blipFill>
                                  <pic:spPr>
                                    <a:xfrm>
                                      <a:off x="0" y="0"/>
                                      <a:ext cx="60325" cy="60325"/>
                                    </a:xfrm>
                                    <a:prstGeom prst="rect">
                                      <a:avLst/>
                                    </a:prstGeom>
                                    <a:noFill/>
                                    <a:ln>
                                      <a:noFill/>
                                    </a:ln>
                                  </pic:spPr>
                                </pic:pic>
                              </a:graphicData>
                            </a:graphic>
                          </wp:inline>
                        </w:drawing>
                      </w:r>
                      <w:r>
                        <w:rPr>
                          <w:position w:val="4"/>
                          <w:sz w:val="24"/>
                        </w:rPr>
                        <w:drawing>
                          <wp:inline distT="0" distB="0" distL="114300" distR="114300">
                            <wp:extent cx="60325" cy="60325"/>
                            <wp:effectExtent l="0" t="0" r="635" b="635"/>
                            <wp:docPr id="10" name="图片 27"/>
                            <wp:cNvGraphicFramePr/>
                            <a:graphic xmlns:a="http://schemas.openxmlformats.org/drawingml/2006/main">
                              <a:graphicData uri="http://schemas.openxmlformats.org/drawingml/2006/picture">
                                <pic:pic xmlns:pic="http://schemas.openxmlformats.org/drawingml/2006/picture">
                                  <pic:nvPicPr>
                                    <pic:cNvPr id="10" name="图片 27"/>
                                    <pic:cNvPicPr/>
                                  </pic:nvPicPr>
                                  <pic:blipFill>
                                    <a:blip r:embed="rId21"/>
                                    <a:stretch>
                                      <a:fillRect/>
                                    </a:stretch>
                                  </pic:blipFill>
                                  <pic:spPr>
                                    <a:xfrm>
                                      <a:off x="0" y="0"/>
                                      <a:ext cx="60325" cy="60325"/>
                                    </a:xfrm>
                                    <a:prstGeom prst="rect">
                                      <a:avLst/>
                                    </a:prstGeom>
                                    <a:noFill/>
                                    <a:ln>
                                      <a:noFill/>
                                    </a:ln>
                                  </pic:spPr>
                                </pic:pic>
                              </a:graphicData>
                            </a:graphic>
                          </wp:inline>
                        </w:drawing>
                      </w:r>
                    </w:p>
                  </w:txbxContent>
                </v:textbox>
                <w10:wrap type="none"/>
                <w10:anchorlock/>
              </v:shape>
            </w:pict>
          </mc:Fallback>
        </mc:AlternateContent>
      </w:r>
    </w:p>
    <w:p w14:paraId="05757F65">
      <w:pPr>
        <w:pStyle w:val="2"/>
        <w:spacing w:before="231" w:line="183" w:lineRule="auto"/>
        <w:ind w:left="210" w:right="210" w:firstLine="671"/>
        <w:rPr>
          <w:highlight w:val="none"/>
        </w:rPr>
      </w:pPr>
      <w:r>
        <w:rPr>
          <w:b/>
          <w:bCs/>
          <w:color w:val="2D2D2E"/>
          <w:spacing w:val="7"/>
          <w:highlight w:val="none"/>
        </w:rPr>
        <w:t>涂装内容尺寸</w:t>
      </w:r>
    </w:p>
    <w:p w14:paraId="243A1252">
      <w:pPr>
        <w:spacing w:before="17" w:line="170" w:lineRule="exact"/>
        <w:ind w:firstLine="640"/>
        <w:rPr>
          <w:highlight w:val="none"/>
        </w:rPr>
      </w:pPr>
      <w:r>
        <w:rPr>
          <w:position w:val="-3"/>
          <w:highlight w:val="none"/>
        </w:rPr>
        <w:drawing>
          <wp:inline distT="0" distB="0" distL="114300" distR="114300">
            <wp:extent cx="198755" cy="107950"/>
            <wp:effectExtent l="0" t="0" r="14605" b="13970"/>
            <wp:docPr id="12" name="图片 63"/>
            <wp:cNvGraphicFramePr/>
            <a:graphic xmlns:a="http://schemas.openxmlformats.org/drawingml/2006/main">
              <a:graphicData uri="http://schemas.openxmlformats.org/drawingml/2006/picture">
                <pic:pic xmlns:pic="http://schemas.openxmlformats.org/drawingml/2006/picture">
                  <pic:nvPicPr>
                    <pic:cNvPr id="12" name="图片 63"/>
                    <pic:cNvPicPr/>
                  </pic:nvPicPr>
                  <pic:blipFill>
                    <a:blip r:embed="rId22"/>
                    <a:stretch>
                      <a:fillRect/>
                    </a:stretch>
                  </pic:blipFill>
                  <pic:spPr>
                    <a:xfrm>
                      <a:off x="0" y="0"/>
                      <a:ext cx="198755" cy="107950"/>
                    </a:xfrm>
                    <a:prstGeom prst="rect">
                      <a:avLst/>
                    </a:prstGeom>
                    <a:noFill/>
                    <a:ln>
                      <a:noFill/>
                    </a:ln>
                  </pic:spPr>
                </pic:pic>
              </a:graphicData>
            </a:graphic>
          </wp:inline>
        </w:drawing>
      </w:r>
    </w:p>
    <w:p w14:paraId="35887A5F">
      <w:pPr>
        <w:spacing w:line="77" w:lineRule="exact"/>
        <w:ind w:firstLine="600"/>
        <w:rPr>
          <w:highlight w:val="none"/>
        </w:rPr>
      </w:pPr>
    </w:p>
    <w:tbl>
      <w:tblPr>
        <w:tblStyle w:val="238"/>
        <w:tblW w:w="6685" w:type="dxa"/>
        <w:tblInd w:w="434" w:type="dxa"/>
        <w:tblBorders>
          <w:top w:val="single" w:color="00A54F" w:sz="8" w:space="0"/>
          <w:left w:val="single" w:color="00A54F" w:sz="8" w:space="0"/>
          <w:bottom w:val="single" w:color="00A54F" w:sz="8" w:space="0"/>
          <w:right w:val="single" w:color="00A54F" w:sz="8" w:space="0"/>
          <w:insideH w:val="none" w:color="auto" w:sz="0" w:space="0"/>
          <w:insideV w:val="none" w:color="auto" w:sz="0" w:space="0"/>
        </w:tblBorders>
        <w:tblLayout w:type="fixed"/>
        <w:tblCellMar>
          <w:top w:w="0" w:type="dxa"/>
          <w:left w:w="0" w:type="dxa"/>
          <w:bottom w:w="0" w:type="dxa"/>
          <w:right w:w="0" w:type="dxa"/>
        </w:tblCellMar>
      </w:tblPr>
      <w:tblGrid>
        <w:gridCol w:w="6685"/>
      </w:tblGrid>
      <w:tr w14:paraId="64C5B78B">
        <w:tblPrEx>
          <w:tblBorders>
            <w:top w:val="single" w:color="00A54F" w:sz="8" w:space="0"/>
            <w:left w:val="single" w:color="00A54F" w:sz="8" w:space="0"/>
            <w:bottom w:val="single" w:color="00A54F" w:sz="8" w:space="0"/>
            <w:right w:val="single" w:color="00A54F" w:sz="8" w:space="0"/>
            <w:insideH w:val="none" w:color="auto" w:sz="0" w:space="0"/>
            <w:insideV w:val="none" w:color="auto" w:sz="0" w:space="0"/>
          </w:tblBorders>
          <w:tblCellMar>
            <w:top w:w="0" w:type="dxa"/>
            <w:left w:w="0" w:type="dxa"/>
            <w:bottom w:w="0" w:type="dxa"/>
            <w:right w:w="0" w:type="dxa"/>
          </w:tblCellMar>
        </w:tblPrEx>
        <w:trPr>
          <w:trHeight w:val="2273" w:hRule="atLeast"/>
        </w:trPr>
        <w:tc>
          <w:tcPr>
            <w:tcW w:w="6685" w:type="dxa"/>
            <w:noWrap w:val="0"/>
            <w:vAlign w:val="top"/>
          </w:tcPr>
          <w:p w14:paraId="186AF36A">
            <w:pPr>
              <w:spacing w:before="34" w:line="180" w:lineRule="auto"/>
              <w:ind w:left="2819" w:right="1922" w:firstLine="376"/>
              <w:rPr>
                <w:rFonts w:ascii="微软雅黑" w:hAnsi="微软雅黑" w:eastAsia="微软雅黑" w:cs="微软雅黑"/>
                <w:sz w:val="11"/>
                <w:szCs w:val="11"/>
                <w:highlight w:val="none"/>
              </w:rPr>
            </w:pPr>
            <w:r>
              <w:rPr>
                <w:rFonts w:ascii="微软雅黑" w:hAnsi="微软雅黑" w:eastAsia="微软雅黑" w:cs="微软雅黑"/>
                <w:color w:val="343534"/>
                <w:spacing w:val="-1"/>
                <w:sz w:val="19"/>
                <w:szCs w:val="19"/>
                <w:highlight w:val="none"/>
              </w:rPr>
              <w:t>厨余垃圾LOGO图形及中英文大小</w:t>
            </w:r>
            <w:r>
              <w:rPr>
                <w:rFonts w:ascii="微软雅黑" w:hAnsi="微软雅黑" w:eastAsia="微软雅黑" w:cs="微软雅黑"/>
                <w:color w:val="343534"/>
                <w:spacing w:val="3"/>
                <w:sz w:val="11"/>
                <w:szCs w:val="11"/>
                <w:highlight w:val="none"/>
              </w:rPr>
              <w:t>字体样式：思源黑体</w:t>
            </w:r>
          </w:p>
          <w:p w14:paraId="223E64E5">
            <w:pPr>
              <w:spacing w:before="78" w:line="1655" w:lineRule="exact"/>
              <w:ind w:firstLine="640"/>
              <w:rPr>
                <w:highlight w:val="none"/>
              </w:rPr>
            </w:pPr>
            <w:r>
              <w:rPr>
                <w:position w:val="-33"/>
                <w:highlight w:val="none"/>
              </w:rPr>
              <w:drawing>
                <wp:inline distT="0" distB="0" distL="114300" distR="114300">
                  <wp:extent cx="2576830" cy="1050925"/>
                  <wp:effectExtent l="0" t="0" r="13970" b="635"/>
                  <wp:docPr id="14" name="图片 64"/>
                  <wp:cNvGraphicFramePr/>
                  <a:graphic xmlns:a="http://schemas.openxmlformats.org/drawingml/2006/main">
                    <a:graphicData uri="http://schemas.openxmlformats.org/drawingml/2006/picture">
                      <pic:pic xmlns:pic="http://schemas.openxmlformats.org/drawingml/2006/picture">
                        <pic:nvPicPr>
                          <pic:cNvPr id="14" name="图片 64"/>
                          <pic:cNvPicPr/>
                        </pic:nvPicPr>
                        <pic:blipFill>
                          <a:blip r:embed="rId23"/>
                          <a:stretch>
                            <a:fillRect/>
                          </a:stretch>
                        </pic:blipFill>
                        <pic:spPr>
                          <a:xfrm>
                            <a:off x="0" y="0"/>
                            <a:ext cx="2576830" cy="1050925"/>
                          </a:xfrm>
                          <a:prstGeom prst="rect">
                            <a:avLst/>
                          </a:prstGeom>
                          <a:noFill/>
                          <a:ln>
                            <a:noFill/>
                          </a:ln>
                        </pic:spPr>
                      </pic:pic>
                    </a:graphicData>
                  </a:graphic>
                </wp:inline>
              </w:drawing>
            </w:r>
          </w:p>
        </w:tc>
      </w:tr>
    </w:tbl>
    <w:p w14:paraId="234CDC56">
      <w:pPr>
        <w:spacing w:line="149" w:lineRule="exact"/>
        <w:ind w:firstLine="600"/>
        <w:rPr>
          <w:highlight w:val="none"/>
        </w:rPr>
      </w:pPr>
    </w:p>
    <w:tbl>
      <w:tblPr>
        <w:tblStyle w:val="238"/>
        <w:tblW w:w="6685" w:type="dxa"/>
        <w:tblInd w:w="434" w:type="dxa"/>
        <w:tblBorders>
          <w:top w:val="single" w:color="00A54F" w:sz="8" w:space="0"/>
          <w:left w:val="single" w:color="00A54F" w:sz="8" w:space="0"/>
          <w:bottom w:val="single" w:color="00A54F" w:sz="8" w:space="0"/>
          <w:right w:val="single" w:color="00A54F" w:sz="8" w:space="0"/>
          <w:insideH w:val="none" w:color="auto" w:sz="0" w:space="0"/>
          <w:insideV w:val="none" w:color="auto" w:sz="0" w:space="0"/>
        </w:tblBorders>
        <w:tblLayout w:type="fixed"/>
        <w:tblCellMar>
          <w:top w:w="0" w:type="dxa"/>
          <w:left w:w="0" w:type="dxa"/>
          <w:bottom w:w="0" w:type="dxa"/>
          <w:right w:w="0" w:type="dxa"/>
        </w:tblCellMar>
      </w:tblPr>
      <w:tblGrid>
        <w:gridCol w:w="6685"/>
      </w:tblGrid>
      <w:tr w14:paraId="130B709A">
        <w:tblPrEx>
          <w:tblBorders>
            <w:top w:val="single" w:color="00A54F" w:sz="8" w:space="0"/>
            <w:left w:val="single" w:color="00A54F" w:sz="8" w:space="0"/>
            <w:bottom w:val="single" w:color="00A54F" w:sz="8" w:space="0"/>
            <w:right w:val="single" w:color="00A54F" w:sz="8" w:space="0"/>
            <w:insideH w:val="none" w:color="auto" w:sz="0" w:space="0"/>
            <w:insideV w:val="none" w:color="auto" w:sz="0" w:space="0"/>
          </w:tblBorders>
          <w:tblCellMar>
            <w:top w:w="0" w:type="dxa"/>
            <w:left w:w="0" w:type="dxa"/>
            <w:bottom w:w="0" w:type="dxa"/>
            <w:right w:w="0" w:type="dxa"/>
          </w:tblCellMar>
        </w:tblPrEx>
        <w:trPr>
          <w:trHeight w:val="1651" w:hRule="atLeast"/>
        </w:trPr>
        <w:tc>
          <w:tcPr>
            <w:tcW w:w="6685" w:type="dxa"/>
            <w:noWrap w:val="0"/>
            <w:vAlign w:val="top"/>
          </w:tcPr>
          <w:p w14:paraId="1257D86D">
            <w:pPr>
              <w:spacing w:before="153" w:line="180" w:lineRule="auto"/>
              <w:ind w:left="2820" w:right="2156" w:firstLine="372"/>
              <w:rPr>
                <w:rFonts w:ascii="微软雅黑" w:hAnsi="微软雅黑" w:eastAsia="微软雅黑" w:cs="微软雅黑"/>
                <w:sz w:val="11"/>
                <w:szCs w:val="11"/>
                <w:highlight w:val="none"/>
              </w:rPr>
            </w:pPr>
            <w:r>
              <w:rPr>
                <w:rFonts w:ascii="微软雅黑" w:hAnsi="微软雅黑" w:eastAsia="微软雅黑" w:cs="微软雅黑"/>
                <w:color w:val="343534"/>
                <w:spacing w:val="-2"/>
                <w:sz w:val="19"/>
                <w:szCs w:val="19"/>
                <w:highlight w:val="none"/>
              </w:rPr>
              <w:t>“油脂专用收运车”字样大小</w:t>
            </w:r>
            <w:r>
              <w:rPr>
                <w:rFonts w:ascii="微软雅黑" w:hAnsi="微软雅黑" w:eastAsia="微软雅黑" w:cs="微软雅黑"/>
                <w:color w:val="343534"/>
                <w:spacing w:val="3"/>
                <w:sz w:val="11"/>
                <w:szCs w:val="11"/>
                <w:highlight w:val="none"/>
              </w:rPr>
              <w:t>字体样式：思源黑体</w:t>
            </w:r>
          </w:p>
          <w:p w14:paraId="42A02056">
            <w:pPr>
              <w:spacing w:before="113" w:line="801" w:lineRule="exact"/>
              <w:ind w:firstLine="828"/>
              <w:jc w:val="right"/>
              <w:rPr>
                <w:rFonts w:ascii="微软雅黑" w:hAnsi="微软雅黑" w:eastAsia="微软雅黑" w:cs="微软雅黑"/>
                <w:sz w:val="44"/>
                <w:szCs w:val="44"/>
                <w:highlight w:val="none"/>
              </w:rPr>
            </w:pPr>
            <w:r>
              <w:rPr>
                <w:rFonts w:ascii="微软雅黑" w:hAnsi="微软雅黑" w:eastAsia="微软雅黑" w:cs="微软雅黑"/>
                <w:color w:val="337545"/>
                <w:spacing w:val="-13"/>
                <w:position w:val="9"/>
                <w:sz w:val="44"/>
                <w:szCs w:val="44"/>
                <w:highlight w:val="none"/>
              </w:rPr>
              <w:t>重庆市废弃食用油脂专用收运车</w:t>
            </w:r>
          </w:p>
        </w:tc>
      </w:tr>
    </w:tbl>
    <w:p w14:paraId="315162F9">
      <w:pPr>
        <w:spacing w:line="368" w:lineRule="auto"/>
        <w:ind w:firstLine="600"/>
        <w:rPr>
          <w:rFonts w:ascii="Arial"/>
          <w:highlight w:val="none"/>
        </w:rPr>
      </w:pPr>
    </w:p>
    <w:p w14:paraId="661D566A">
      <w:pPr>
        <w:pStyle w:val="2"/>
        <w:spacing w:before="103" w:line="183" w:lineRule="auto"/>
        <w:ind w:left="210" w:right="210" w:firstLine="420"/>
        <w:rPr>
          <w:sz w:val="24"/>
          <w:szCs w:val="24"/>
          <w:highlight w:val="none"/>
        </w:rPr>
      </w:pPr>
      <w:r>
        <w:rPr>
          <w:highlight w:val="none"/>
        </w:rPr>
        <mc:AlternateContent>
          <mc:Choice Requires="wps">
            <w:drawing>
              <wp:anchor distT="0" distB="0" distL="114300" distR="114300" simplePos="0" relativeHeight="251660288" behindDoc="1" locked="0" layoutInCell="1" allowOverlap="1">
                <wp:simplePos x="0" y="0"/>
                <wp:positionH relativeFrom="column">
                  <wp:posOffset>144780</wp:posOffset>
                </wp:positionH>
                <wp:positionV relativeFrom="paragraph">
                  <wp:posOffset>1270</wp:posOffset>
                </wp:positionV>
                <wp:extent cx="4472940" cy="278765"/>
                <wp:effectExtent l="0" t="0" r="7620" b="10795"/>
                <wp:wrapNone/>
                <wp:docPr id="31" name="矩形 31"/>
                <wp:cNvGraphicFramePr/>
                <a:graphic xmlns:a="http://schemas.openxmlformats.org/drawingml/2006/main">
                  <a:graphicData uri="http://schemas.microsoft.com/office/word/2010/wordprocessingShape">
                    <wps:wsp>
                      <wps:cNvSpPr/>
                      <wps:spPr>
                        <a:xfrm>
                          <a:off x="145142" y="1868"/>
                          <a:ext cx="4472940" cy="278765"/>
                        </a:xfrm>
                        <a:prstGeom prst="rect">
                          <a:avLst/>
                        </a:prstGeom>
                        <a:solidFill>
                          <a:srgbClr val="00A54F"/>
                        </a:solidFill>
                        <a:ln w="0">
                          <a:noFill/>
                        </a:ln>
                        <a:effectLst/>
                      </wps:spPr>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1026" o:spid="_x0000_s1026" o:spt="1" style="position:absolute;left:0pt;margin-left:11.4pt;margin-top:0.1pt;height:21.95pt;width:352.2pt;z-index:-251656192;mso-width-relative:page;mso-height-relative:page;" fillcolor="#00A54F" filled="t" stroked="f" coordsize="21600,21600" o:gfxdata="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c9dx9gAAAAGAQAADwAAAAAAAAABACAAAAAi&#10;AAAAZHJzL2Rvd25yZXYueG1sUEsBAhQAFAAAAAgAh07iQHr5J7hDAgAAfAQAAA4AAAAAAAAAAQAg&#10;AAAAJwEAAGRycy9lMm9Eb2MueG1sUEsFBgAAAAAGAAYAWQEAANwFAAAAAA==&#10;">
                <v:fill on="t" focussize="0,0"/>
                <v:stroke on="f" weight="0pt"/>
                <v:imagedata o:title=""/>
                <o:lock v:ext="edit" aspectratio="f"/>
                <v:textbox inset="0mm,0mm,0mm,0mm"/>
              </v:rect>
            </w:pict>
          </mc:Fallback>
        </mc:AlternateContent>
      </w:r>
      <w:r>
        <w:rPr>
          <w:highlight w:val="none"/>
        </w:rPr>
        <w:drawing>
          <wp:anchor distT="0" distB="0" distL="114300" distR="114300" simplePos="0" relativeHeight="251662336" behindDoc="0" locked="0" layoutInCell="1" allowOverlap="1">
            <wp:simplePos x="0" y="0"/>
            <wp:positionH relativeFrom="column">
              <wp:posOffset>3726180</wp:posOffset>
            </wp:positionH>
            <wp:positionV relativeFrom="paragraph">
              <wp:posOffset>106045</wp:posOffset>
            </wp:positionV>
            <wp:extent cx="671830" cy="60960"/>
            <wp:effectExtent l="0" t="0" r="13970" b="0"/>
            <wp:wrapNone/>
            <wp:docPr id="1" name="IM 32"/>
            <wp:cNvGraphicFramePr/>
            <a:graphic xmlns:a="http://schemas.openxmlformats.org/drawingml/2006/main">
              <a:graphicData uri="http://schemas.openxmlformats.org/drawingml/2006/picture">
                <pic:pic xmlns:pic="http://schemas.openxmlformats.org/drawingml/2006/picture">
                  <pic:nvPicPr>
                    <pic:cNvPr id="1" name="IM 32"/>
                    <pic:cNvPicPr/>
                  </pic:nvPicPr>
                  <pic:blipFill>
                    <a:blip r:embed="rId24"/>
                    <a:stretch>
                      <a:fillRect/>
                    </a:stretch>
                  </pic:blipFill>
                  <pic:spPr>
                    <a:xfrm>
                      <a:off x="0" y="0"/>
                      <a:ext cx="671830" cy="60960"/>
                    </a:xfrm>
                    <a:prstGeom prst="rect">
                      <a:avLst/>
                    </a:prstGeom>
                    <a:noFill/>
                    <a:ln>
                      <a:noFill/>
                    </a:ln>
                  </pic:spPr>
                </pic:pic>
              </a:graphicData>
            </a:graphic>
          </wp:anchor>
        </w:drawing>
      </w:r>
      <w:r>
        <w:rPr>
          <w:color w:val="FFFFFF"/>
          <w:spacing w:val="-1"/>
          <w:sz w:val="24"/>
          <w:szCs w:val="24"/>
          <w:highlight w:val="none"/>
        </w:rPr>
        <w:t>服装图示</w:t>
      </w:r>
    </w:p>
    <w:p w14:paraId="6D0BB571">
      <w:pPr>
        <w:pStyle w:val="2"/>
        <w:spacing w:before="256" w:line="183" w:lineRule="auto"/>
        <w:ind w:left="210" w:right="210" w:firstLine="671"/>
        <w:rPr>
          <w:highlight w:val="none"/>
        </w:rPr>
      </w:pPr>
      <w:r>
        <w:rPr>
          <w:b/>
          <w:bCs/>
          <w:color w:val="2D2D2E"/>
          <w:spacing w:val="7"/>
          <w:highlight w:val="none"/>
        </w:rPr>
        <w:t>夏装示意图</w:t>
      </w:r>
    </w:p>
    <w:p w14:paraId="3C68C523">
      <w:pPr>
        <w:spacing w:before="17" w:line="170" w:lineRule="exact"/>
        <w:ind w:firstLine="640"/>
        <w:rPr>
          <w:highlight w:val="none"/>
        </w:rPr>
      </w:pPr>
      <w:r>
        <w:rPr>
          <w:position w:val="-3"/>
          <w:highlight w:val="none"/>
        </w:rPr>
        <w:drawing>
          <wp:inline distT="0" distB="0" distL="114300" distR="114300">
            <wp:extent cx="198755" cy="107950"/>
            <wp:effectExtent l="0" t="0" r="14605" b="13970"/>
            <wp:docPr id="15" name="图片 65"/>
            <wp:cNvGraphicFramePr/>
            <a:graphic xmlns:a="http://schemas.openxmlformats.org/drawingml/2006/main">
              <a:graphicData uri="http://schemas.openxmlformats.org/drawingml/2006/picture">
                <pic:pic xmlns:pic="http://schemas.openxmlformats.org/drawingml/2006/picture">
                  <pic:nvPicPr>
                    <pic:cNvPr id="15" name="图片 65"/>
                    <pic:cNvPicPr/>
                  </pic:nvPicPr>
                  <pic:blipFill>
                    <a:blip r:embed="rId25"/>
                    <a:stretch>
                      <a:fillRect/>
                    </a:stretch>
                  </pic:blipFill>
                  <pic:spPr>
                    <a:xfrm>
                      <a:off x="0" y="0"/>
                      <a:ext cx="198755" cy="107950"/>
                    </a:xfrm>
                    <a:prstGeom prst="rect">
                      <a:avLst/>
                    </a:prstGeom>
                    <a:noFill/>
                    <a:ln>
                      <a:noFill/>
                    </a:ln>
                  </pic:spPr>
                </pic:pic>
              </a:graphicData>
            </a:graphic>
          </wp:inline>
        </w:drawing>
      </w:r>
    </w:p>
    <w:p w14:paraId="26D517E1">
      <w:pPr>
        <w:spacing w:before="54" w:line="3993" w:lineRule="exact"/>
        <w:ind w:firstLine="640"/>
        <w:rPr>
          <w:highlight w:val="none"/>
        </w:rPr>
      </w:pPr>
      <w:r>
        <w:rPr>
          <w:position w:val="-79"/>
          <w:highlight w:val="none"/>
        </w:rPr>
        <w:drawing>
          <wp:inline distT="0" distB="0" distL="114300" distR="114300">
            <wp:extent cx="4737735" cy="2534920"/>
            <wp:effectExtent l="0" t="0" r="1905" b="10160"/>
            <wp:docPr id="16" name="图片 66"/>
            <wp:cNvGraphicFramePr/>
            <a:graphic xmlns:a="http://schemas.openxmlformats.org/drawingml/2006/main">
              <a:graphicData uri="http://schemas.openxmlformats.org/drawingml/2006/picture">
                <pic:pic xmlns:pic="http://schemas.openxmlformats.org/drawingml/2006/picture">
                  <pic:nvPicPr>
                    <pic:cNvPr id="16" name="图片 66"/>
                    <pic:cNvPicPr/>
                  </pic:nvPicPr>
                  <pic:blipFill>
                    <a:blip r:embed="rId26"/>
                    <a:stretch>
                      <a:fillRect/>
                    </a:stretch>
                  </pic:blipFill>
                  <pic:spPr>
                    <a:xfrm>
                      <a:off x="0" y="0"/>
                      <a:ext cx="4737735" cy="2534920"/>
                    </a:xfrm>
                    <a:prstGeom prst="rect">
                      <a:avLst/>
                    </a:prstGeom>
                    <a:noFill/>
                    <a:ln>
                      <a:noFill/>
                    </a:ln>
                  </pic:spPr>
                </pic:pic>
              </a:graphicData>
            </a:graphic>
          </wp:inline>
        </w:drawing>
      </w:r>
    </w:p>
    <w:p w14:paraId="5EB30394">
      <w:pPr>
        <w:spacing w:line="3993" w:lineRule="exact"/>
        <w:ind w:firstLine="600"/>
        <w:rPr>
          <w:highlight w:val="none"/>
        </w:rPr>
        <w:sectPr>
          <w:pgSz w:w="11905" w:h="16838"/>
          <w:pgMar w:top="1440" w:right="1361" w:bottom="1440" w:left="1361" w:header="851" w:footer="992" w:gutter="0"/>
          <w:pgBorders>
            <w:top w:val="none" w:sz="0" w:space="0"/>
            <w:left w:val="none" w:sz="0" w:space="0"/>
            <w:bottom w:val="none" w:sz="0" w:space="0"/>
            <w:right w:val="none" w:sz="0" w:space="0"/>
          </w:pgBorders>
          <w:pgNumType w:fmt="decimal"/>
          <w:cols w:space="720" w:num="1"/>
        </w:sectPr>
      </w:pPr>
    </w:p>
    <w:p w14:paraId="4F84C313">
      <w:pPr>
        <w:pStyle w:val="2"/>
        <w:spacing w:before="168" w:line="183" w:lineRule="auto"/>
        <w:ind w:left="210" w:right="210" w:firstLine="671"/>
        <w:outlineLvl w:val="0"/>
        <w:rPr>
          <w:highlight w:val="none"/>
        </w:rPr>
      </w:pPr>
      <w:r>
        <w:rPr>
          <w:b/>
          <w:bCs/>
          <w:color w:val="2D2D2E"/>
          <w:spacing w:val="7"/>
          <w:highlight w:val="none"/>
        </w:rPr>
        <w:t>春秋装示意图</w:t>
      </w:r>
    </w:p>
    <w:p w14:paraId="4326D519">
      <w:pPr>
        <w:spacing w:before="16" w:line="171" w:lineRule="exact"/>
        <w:ind w:firstLine="640"/>
        <w:rPr>
          <w:highlight w:val="none"/>
        </w:rPr>
      </w:pPr>
      <w:r>
        <w:rPr>
          <w:position w:val="-3"/>
          <w:highlight w:val="none"/>
        </w:rPr>
        <w:drawing>
          <wp:inline distT="0" distB="0" distL="114300" distR="114300">
            <wp:extent cx="198755" cy="107950"/>
            <wp:effectExtent l="0" t="0" r="14605" b="13970"/>
            <wp:docPr id="17" name="图片 67"/>
            <wp:cNvGraphicFramePr/>
            <a:graphic xmlns:a="http://schemas.openxmlformats.org/drawingml/2006/main">
              <a:graphicData uri="http://schemas.openxmlformats.org/drawingml/2006/picture">
                <pic:pic xmlns:pic="http://schemas.openxmlformats.org/drawingml/2006/picture">
                  <pic:nvPicPr>
                    <pic:cNvPr id="17" name="图片 67"/>
                    <pic:cNvPicPr/>
                  </pic:nvPicPr>
                  <pic:blipFill>
                    <a:blip r:embed="rId27"/>
                    <a:stretch>
                      <a:fillRect/>
                    </a:stretch>
                  </pic:blipFill>
                  <pic:spPr>
                    <a:xfrm>
                      <a:off x="0" y="0"/>
                      <a:ext cx="198755" cy="107950"/>
                    </a:xfrm>
                    <a:prstGeom prst="rect">
                      <a:avLst/>
                    </a:prstGeom>
                    <a:noFill/>
                    <a:ln>
                      <a:noFill/>
                    </a:ln>
                  </pic:spPr>
                </pic:pic>
              </a:graphicData>
            </a:graphic>
          </wp:inline>
        </w:drawing>
      </w:r>
    </w:p>
    <w:p w14:paraId="0F374689">
      <w:pPr>
        <w:spacing w:before="70" w:line="4187" w:lineRule="exact"/>
        <w:ind w:firstLine="640"/>
        <w:rPr>
          <w:highlight w:val="none"/>
        </w:rPr>
      </w:pPr>
      <w:r>
        <w:rPr>
          <w:position w:val="-83"/>
          <w:highlight w:val="none"/>
        </w:rPr>
        <w:drawing>
          <wp:inline distT="0" distB="0" distL="114300" distR="114300">
            <wp:extent cx="4544060" cy="2658110"/>
            <wp:effectExtent l="0" t="0" r="12700" b="8890"/>
            <wp:docPr id="18" name="图片 68"/>
            <wp:cNvGraphicFramePr/>
            <a:graphic xmlns:a="http://schemas.openxmlformats.org/drawingml/2006/main">
              <a:graphicData uri="http://schemas.openxmlformats.org/drawingml/2006/picture">
                <pic:pic xmlns:pic="http://schemas.openxmlformats.org/drawingml/2006/picture">
                  <pic:nvPicPr>
                    <pic:cNvPr id="18" name="图片 68"/>
                    <pic:cNvPicPr/>
                  </pic:nvPicPr>
                  <pic:blipFill>
                    <a:blip r:embed="rId28"/>
                    <a:stretch>
                      <a:fillRect/>
                    </a:stretch>
                  </pic:blipFill>
                  <pic:spPr>
                    <a:xfrm>
                      <a:off x="0" y="0"/>
                      <a:ext cx="4544060" cy="2658110"/>
                    </a:xfrm>
                    <a:prstGeom prst="rect">
                      <a:avLst/>
                    </a:prstGeom>
                    <a:noFill/>
                    <a:ln>
                      <a:noFill/>
                    </a:ln>
                  </pic:spPr>
                </pic:pic>
              </a:graphicData>
            </a:graphic>
          </wp:inline>
        </w:drawing>
      </w:r>
    </w:p>
    <w:p w14:paraId="586D5F7B">
      <w:pPr>
        <w:spacing w:line="263" w:lineRule="auto"/>
        <w:ind w:firstLine="600"/>
        <w:rPr>
          <w:rFonts w:ascii="Arial"/>
          <w:highlight w:val="none"/>
        </w:rPr>
      </w:pPr>
    </w:p>
    <w:p w14:paraId="2B5290B5">
      <w:pPr>
        <w:spacing w:line="263" w:lineRule="auto"/>
        <w:ind w:firstLine="600"/>
        <w:rPr>
          <w:rFonts w:ascii="Arial"/>
          <w:highlight w:val="none"/>
        </w:rPr>
      </w:pPr>
    </w:p>
    <w:p w14:paraId="358540E8">
      <w:pPr>
        <w:spacing w:line="263" w:lineRule="auto"/>
        <w:ind w:firstLine="600"/>
        <w:rPr>
          <w:rFonts w:ascii="Arial"/>
          <w:highlight w:val="none"/>
        </w:rPr>
      </w:pPr>
    </w:p>
    <w:p w14:paraId="47E24767">
      <w:pPr>
        <w:pStyle w:val="2"/>
        <w:spacing w:before="86" w:line="183" w:lineRule="auto"/>
        <w:ind w:left="210" w:right="210" w:firstLine="671"/>
        <w:outlineLvl w:val="0"/>
        <w:rPr>
          <w:highlight w:val="none"/>
        </w:rPr>
      </w:pPr>
      <w:r>
        <w:rPr>
          <w:b/>
          <w:bCs/>
          <w:color w:val="2D2D2E"/>
          <w:spacing w:val="7"/>
          <w:highlight w:val="none"/>
        </w:rPr>
        <w:t>冬装示意图</w:t>
      </w:r>
    </w:p>
    <w:p w14:paraId="53C410AC">
      <w:pPr>
        <w:spacing w:before="16" w:line="4873" w:lineRule="exact"/>
        <w:ind w:firstLine="640"/>
        <w:rPr>
          <w:highlight w:val="none"/>
        </w:rPr>
      </w:pPr>
      <w:r>
        <w:rPr>
          <w:position w:val="-97"/>
          <w:highlight w:val="none"/>
        </w:rPr>
        <w:drawing>
          <wp:inline distT="0" distB="0" distL="114300" distR="114300">
            <wp:extent cx="4501515" cy="3093720"/>
            <wp:effectExtent l="0" t="0" r="9525" b="0"/>
            <wp:docPr id="19" name="图片 69"/>
            <wp:cNvGraphicFramePr/>
            <a:graphic xmlns:a="http://schemas.openxmlformats.org/drawingml/2006/main">
              <a:graphicData uri="http://schemas.openxmlformats.org/drawingml/2006/picture">
                <pic:pic xmlns:pic="http://schemas.openxmlformats.org/drawingml/2006/picture">
                  <pic:nvPicPr>
                    <pic:cNvPr id="19" name="图片 69"/>
                    <pic:cNvPicPr/>
                  </pic:nvPicPr>
                  <pic:blipFill>
                    <a:blip r:embed="rId29"/>
                    <a:stretch>
                      <a:fillRect/>
                    </a:stretch>
                  </pic:blipFill>
                  <pic:spPr>
                    <a:xfrm>
                      <a:off x="0" y="0"/>
                      <a:ext cx="4501515" cy="3093720"/>
                    </a:xfrm>
                    <a:prstGeom prst="rect">
                      <a:avLst/>
                    </a:prstGeom>
                    <a:noFill/>
                    <a:ln>
                      <a:noFill/>
                    </a:ln>
                  </pic:spPr>
                </pic:pic>
              </a:graphicData>
            </a:graphic>
          </wp:inline>
        </w:drawing>
      </w:r>
    </w:p>
    <w:p w14:paraId="688C0E18">
      <w:pPr>
        <w:spacing w:line="4873" w:lineRule="exact"/>
        <w:ind w:firstLine="600"/>
        <w:rPr>
          <w:highlight w:val="none"/>
        </w:rPr>
        <w:sectPr>
          <w:headerReference r:id="rId10" w:type="default"/>
          <w:pgSz w:w="11905" w:h="16838"/>
          <w:pgMar w:top="2098" w:right="1531" w:bottom="1984" w:left="1531" w:header="850" w:footer="992" w:gutter="0"/>
          <w:pgBorders>
            <w:top w:val="none" w:sz="0" w:space="0"/>
            <w:left w:val="none" w:sz="0" w:space="0"/>
            <w:bottom w:val="none" w:sz="0" w:space="0"/>
            <w:right w:val="none" w:sz="0" w:space="0"/>
          </w:pgBorders>
          <w:pgNumType w:fmt="decimal"/>
          <w:cols w:space="720" w:num="1"/>
          <w:rtlGutter w:val="0"/>
          <w:docGrid w:linePitch="1" w:charSpace="0"/>
        </w:sectPr>
      </w:pPr>
    </w:p>
    <w:p w14:paraId="0880075A">
      <w:pPr>
        <w:pStyle w:val="2"/>
        <w:spacing w:before="168" w:line="183" w:lineRule="auto"/>
        <w:ind w:left="210" w:right="210" w:firstLine="667"/>
        <w:rPr>
          <w:highlight w:val="none"/>
        </w:rPr>
      </w:pPr>
      <w:r>
        <w:rPr>
          <w:b/>
          <w:bCs/>
          <w:color w:val="2D2D2E"/>
          <w:spacing w:val="6"/>
          <w:highlight w:val="none"/>
        </w:rPr>
        <w:t>下装示意图</w:t>
      </w:r>
    </w:p>
    <w:p w14:paraId="2A9EA086">
      <w:pPr>
        <w:spacing w:before="16" w:line="4255" w:lineRule="exact"/>
        <w:ind w:firstLine="640"/>
        <w:rPr>
          <w:highlight w:val="none"/>
        </w:rPr>
      </w:pPr>
      <w:r>
        <w:rPr>
          <w:position w:val="-85"/>
          <w:highlight w:val="none"/>
        </w:rPr>
        <w:drawing>
          <wp:inline distT="0" distB="0" distL="114300" distR="114300">
            <wp:extent cx="3006090" cy="2701290"/>
            <wp:effectExtent l="0" t="0" r="11430" b="11430"/>
            <wp:docPr id="20" name="图片 70"/>
            <wp:cNvGraphicFramePr/>
            <a:graphic xmlns:a="http://schemas.openxmlformats.org/drawingml/2006/main">
              <a:graphicData uri="http://schemas.openxmlformats.org/drawingml/2006/picture">
                <pic:pic xmlns:pic="http://schemas.openxmlformats.org/drawingml/2006/picture">
                  <pic:nvPicPr>
                    <pic:cNvPr id="20" name="图片 70"/>
                    <pic:cNvPicPr/>
                  </pic:nvPicPr>
                  <pic:blipFill>
                    <a:blip r:embed="rId30"/>
                    <a:stretch>
                      <a:fillRect/>
                    </a:stretch>
                  </pic:blipFill>
                  <pic:spPr>
                    <a:xfrm>
                      <a:off x="0" y="0"/>
                      <a:ext cx="3006090" cy="2701290"/>
                    </a:xfrm>
                    <a:prstGeom prst="rect">
                      <a:avLst/>
                    </a:prstGeom>
                    <a:noFill/>
                    <a:ln>
                      <a:noFill/>
                    </a:ln>
                  </pic:spPr>
                </pic:pic>
              </a:graphicData>
            </a:graphic>
          </wp:inline>
        </w:drawing>
      </w:r>
    </w:p>
    <w:p w14:paraId="235B4E5D">
      <w:pPr>
        <w:spacing w:line="301" w:lineRule="auto"/>
        <w:ind w:firstLine="600"/>
        <w:rPr>
          <w:rFonts w:ascii="Arial"/>
          <w:highlight w:val="none"/>
        </w:rPr>
      </w:pPr>
    </w:p>
    <w:p w14:paraId="660FC468">
      <w:pPr>
        <w:pStyle w:val="2"/>
        <w:spacing w:before="103" w:line="182" w:lineRule="auto"/>
        <w:ind w:left="210" w:right="210" w:firstLine="478"/>
        <w:outlineLvl w:val="0"/>
        <w:rPr>
          <w:sz w:val="24"/>
          <w:szCs w:val="24"/>
          <w:highlight w:val="none"/>
        </w:rPr>
      </w:pPr>
      <w:r>
        <w:rPr>
          <w:b/>
          <w:bCs/>
          <w:color w:val="00A54F"/>
          <w:spacing w:val="-1"/>
          <w:sz w:val="24"/>
          <w:szCs w:val="24"/>
          <w:highlight w:val="none"/>
        </w:rPr>
        <w:t>颜色色值</w:t>
      </w:r>
    </w:p>
    <w:p w14:paraId="15B8F1AF">
      <w:pPr>
        <w:spacing w:line="170" w:lineRule="exact"/>
        <w:ind w:left="2819" w:firstLine="640"/>
        <w:rPr>
          <w:highlight w:val="none"/>
        </w:rPr>
      </w:pPr>
      <w:r>
        <w:rPr>
          <w:position w:val="-3"/>
          <w:highlight w:val="none"/>
        </w:rPr>
        <w:drawing>
          <wp:inline distT="0" distB="0" distL="114300" distR="114300">
            <wp:extent cx="198755" cy="107950"/>
            <wp:effectExtent l="0" t="0" r="14605" b="13970"/>
            <wp:docPr id="21" name="图片 71"/>
            <wp:cNvGraphicFramePr/>
            <a:graphic xmlns:a="http://schemas.openxmlformats.org/drawingml/2006/main">
              <a:graphicData uri="http://schemas.openxmlformats.org/drawingml/2006/picture">
                <pic:pic xmlns:pic="http://schemas.openxmlformats.org/drawingml/2006/picture">
                  <pic:nvPicPr>
                    <pic:cNvPr id="21" name="图片 71"/>
                    <pic:cNvPicPr/>
                  </pic:nvPicPr>
                  <pic:blipFill>
                    <a:blip r:embed="rId31"/>
                    <a:stretch>
                      <a:fillRect/>
                    </a:stretch>
                  </pic:blipFill>
                  <pic:spPr>
                    <a:xfrm>
                      <a:off x="0" y="0"/>
                      <a:ext cx="198755" cy="107950"/>
                    </a:xfrm>
                    <a:prstGeom prst="rect">
                      <a:avLst/>
                    </a:prstGeom>
                    <a:noFill/>
                    <a:ln>
                      <a:noFill/>
                    </a:ln>
                  </pic:spPr>
                </pic:pic>
              </a:graphicData>
            </a:graphic>
          </wp:inline>
        </w:drawing>
      </w:r>
    </w:p>
    <w:p w14:paraId="4696A649">
      <w:pPr>
        <w:spacing w:before="200" w:line="589" w:lineRule="exact"/>
        <w:ind w:firstLine="640"/>
        <w:rPr>
          <w:highlight w:val="none"/>
        </w:rPr>
      </w:pPr>
      <w:r>
        <w:rPr>
          <w:position w:val="-11"/>
          <w:highlight w:val="none"/>
        </w:rPr>
        <w:drawing>
          <wp:inline distT="0" distB="0" distL="114300" distR="114300">
            <wp:extent cx="3718560" cy="374015"/>
            <wp:effectExtent l="0" t="0" r="0" b="6985"/>
            <wp:docPr id="22" name="图片 72"/>
            <wp:cNvGraphicFramePr/>
            <a:graphic xmlns:a="http://schemas.openxmlformats.org/drawingml/2006/main">
              <a:graphicData uri="http://schemas.openxmlformats.org/drawingml/2006/picture">
                <pic:pic xmlns:pic="http://schemas.openxmlformats.org/drawingml/2006/picture">
                  <pic:nvPicPr>
                    <pic:cNvPr id="22" name="图片 72"/>
                    <pic:cNvPicPr/>
                  </pic:nvPicPr>
                  <pic:blipFill>
                    <a:blip r:embed="rId32"/>
                    <a:stretch>
                      <a:fillRect/>
                    </a:stretch>
                  </pic:blipFill>
                  <pic:spPr>
                    <a:xfrm>
                      <a:off x="0" y="0"/>
                      <a:ext cx="3718560" cy="374015"/>
                    </a:xfrm>
                    <a:prstGeom prst="rect">
                      <a:avLst/>
                    </a:prstGeom>
                    <a:noFill/>
                    <a:ln>
                      <a:noFill/>
                    </a:ln>
                  </pic:spPr>
                </pic:pic>
              </a:graphicData>
            </a:graphic>
          </wp:inline>
        </w:drawing>
      </w:r>
    </w:p>
    <w:p w14:paraId="22AA9C01">
      <w:pPr>
        <w:pStyle w:val="2"/>
        <w:spacing w:before="132" w:line="174" w:lineRule="auto"/>
        <w:ind w:left="210" w:right="210" w:firstLine="612"/>
        <w:rPr>
          <w:highlight w:val="none"/>
        </w:rPr>
      </w:pPr>
      <w:r>
        <w:rPr>
          <w:color w:val="2D2D2E"/>
          <w:spacing w:val="-7"/>
          <w:highlight w:val="none"/>
        </w:rPr>
        <w:t>（C:95M:</w:t>
      </w:r>
      <w:r>
        <w:rPr>
          <w:rFonts w:hint="eastAsia"/>
          <w:color w:val="2D2D2E"/>
          <w:spacing w:val="-7"/>
          <w:highlight w:val="none"/>
          <w:lang w:eastAsia="zh-CN"/>
        </w:rPr>
        <w:t>65</w:t>
      </w:r>
      <w:r>
        <w:rPr>
          <w:color w:val="2D2D2E"/>
          <w:spacing w:val="-7"/>
          <w:highlight w:val="none"/>
        </w:rPr>
        <w:t>Y:25  K:0</w:t>
      </w:r>
      <w:r>
        <w:rPr>
          <w:color w:val="2D2D2E"/>
          <w:spacing w:val="-37"/>
          <w:highlight w:val="none"/>
        </w:rPr>
        <w:t>）（</w:t>
      </w:r>
      <w:r>
        <w:rPr>
          <w:color w:val="2D2D2E"/>
          <w:spacing w:val="-7"/>
          <w:highlight w:val="none"/>
        </w:rPr>
        <w:t>C:70M:35  Y:100  K:0）</w:t>
      </w:r>
    </w:p>
    <w:p w14:paraId="2782C032">
      <w:pPr>
        <w:spacing w:line="292" w:lineRule="auto"/>
        <w:ind w:firstLine="600"/>
        <w:rPr>
          <w:rFonts w:ascii="Arial"/>
          <w:highlight w:val="none"/>
        </w:rPr>
      </w:pPr>
    </w:p>
    <w:p w14:paraId="722543A5">
      <w:pPr>
        <w:pStyle w:val="2"/>
        <w:spacing w:before="103" w:line="182" w:lineRule="auto"/>
        <w:ind w:left="210" w:right="210" w:firstLine="478"/>
        <w:outlineLvl w:val="0"/>
        <w:rPr>
          <w:sz w:val="24"/>
          <w:szCs w:val="24"/>
          <w:highlight w:val="none"/>
        </w:rPr>
      </w:pPr>
      <w:r>
        <w:rPr>
          <w:b/>
          <w:bCs/>
          <w:color w:val="00A54F"/>
          <w:spacing w:val="-1"/>
          <w:sz w:val="24"/>
          <w:szCs w:val="24"/>
          <w:highlight w:val="none"/>
        </w:rPr>
        <w:t>工作牌示意图</w:t>
      </w:r>
    </w:p>
    <w:p w14:paraId="27B79AC3">
      <w:pPr>
        <w:spacing w:line="170" w:lineRule="exact"/>
        <w:ind w:left="2819" w:firstLine="640"/>
        <w:rPr>
          <w:highlight w:val="none"/>
        </w:rPr>
      </w:pPr>
      <w:r>
        <w:rPr>
          <w:position w:val="-3"/>
          <w:highlight w:val="none"/>
        </w:rPr>
        <w:drawing>
          <wp:inline distT="0" distB="0" distL="114300" distR="114300">
            <wp:extent cx="198755" cy="107950"/>
            <wp:effectExtent l="0" t="0" r="14605" b="13970"/>
            <wp:docPr id="24" name="图片 73"/>
            <wp:cNvGraphicFramePr/>
            <a:graphic xmlns:a="http://schemas.openxmlformats.org/drawingml/2006/main">
              <a:graphicData uri="http://schemas.openxmlformats.org/drawingml/2006/picture">
                <pic:pic xmlns:pic="http://schemas.openxmlformats.org/drawingml/2006/picture">
                  <pic:nvPicPr>
                    <pic:cNvPr id="24" name="图片 73"/>
                    <pic:cNvPicPr/>
                  </pic:nvPicPr>
                  <pic:blipFill>
                    <a:blip r:embed="rId33"/>
                    <a:stretch>
                      <a:fillRect/>
                    </a:stretch>
                  </pic:blipFill>
                  <pic:spPr>
                    <a:xfrm>
                      <a:off x="0" y="0"/>
                      <a:ext cx="198755" cy="107950"/>
                    </a:xfrm>
                    <a:prstGeom prst="rect">
                      <a:avLst/>
                    </a:prstGeom>
                    <a:noFill/>
                    <a:ln>
                      <a:noFill/>
                    </a:ln>
                  </pic:spPr>
                </pic:pic>
              </a:graphicData>
            </a:graphic>
          </wp:inline>
        </w:drawing>
      </w:r>
    </w:p>
    <w:p w14:paraId="545B782B">
      <w:pPr>
        <w:rPr>
          <w:rFonts w:hint="eastAsia"/>
        </w:rPr>
      </w:pPr>
      <w:r>
        <w:rPr>
          <w:position w:val="-63"/>
          <w:highlight w:val="none"/>
        </w:rPr>
        <w:drawing>
          <wp:inline distT="0" distB="0" distL="114300" distR="114300">
            <wp:extent cx="2987675" cy="2031365"/>
            <wp:effectExtent l="0" t="0" r="14605" b="10795"/>
            <wp:docPr id="25" name="图片 74"/>
            <wp:cNvGraphicFramePr/>
            <a:graphic xmlns:a="http://schemas.openxmlformats.org/drawingml/2006/main">
              <a:graphicData uri="http://schemas.openxmlformats.org/drawingml/2006/picture">
                <pic:pic xmlns:pic="http://schemas.openxmlformats.org/drawingml/2006/picture">
                  <pic:nvPicPr>
                    <pic:cNvPr id="25" name="图片 74"/>
                    <pic:cNvPicPr/>
                  </pic:nvPicPr>
                  <pic:blipFill>
                    <a:blip r:embed="rId34"/>
                    <a:stretch>
                      <a:fillRect/>
                    </a:stretch>
                  </pic:blipFill>
                  <pic:spPr>
                    <a:xfrm>
                      <a:off x="0" y="0"/>
                      <a:ext cx="2987675" cy="2031365"/>
                    </a:xfrm>
                    <a:prstGeom prst="rect">
                      <a:avLst/>
                    </a:prstGeom>
                    <a:noFill/>
                    <a:ln>
                      <a:noFill/>
                    </a:ln>
                  </pic:spPr>
                </pic:pic>
              </a:graphicData>
            </a:graphic>
          </wp:inline>
        </w:drawing>
      </w:r>
    </w:p>
    <w:p w14:paraId="1DE368DD">
      <w:pPr>
        <w:pStyle w:val="4"/>
        <w:spacing w:before="0" w:beforeLines="0" w:after="0" w:afterLines="0" w:line="360" w:lineRule="auto"/>
        <w:rPr>
          <w:rFonts w:hint="eastAsia" w:ascii="宋体" w:hAnsi="宋体" w:eastAsia="宋体"/>
          <w:b/>
          <w:color w:val="000000"/>
        </w:rPr>
      </w:pPr>
      <w:r>
        <w:rPr>
          <w:rFonts w:hint="eastAsia" w:ascii="宋体" w:hAnsi="宋体" w:eastAsia="宋体" w:cs="Times New Roman"/>
          <w:b/>
          <w:color w:val="000000"/>
        </w:rPr>
        <w:br w:type="page"/>
      </w:r>
      <w:bookmarkStart w:id="36" w:name="_Toc19091"/>
      <w:r>
        <w:rPr>
          <w:rFonts w:hint="eastAsia" w:ascii="宋体" w:hAnsi="宋体" w:eastAsia="宋体" w:cs="Times New Roman"/>
          <w:b/>
          <w:color w:val="000000"/>
          <w:lang w:eastAsia="zh-CN"/>
        </w:rPr>
        <w:t>第四篇</w:t>
      </w:r>
      <w:r>
        <w:rPr>
          <w:rFonts w:hint="eastAsia" w:ascii="宋体" w:hAnsi="宋体" w:eastAsia="宋体" w:cs="Times New Roman"/>
          <w:b/>
          <w:color w:val="000000"/>
          <w:lang w:val="en-US" w:eastAsia="zh-CN"/>
        </w:rPr>
        <w:t xml:space="preserve"> </w:t>
      </w:r>
      <w:r>
        <w:rPr>
          <w:rFonts w:hint="eastAsia" w:ascii="宋体" w:hAnsi="宋体" w:eastAsia="宋体" w:cs="Times New Roman"/>
          <w:b/>
          <w:color w:val="000000"/>
        </w:rPr>
        <w:t>资格审查及</w:t>
      </w:r>
      <w:r>
        <w:rPr>
          <w:rFonts w:hint="eastAsia" w:ascii="宋体" w:hAnsi="宋体" w:eastAsia="宋体" w:cs="Times New Roman"/>
          <w:b/>
          <w:color w:val="000000"/>
          <w:lang w:val="en-US" w:eastAsia="zh-CN"/>
        </w:rPr>
        <w:t>评审</w:t>
      </w:r>
      <w:r>
        <w:rPr>
          <w:rFonts w:hint="eastAsia" w:ascii="宋体" w:hAnsi="宋体" w:eastAsia="宋体" w:cs="Times New Roman"/>
          <w:b/>
          <w:color w:val="000000"/>
        </w:rPr>
        <w:t>办法</w:t>
      </w:r>
      <w:bookmarkEnd w:id="36"/>
    </w:p>
    <w:p w14:paraId="758B0A6B">
      <w:pPr>
        <w:pStyle w:val="5"/>
        <w:spacing w:line="400" w:lineRule="exact"/>
        <w:ind w:firstLine="482" w:firstLineChars="200"/>
        <w:rPr>
          <w:rFonts w:hint="eastAsia"/>
          <w:b/>
          <w:color w:val="000000"/>
          <w:sz w:val="24"/>
          <w:szCs w:val="24"/>
        </w:rPr>
      </w:pPr>
      <w:bookmarkStart w:id="37" w:name="_Toc20874"/>
      <w:bookmarkStart w:id="38" w:name="_Toc27511"/>
      <w:bookmarkStart w:id="39" w:name="_Toc15627"/>
      <w:r>
        <w:rPr>
          <w:rFonts w:hint="eastAsia"/>
          <w:b/>
          <w:color w:val="000000"/>
          <w:sz w:val="24"/>
          <w:szCs w:val="24"/>
        </w:rPr>
        <w:t>一、资格审查及符合性审查</w:t>
      </w:r>
      <w:bookmarkEnd w:id="37"/>
      <w:bookmarkEnd w:id="38"/>
      <w:bookmarkEnd w:id="39"/>
    </w:p>
    <w:p w14:paraId="026A6C5D">
      <w:pPr>
        <w:snapToGrid w:val="0"/>
        <w:spacing w:line="400" w:lineRule="exact"/>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若未通过资格审查及符合性审查的响应文件，不进入评审环节。</w:t>
      </w:r>
    </w:p>
    <w:p w14:paraId="3E377B92">
      <w:pPr>
        <w:snapToGrid w:val="0"/>
        <w:spacing w:line="400" w:lineRule="exact"/>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（一）资格审查。</w:t>
      </w:r>
    </w:p>
    <w:p w14:paraId="64D471F1">
      <w:pPr>
        <w:snapToGrid w:val="0"/>
        <w:spacing w:line="400" w:lineRule="exact"/>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由</w:t>
      </w:r>
      <w:r>
        <w:rPr>
          <w:rFonts w:hint="eastAsia" w:ascii="宋体" w:hAnsi="宋体" w:cs="宋体"/>
          <w:color w:val="000000"/>
          <w:kern w:val="0"/>
          <w:sz w:val="24"/>
          <w:szCs w:val="24"/>
          <w:lang w:eastAsia="zh-CN"/>
        </w:rPr>
        <w:t>竞选组织人</w:t>
      </w:r>
      <w:r>
        <w:rPr>
          <w:rFonts w:hint="eastAsia" w:ascii="宋体" w:hAnsi="宋体" w:cs="宋体"/>
          <w:color w:val="000000"/>
          <w:kern w:val="0"/>
          <w:sz w:val="24"/>
          <w:szCs w:val="24"/>
        </w:rPr>
        <w:t>对响应文件中的资格证明文件进行审查。资格审查资料表如下：</w:t>
      </w:r>
    </w:p>
    <w:tbl>
      <w:tblPr>
        <w:tblStyle w:val="57"/>
        <w:tblW w:w="9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622"/>
        <w:gridCol w:w="822"/>
        <w:gridCol w:w="2378"/>
        <w:gridCol w:w="2415"/>
        <w:gridCol w:w="2404"/>
      </w:tblGrid>
      <w:tr w14:paraId="10D8B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Borders>
              <w:top w:val="single" w:color="auto" w:sz="4" w:space="0"/>
              <w:left w:val="single" w:color="auto" w:sz="4" w:space="0"/>
              <w:bottom w:val="single" w:color="auto" w:sz="4" w:space="0"/>
              <w:right w:val="single" w:color="auto" w:sz="4" w:space="0"/>
            </w:tcBorders>
            <w:noWrap w:val="0"/>
            <w:vAlign w:val="center"/>
          </w:tcPr>
          <w:p w14:paraId="6A453619">
            <w:pPr>
              <w:jc w:val="center"/>
              <w:rPr>
                <w:rFonts w:hint="eastAsia" w:ascii="宋体" w:hAnsi="宋体" w:cs="宋体"/>
                <w:b/>
                <w:color w:val="000000"/>
                <w:kern w:val="0"/>
                <w:sz w:val="21"/>
                <w:szCs w:val="21"/>
              </w:rPr>
            </w:pPr>
            <w:r>
              <w:rPr>
                <w:rFonts w:hint="eastAsia" w:ascii="宋体" w:hAnsi="宋体" w:cs="宋体"/>
                <w:b/>
                <w:color w:val="000000"/>
                <w:kern w:val="0"/>
                <w:sz w:val="21"/>
                <w:szCs w:val="21"/>
              </w:rPr>
              <w:t>序号</w:t>
            </w:r>
          </w:p>
        </w:tc>
        <w:tc>
          <w:tcPr>
            <w:tcW w:w="3822" w:type="dxa"/>
            <w:gridSpan w:val="3"/>
            <w:tcBorders>
              <w:top w:val="single" w:color="auto" w:sz="4" w:space="0"/>
              <w:left w:val="single" w:color="auto" w:sz="4" w:space="0"/>
              <w:bottom w:val="single" w:color="auto" w:sz="4" w:space="0"/>
              <w:right w:val="single" w:color="auto" w:sz="4" w:space="0"/>
            </w:tcBorders>
            <w:noWrap w:val="0"/>
            <w:vAlign w:val="center"/>
          </w:tcPr>
          <w:p w14:paraId="626AEADB">
            <w:pPr>
              <w:jc w:val="center"/>
              <w:rPr>
                <w:rFonts w:hint="eastAsia" w:ascii="宋体" w:hAnsi="宋体" w:cs="宋体"/>
                <w:b/>
                <w:color w:val="000000"/>
                <w:kern w:val="0"/>
                <w:sz w:val="21"/>
                <w:szCs w:val="21"/>
              </w:rPr>
            </w:pPr>
            <w:r>
              <w:rPr>
                <w:rFonts w:hint="eastAsia" w:ascii="宋体" w:hAnsi="宋体" w:cs="宋体"/>
                <w:b/>
                <w:color w:val="000000"/>
                <w:kern w:val="0"/>
                <w:sz w:val="21"/>
                <w:szCs w:val="21"/>
              </w:rPr>
              <w:t>检查因素</w:t>
            </w:r>
          </w:p>
        </w:tc>
        <w:tc>
          <w:tcPr>
            <w:tcW w:w="2415" w:type="dxa"/>
            <w:tcBorders>
              <w:top w:val="single" w:color="auto" w:sz="4" w:space="0"/>
              <w:left w:val="single" w:color="auto" w:sz="4" w:space="0"/>
              <w:bottom w:val="single" w:color="auto" w:sz="4" w:space="0"/>
              <w:right w:val="single" w:color="auto" w:sz="4" w:space="0"/>
            </w:tcBorders>
            <w:noWrap w:val="0"/>
            <w:vAlign w:val="center"/>
          </w:tcPr>
          <w:p w14:paraId="30739041">
            <w:pPr>
              <w:jc w:val="center"/>
              <w:rPr>
                <w:rFonts w:hint="eastAsia" w:ascii="宋体" w:hAnsi="宋体" w:cs="宋体"/>
                <w:b/>
                <w:color w:val="000000"/>
                <w:kern w:val="0"/>
                <w:sz w:val="21"/>
                <w:szCs w:val="21"/>
              </w:rPr>
            </w:pPr>
            <w:r>
              <w:rPr>
                <w:rFonts w:hint="eastAsia" w:ascii="宋体" w:hAnsi="宋体" w:cs="宋体"/>
                <w:b/>
                <w:color w:val="000000"/>
                <w:kern w:val="0"/>
                <w:sz w:val="21"/>
                <w:szCs w:val="21"/>
              </w:rPr>
              <w:t>检查内容</w:t>
            </w:r>
          </w:p>
        </w:tc>
        <w:tc>
          <w:tcPr>
            <w:tcW w:w="2404" w:type="dxa"/>
            <w:tcBorders>
              <w:top w:val="single" w:color="auto" w:sz="4" w:space="0"/>
              <w:left w:val="single" w:color="auto" w:sz="4" w:space="0"/>
              <w:bottom w:val="single" w:color="auto" w:sz="4" w:space="0"/>
              <w:right w:val="single" w:color="auto" w:sz="4" w:space="0"/>
            </w:tcBorders>
            <w:noWrap w:val="0"/>
            <w:vAlign w:val="center"/>
          </w:tcPr>
          <w:p w14:paraId="01D543F2">
            <w:pPr>
              <w:jc w:val="center"/>
              <w:rPr>
                <w:rFonts w:hint="eastAsia" w:ascii="宋体" w:hAnsi="宋体" w:cs="宋体"/>
                <w:b/>
                <w:color w:val="000000"/>
                <w:kern w:val="0"/>
                <w:sz w:val="21"/>
                <w:szCs w:val="21"/>
              </w:rPr>
            </w:pPr>
            <w:r>
              <w:rPr>
                <w:rFonts w:hint="eastAsia" w:ascii="宋体" w:hAnsi="宋体" w:cs="宋体"/>
                <w:b/>
                <w:color w:val="000000"/>
                <w:kern w:val="0"/>
                <w:sz w:val="21"/>
                <w:szCs w:val="21"/>
                <w:lang w:eastAsia="zh-CN"/>
              </w:rPr>
              <w:t>竞选人</w:t>
            </w:r>
            <w:r>
              <w:rPr>
                <w:rFonts w:hint="eastAsia" w:ascii="宋体" w:hAnsi="宋体" w:cs="宋体"/>
                <w:b/>
                <w:color w:val="000000"/>
                <w:kern w:val="0"/>
                <w:sz w:val="21"/>
                <w:szCs w:val="21"/>
              </w:rPr>
              <w:t>应当提交的资格材料</w:t>
            </w:r>
          </w:p>
        </w:tc>
      </w:tr>
      <w:tr w14:paraId="3102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817" w:type="dxa"/>
            <w:vMerge w:val="restart"/>
            <w:noWrap w:val="0"/>
            <w:vAlign w:val="center"/>
          </w:tcPr>
          <w:p w14:paraId="10A7089B">
            <w:pPr>
              <w:jc w:val="center"/>
              <w:rPr>
                <w:rFonts w:ascii="宋体" w:hAnsi="宋体" w:cs="宋体"/>
                <w:color w:val="000000"/>
                <w:sz w:val="21"/>
                <w:szCs w:val="21"/>
              </w:rPr>
            </w:pPr>
            <w:r>
              <w:rPr>
                <w:rFonts w:hint="eastAsia" w:ascii="宋体" w:hAnsi="宋体" w:cs="宋体"/>
                <w:color w:val="000000"/>
                <w:sz w:val="21"/>
                <w:szCs w:val="21"/>
              </w:rPr>
              <w:t>1</w:t>
            </w:r>
          </w:p>
        </w:tc>
        <w:tc>
          <w:tcPr>
            <w:tcW w:w="622" w:type="dxa"/>
            <w:vMerge w:val="restart"/>
            <w:noWrap w:val="0"/>
            <w:vAlign w:val="center"/>
          </w:tcPr>
          <w:p w14:paraId="395AAF68">
            <w:pPr>
              <w:rPr>
                <w:rFonts w:ascii="宋体" w:hAnsi="宋体" w:cs="宋体"/>
                <w:color w:val="000000"/>
                <w:sz w:val="21"/>
                <w:szCs w:val="21"/>
              </w:rPr>
            </w:pPr>
            <w:r>
              <w:rPr>
                <w:rFonts w:hint="eastAsia" w:ascii="宋体" w:hAnsi="宋体" w:cs="宋体"/>
                <w:color w:val="000000"/>
                <w:sz w:val="21"/>
                <w:szCs w:val="21"/>
                <w:lang w:eastAsia="zh-CN"/>
              </w:rPr>
              <w:t>竞选人</w:t>
            </w:r>
            <w:r>
              <w:rPr>
                <w:rFonts w:hint="eastAsia" w:ascii="宋体" w:hAnsi="宋体" w:cs="宋体"/>
                <w:color w:val="000000"/>
                <w:sz w:val="21"/>
                <w:szCs w:val="21"/>
              </w:rPr>
              <w:t>资格条件</w:t>
            </w:r>
          </w:p>
        </w:tc>
        <w:tc>
          <w:tcPr>
            <w:tcW w:w="822" w:type="dxa"/>
            <w:vMerge w:val="restart"/>
            <w:noWrap w:val="0"/>
            <w:vAlign w:val="center"/>
          </w:tcPr>
          <w:p w14:paraId="138E0759">
            <w:pPr>
              <w:rPr>
                <w:rFonts w:hint="eastAsia" w:ascii="宋体" w:hAnsi="宋体" w:cs="宋体"/>
                <w:color w:val="000000"/>
                <w:sz w:val="21"/>
                <w:szCs w:val="21"/>
              </w:rPr>
            </w:pPr>
            <w:r>
              <w:rPr>
                <w:rFonts w:hint="eastAsia" w:ascii="宋体" w:hAnsi="宋体" w:cs="宋体"/>
                <w:color w:val="000000"/>
                <w:sz w:val="21"/>
                <w:szCs w:val="21"/>
                <w:lang w:val="zh-CN"/>
              </w:rPr>
              <w:t>《中华人民共和国政府采购法》第二十二条规定</w:t>
            </w:r>
          </w:p>
        </w:tc>
        <w:tc>
          <w:tcPr>
            <w:tcW w:w="2378" w:type="dxa"/>
            <w:vMerge w:val="restart"/>
            <w:noWrap w:val="0"/>
            <w:vAlign w:val="center"/>
          </w:tcPr>
          <w:p w14:paraId="54E37E98">
            <w:pPr>
              <w:rPr>
                <w:rFonts w:hint="eastAsia" w:ascii="宋体" w:hAnsi="宋体" w:cs="宋体"/>
                <w:color w:val="000000"/>
                <w:sz w:val="21"/>
                <w:szCs w:val="21"/>
              </w:rPr>
            </w:pPr>
            <w:r>
              <w:rPr>
                <w:rFonts w:hint="eastAsia" w:ascii="宋体" w:hAnsi="宋体" w:cs="宋体"/>
                <w:color w:val="000000"/>
                <w:sz w:val="21"/>
                <w:szCs w:val="21"/>
              </w:rPr>
              <w:t>1.具有独立承担民事责任的能力</w:t>
            </w:r>
          </w:p>
        </w:tc>
        <w:tc>
          <w:tcPr>
            <w:tcW w:w="2415" w:type="dxa"/>
            <w:noWrap w:val="0"/>
            <w:vAlign w:val="center"/>
          </w:tcPr>
          <w:p w14:paraId="3FA752AC">
            <w:pPr>
              <w:rPr>
                <w:rFonts w:hint="eastAsia" w:ascii="宋体" w:hAnsi="宋体" w:cs="宋体"/>
                <w:color w:val="000000"/>
                <w:sz w:val="21"/>
                <w:szCs w:val="21"/>
              </w:rPr>
            </w:pPr>
            <w:r>
              <w:rPr>
                <w:rFonts w:hint="eastAsia" w:ascii="宋体" w:hAnsi="宋体" w:cs="宋体"/>
                <w:color w:val="000000"/>
                <w:sz w:val="21"/>
                <w:szCs w:val="21"/>
                <w:lang w:eastAsia="zh-CN"/>
              </w:rPr>
              <w:t>竞选人</w:t>
            </w:r>
            <w:r>
              <w:rPr>
                <w:rFonts w:hint="eastAsia" w:ascii="宋体" w:hAnsi="宋体" w:cs="宋体"/>
                <w:color w:val="000000"/>
                <w:sz w:val="21"/>
                <w:szCs w:val="21"/>
              </w:rPr>
              <w:t>的营业执照（副本）或事业单位法人证书（副本）或社会团体法人登记证书。</w:t>
            </w:r>
          </w:p>
        </w:tc>
        <w:tc>
          <w:tcPr>
            <w:tcW w:w="2404" w:type="dxa"/>
            <w:noWrap w:val="0"/>
            <w:vAlign w:val="center"/>
          </w:tcPr>
          <w:p w14:paraId="0CB93F3C">
            <w:pPr>
              <w:rPr>
                <w:rFonts w:hint="eastAsia" w:ascii="宋体" w:hAnsi="宋体" w:cs="宋体"/>
                <w:color w:val="000000"/>
                <w:sz w:val="21"/>
                <w:szCs w:val="21"/>
              </w:rPr>
            </w:pPr>
            <w:r>
              <w:rPr>
                <w:rFonts w:hint="eastAsia" w:ascii="宋体" w:hAnsi="宋体" w:cs="宋体"/>
                <w:color w:val="000000"/>
                <w:sz w:val="21"/>
                <w:szCs w:val="21"/>
              </w:rPr>
              <w:t>营业执照（副本）或事业单位法人证书（副本）或社会团体法人登记证书。</w:t>
            </w:r>
          </w:p>
        </w:tc>
      </w:tr>
      <w:tr w14:paraId="30C19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17" w:type="dxa"/>
            <w:vMerge w:val="continue"/>
            <w:noWrap w:val="0"/>
            <w:vAlign w:val="center"/>
          </w:tcPr>
          <w:p w14:paraId="6D804E86">
            <w:pPr>
              <w:jc w:val="center"/>
              <w:rPr>
                <w:rFonts w:hint="eastAsia" w:ascii="宋体" w:hAnsi="宋体" w:cs="宋体"/>
                <w:color w:val="000000"/>
                <w:sz w:val="21"/>
                <w:szCs w:val="21"/>
              </w:rPr>
            </w:pPr>
          </w:p>
        </w:tc>
        <w:tc>
          <w:tcPr>
            <w:tcW w:w="622" w:type="dxa"/>
            <w:vMerge w:val="continue"/>
            <w:noWrap w:val="0"/>
            <w:vAlign w:val="center"/>
          </w:tcPr>
          <w:p w14:paraId="2CBFA974">
            <w:pPr>
              <w:rPr>
                <w:rFonts w:hint="eastAsia" w:ascii="宋体" w:hAnsi="宋体" w:cs="宋体"/>
                <w:color w:val="000000"/>
                <w:sz w:val="21"/>
                <w:szCs w:val="21"/>
                <w:lang w:val="zh-CN"/>
              </w:rPr>
            </w:pPr>
          </w:p>
        </w:tc>
        <w:tc>
          <w:tcPr>
            <w:tcW w:w="822" w:type="dxa"/>
            <w:vMerge w:val="continue"/>
            <w:noWrap w:val="0"/>
            <w:vAlign w:val="center"/>
          </w:tcPr>
          <w:p w14:paraId="330085EF">
            <w:pPr>
              <w:rPr>
                <w:rFonts w:hint="eastAsia" w:ascii="宋体" w:hAnsi="宋体" w:cs="宋体"/>
                <w:color w:val="000000"/>
                <w:sz w:val="21"/>
                <w:szCs w:val="21"/>
              </w:rPr>
            </w:pPr>
          </w:p>
        </w:tc>
        <w:tc>
          <w:tcPr>
            <w:tcW w:w="2378" w:type="dxa"/>
            <w:vMerge w:val="continue"/>
            <w:noWrap w:val="0"/>
            <w:vAlign w:val="center"/>
          </w:tcPr>
          <w:p w14:paraId="54A98AD5">
            <w:pPr>
              <w:rPr>
                <w:rFonts w:hint="eastAsia" w:ascii="宋体" w:hAnsi="宋体" w:cs="宋体"/>
                <w:color w:val="000000"/>
                <w:sz w:val="21"/>
                <w:szCs w:val="21"/>
              </w:rPr>
            </w:pPr>
          </w:p>
        </w:tc>
        <w:tc>
          <w:tcPr>
            <w:tcW w:w="2415" w:type="dxa"/>
            <w:noWrap w:val="0"/>
            <w:vAlign w:val="center"/>
          </w:tcPr>
          <w:p w14:paraId="50A214B3">
            <w:pPr>
              <w:rPr>
                <w:rFonts w:hint="eastAsia" w:ascii="宋体" w:hAnsi="宋体" w:cs="宋体"/>
                <w:color w:val="000000"/>
                <w:sz w:val="21"/>
                <w:szCs w:val="21"/>
              </w:rPr>
            </w:pPr>
            <w:r>
              <w:rPr>
                <w:rFonts w:hint="eastAsia" w:ascii="宋体" w:hAnsi="宋体" w:cs="宋体"/>
                <w:color w:val="000000"/>
                <w:sz w:val="21"/>
                <w:szCs w:val="21"/>
                <w:lang w:eastAsia="zh-CN"/>
              </w:rPr>
              <w:t>竞选人</w:t>
            </w:r>
            <w:r>
              <w:rPr>
                <w:rFonts w:hint="eastAsia" w:ascii="宋体" w:hAnsi="宋体" w:cs="宋体"/>
                <w:color w:val="000000"/>
                <w:sz w:val="21"/>
                <w:szCs w:val="21"/>
              </w:rPr>
              <w:t>法定代表人身份证明和法定代表人授权代表委托书。</w:t>
            </w:r>
          </w:p>
        </w:tc>
        <w:tc>
          <w:tcPr>
            <w:tcW w:w="2404" w:type="dxa"/>
            <w:noWrap w:val="0"/>
            <w:vAlign w:val="center"/>
          </w:tcPr>
          <w:p w14:paraId="11A97622">
            <w:pPr>
              <w:rPr>
                <w:rFonts w:hint="eastAsia" w:ascii="宋体" w:hAnsi="宋体" w:cs="宋体"/>
                <w:color w:val="000000"/>
                <w:sz w:val="21"/>
                <w:szCs w:val="21"/>
              </w:rPr>
            </w:pPr>
            <w:r>
              <w:rPr>
                <w:rFonts w:hint="eastAsia" w:ascii="宋体" w:hAnsi="宋体" w:cs="宋体"/>
                <w:color w:val="000000"/>
                <w:sz w:val="21"/>
                <w:szCs w:val="21"/>
                <w:lang w:eastAsia="zh-CN"/>
              </w:rPr>
              <w:t>竞选人</w:t>
            </w:r>
            <w:r>
              <w:rPr>
                <w:rFonts w:hint="eastAsia" w:ascii="宋体" w:hAnsi="宋体" w:cs="宋体"/>
                <w:color w:val="000000"/>
                <w:sz w:val="21"/>
                <w:szCs w:val="21"/>
              </w:rPr>
              <w:t>法定代表人身份证明和法定代表人授权代表委托书。</w:t>
            </w:r>
          </w:p>
        </w:tc>
      </w:tr>
      <w:tr w14:paraId="2EBD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21624EA9">
            <w:pPr>
              <w:jc w:val="center"/>
              <w:rPr>
                <w:rFonts w:hint="eastAsia" w:ascii="宋体" w:hAnsi="宋体" w:cs="宋体"/>
                <w:color w:val="000000"/>
                <w:sz w:val="21"/>
                <w:szCs w:val="21"/>
              </w:rPr>
            </w:pPr>
          </w:p>
        </w:tc>
        <w:tc>
          <w:tcPr>
            <w:tcW w:w="622" w:type="dxa"/>
            <w:vMerge w:val="continue"/>
            <w:noWrap w:val="0"/>
            <w:vAlign w:val="center"/>
          </w:tcPr>
          <w:p w14:paraId="4DE4F4D6">
            <w:pPr>
              <w:rPr>
                <w:rFonts w:hint="eastAsia" w:ascii="宋体" w:hAnsi="宋体" w:cs="宋体"/>
                <w:color w:val="000000"/>
                <w:sz w:val="21"/>
                <w:szCs w:val="21"/>
                <w:lang w:val="zh-CN"/>
              </w:rPr>
            </w:pPr>
          </w:p>
        </w:tc>
        <w:tc>
          <w:tcPr>
            <w:tcW w:w="822" w:type="dxa"/>
            <w:vMerge w:val="continue"/>
            <w:noWrap w:val="0"/>
            <w:vAlign w:val="center"/>
          </w:tcPr>
          <w:p w14:paraId="68FE831E">
            <w:pPr>
              <w:rPr>
                <w:rFonts w:hint="eastAsia" w:ascii="宋体" w:hAnsi="宋体" w:cs="宋体"/>
                <w:color w:val="000000"/>
                <w:sz w:val="21"/>
                <w:szCs w:val="21"/>
              </w:rPr>
            </w:pPr>
          </w:p>
        </w:tc>
        <w:tc>
          <w:tcPr>
            <w:tcW w:w="2378" w:type="dxa"/>
            <w:noWrap w:val="0"/>
            <w:vAlign w:val="center"/>
          </w:tcPr>
          <w:p w14:paraId="70BE3EB7">
            <w:pPr>
              <w:rPr>
                <w:rFonts w:hint="eastAsia" w:ascii="宋体" w:hAnsi="宋体" w:cs="宋体"/>
                <w:color w:val="000000"/>
                <w:sz w:val="21"/>
                <w:szCs w:val="21"/>
                <w:lang w:val="zh-CN"/>
              </w:rPr>
            </w:pPr>
            <w:r>
              <w:rPr>
                <w:rFonts w:hint="eastAsia" w:ascii="宋体" w:hAnsi="宋体" w:cs="宋体"/>
                <w:color w:val="000000"/>
                <w:sz w:val="21"/>
                <w:szCs w:val="21"/>
                <w:lang w:val="zh-CN"/>
              </w:rPr>
              <w:t>2.</w:t>
            </w:r>
            <w:r>
              <w:rPr>
                <w:rFonts w:hint="eastAsia" w:ascii="宋体" w:hAnsi="宋体" w:cs="宋体"/>
                <w:color w:val="000000"/>
                <w:sz w:val="21"/>
                <w:szCs w:val="21"/>
              </w:rPr>
              <w:t>具有良好的商业信誉和健全的财务会计制度</w:t>
            </w:r>
          </w:p>
        </w:tc>
        <w:tc>
          <w:tcPr>
            <w:tcW w:w="2415" w:type="dxa"/>
            <w:vMerge w:val="restart"/>
            <w:noWrap w:val="0"/>
            <w:vAlign w:val="center"/>
          </w:tcPr>
          <w:p w14:paraId="689CCFD7">
            <w:pPr>
              <w:rPr>
                <w:rFonts w:hint="eastAsia" w:ascii="宋体" w:hAnsi="宋体" w:cs="宋体"/>
                <w:color w:val="000000"/>
                <w:sz w:val="21"/>
                <w:szCs w:val="21"/>
                <w:highlight w:val="none"/>
              </w:rPr>
            </w:pPr>
            <w:r>
              <w:rPr>
                <w:rFonts w:hint="eastAsia" w:ascii="宋体" w:hAnsi="宋体" w:cs="宋体"/>
                <w:color w:val="000000"/>
                <w:sz w:val="21"/>
                <w:szCs w:val="21"/>
                <w:highlight w:val="none"/>
              </w:rPr>
              <w:t>基本资格条件承诺</w:t>
            </w:r>
            <w:r>
              <w:rPr>
                <w:rFonts w:hint="eastAsia" w:ascii="宋体" w:hAnsi="宋体" w:eastAsia="宋体" w:cs="宋体"/>
                <w:color w:val="000000"/>
                <w:sz w:val="21"/>
                <w:szCs w:val="21"/>
                <w:highlight w:val="none"/>
              </w:rPr>
              <w:t>函</w:t>
            </w:r>
            <w:r>
              <w:rPr>
                <w:rFonts w:hint="eastAsia" w:ascii="宋体" w:hAnsi="宋体" w:eastAsia="宋体" w:cs="宋体"/>
                <w:color w:val="000000"/>
                <w:sz w:val="21"/>
                <w:szCs w:val="21"/>
                <w:highlight w:val="none"/>
                <w:lang w:eastAsia="zh-CN"/>
              </w:rPr>
              <w:t>及</w:t>
            </w:r>
            <w:r>
              <w:rPr>
                <w:rFonts w:hint="eastAsia" w:ascii="宋体" w:hAnsi="宋体" w:eastAsia="宋体" w:cs="宋体"/>
                <w:color w:val="000000"/>
                <w:sz w:val="21"/>
                <w:szCs w:val="21"/>
                <w:highlight w:val="none"/>
                <w:lang w:val="zh-CN"/>
              </w:rPr>
              <w:t>印证依据</w:t>
            </w:r>
          </w:p>
        </w:tc>
        <w:tc>
          <w:tcPr>
            <w:tcW w:w="2404" w:type="dxa"/>
            <w:vMerge w:val="restart"/>
            <w:noWrap w:val="0"/>
            <w:vAlign w:val="center"/>
          </w:tcPr>
          <w:p w14:paraId="5A76ACA1">
            <w:pPr>
              <w:rPr>
                <w:rFonts w:hint="eastAsia" w:ascii="宋体" w:hAnsi="宋体" w:cs="宋体"/>
                <w:color w:val="000000"/>
                <w:sz w:val="21"/>
                <w:szCs w:val="21"/>
                <w:highlight w:val="none"/>
              </w:rPr>
            </w:pPr>
            <w:r>
              <w:rPr>
                <w:rFonts w:hint="eastAsia" w:ascii="宋体" w:hAnsi="宋体" w:cs="宋体"/>
                <w:color w:val="000000"/>
                <w:sz w:val="21"/>
                <w:szCs w:val="21"/>
                <w:highlight w:val="none"/>
              </w:rPr>
              <w:t>基本资格条件承诺函（详见第</w:t>
            </w:r>
            <w:r>
              <w:rPr>
                <w:rFonts w:hint="eastAsia" w:ascii="宋体" w:hAnsi="宋体" w:cs="宋体"/>
                <w:color w:val="000000"/>
                <w:sz w:val="21"/>
                <w:szCs w:val="21"/>
                <w:highlight w:val="none"/>
                <w:lang w:eastAsia="zh-CN"/>
              </w:rPr>
              <w:t>七</w:t>
            </w:r>
            <w:r>
              <w:rPr>
                <w:rFonts w:hint="eastAsia" w:ascii="宋体" w:hAnsi="宋体" w:cs="宋体"/>
                <w:color w:val="000000"/>
                <w:sz w:val="21"/>
                <w:szCs w:val="21"/>
                <w:highlight w:val="none"/>
              </w:rPr>
              <w:t>篇）</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lang w:val="zh-CN"/>
              </w:rPr>
              <w:t>印证依据</w:t>
            </w:r>
            <w:r>
              <w:rPr>
                <w:rFonts w:hint="eastAsia" w:ascii="宋体" w:hAnsi="宋体" w:cs="宋体"/>
                <w:color w:val="000000"/>
                <w:sz w:val="21"/>
                <w:szCs w:val="21"/>
                <w:highlight w:val="none"/>
              </w:rPr>
              <w:t>。</w:t>
            </w:r>
          </w:p>
        </w:tc>
      </w:tr>
      <w:tr w14:paraId="5262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70FEE676">
            <w:pPr>
              <w:jc w:val="center"/>
              <w:rPr>
                <w:rFonts w:hint="eastAsia" w:ascii="宋体" w:hAnsi="宋体" w:cs="宋体"/>
                <w:color w:val="000000"/>
                <w:sz w:val="21"/>
                <w:szCs w:val="21"/>
              </w:rPr>
            </w:pPr>
          </w:p>
        </w:tc>
        <w:tc>
          <w:tcPr>
            <w:tcW w:w="622" w:type="dxa"/>
            <w:vMerge w:val="continue"/>
            <w:noWrap w:val="0"/>
            <w:vAlign w:val="center"/>
          </w:tcPr>
          <w:p w14:paraId="6945375C">
            <w:pPr>
              <w:rPr>
                <w:rFonts w:hint="eastAsia" w:ascii="宋体" w:hAnsi="宋体" w:cs="宋体"/>
                <w:color w:val="000000"/>
                <w:sz w:val="21"/>
                <w:szCs w:val="21"/>
                <w:lang w:val="zh-CN"/>
              </w:rPr>
            </w:pPr>
          </w:p>
        </w:tc>
        <w:tc>
          <w:tcPr>
            <w:tcW w:w="822" w:type="dxa"/>
            <w:vMerge w:val="continue"/>
            <w:noWrap w:val="0"/>
            <w:vAlign w:val="center"/>
          </w:tcPr>
          <w:p w14:paraId="628D7684">
            <w:pPr>
              <w:rPr>
                <w:rFonts w:hint="eastAsia" w:ascii="宋体" w:hAnsi="宋体" w:cs="宋体"/>
                <w:color w:val="000000"/>
                <w:sz w:val="21"/>
                <w:szCs w:val="21"/>
                <w:lang w:val="zh-CN"/>
              </w:rPr>
            </w:pPr>
          </w:p>
        </w:tc>
        <w:tc>
          <w:tcPr>
            <w:tcW w:w="2378" w:type="dxa"/>
            <w:noWrap w:val="0"/>
            <w:vAlign w:val="center"/>
          </w:tcPr>
          <w:p w14:paraId="4A76B255">
            <w:pPr>
              <w:rPr>
                <w:rFonts w:hint="eastAsia" w:ascii="宋体" w:hAnsi="宋体" w:cs="宋体"/>
                <w:color w:val="000000"/>
                <w:sz w:val="21"/>
                <w:szCs w:val="21"/>
                <w:lang w:val="zh-CN"/>
              </w:rPr>
            </w:pPr>
            <w:r>
              <w:rPr>
                <w:rFonts w:hint="eastAsia" w:ascii="宋体" w:hAnsi="宋体" w:cs="宋体"/>
                <w:color w:val="000000"/>
                <w:sz w:val="21"/>
                <w:szCs w:val="21"/>
                <w:lang w:val="zh-CN"/>
              </w:rPr>
              <w:t>3.具有履行协议所必需的设备和专业技术能力</w:t>
            </w:r>
          </w:p>
        </w:tc>
        <w:tc>
          <w:tcPr>
            <w:tcW w:w="2415" w:type="dxa"/>
            <w:vMerge w:val="continue"/>
            <w:noWrap w:val="0"/>
            <w:vAlign w:val="center"/>
          </w:tcPr>
          <w:p w14:paraId="433E34EC">
            <w:pPr>
              <w:rPr>
                <w:rFonts w:hint="eastAsia" w:ascii="宋体" w:hAnsi="宋体" w:cs="宋体"/>
                <w:color w:val="000000"/>
                <w:sz w:val="21"/>
                <w:szCs w:val="21"/>
              </w:rPr>
            </w:pPr>
          </w:p>
        </w:tc>
        <w:tc>
          <w:tcPr>
            <w:tcW w:w="2404" w:type="dxa"/>
            <w:vMerge w:val="continue"/>
            <w:noWrap w:val="0"/>
            <w:vAlign w:val="center"/>
          </w:tcPr>
          <w:p w14:paraId="163A73FB">
            <w:pPr>
              <w:rPr>
                <w:rFonts w:hint="eastAsia" w:ascii="宋体" w:hAnsi="宋体" w:cs="宋体"/>
                <w:color w:val="000000"/>
                <w:sz w:val="21"/>
                <w:szCs w:val="21"/>
              </w:rPr>
            </w:pPr>
          </w:p>
        </w:tc>
      </w:tr>
      <w:tr w14:paraId="1A41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2E78BD7F">
            <w:pPr>
              <w:jc w:val="center"/>
              <w:rPr>
                <w:rFonts w:hint="eastAsia" w:ascii="宋体" w:hAnsi="宋体" w:cs="宋体"/>
                <w:color w:val="000000"/>
                <w:sz w:val="21"/>
                <w:szCs w:val="21"/>
              </w:rPr>
            </w:pPr>
          </w:p>
        </w:tc>
        <w:tc>
          <w:tcPr>
            <w:tcW w:w="622" w:type="dxa"/>
            <w:vMerge w:val="continue"/>
            <w:noWrap w:val="0"/>
            <w:vAlign w:val="center"/>
          </w:tcPr>
          <w:p w14:paraId="2A0BC3DD">
            <w:pPr>
              <w:rPr>
                <w:rFonts w:hint="eastAsia" w:ascii="宋体" w:hAnsi="宋体" w:cs="宋体"/>
                <w:color w:val="000000"/>
                <w:sz w:val="21"/>
                <w:szCs w:val="21"/>
                <w:lang w:val="zh-CN"/>
              </w:rPr>
            </w:pPr>
          </w:p>
        </w:tc>
        <w:tc>
          <w:tcPr>
            <w:tcW w:w="822" w:type="dxa"/>
            <w:vMerge w:val="continue"/>
            <w:noWrap w:val="0"/>
            <w:vAlign w:val="center"/>
          </w:tcPr>
          <w:p w14:paraId="584269C6">
            <w:pPr>
              <w:rPr>
                <w:rFonts w:hint="eastAsia" w:ascii="宋体" w:hAnsi="宋体" w:cs="宋体"/>
                <w:color w:val="000000"/>
                <w:sz w:val="21"/>
                <w:szCs w:val="21"/>
                <w:lang w:val="zh-CN"/>
              </w:rPr>
            </w:pPr>
          </w:p>
        </w:tc>
        <w:tc>
          <w:tcPr>
            <w:tcW w:w="2378" w:type="dxa"/>
            <w:noWrap w:val="0"/>
            <w:vAlign w:val="center"/>
          </w:tcPr>
          <w:p w14:paraId="750F0836">
            <w:pPr>
              <w:rPr>
                <w:rFonts w:hint="eastAsia" w:ascii="宋体" w:hAnsi="宋体" w:cs="宋体"/>
                <w:color w:val="000000"/>
                <w:sz w:val="21"/>
                <w:szCs w:val="21"/>
                <w:lang w:val="zh-CN"/>
              </w:rPr>
            </w:pPr>
            <w:r>
              <w:rPr>
                <w:rFonts w:hint="eastAsia" w:ascii="宋体" w:hAnsi="宋体" w:cs="宋体"/>
                <w:color w:val="000000"/>
                <w:sz w:val="21"/>
                <w:szCs w:val="21"/>
                <w:lang w:val="zh-CN"/>
              </w:rPr>
              <w:t>4.有依法缴纳税收和社会保障金的良好记录</w:t>
            </w:r>
          </w:p>
        </w:tc>
        <w:tc>
          <w:tcPr>
            <w:tcW w:w="2415" w:type="dxa"/>
            <w:vMerge w:val="continue"/>
            <w:noWrap w:val="0"/>
            <w:vAlign w:val="center"/>
          </w:tcPr>
          <w:p w14:paraId="72EEB390">
            <w:pPr>
              <w:rPr>
                <w:rFonts w:hint="eastAsia" w:ascii="宋体" w:hAnsi="宋体" w:cs="宋体"/>
                <w:color w:val="000000"/>
                <w:sz w:val="21"/>
                <w:szCs w:val="21"/>
              </w:rPr>
            </w:pPr>
          </w:p>
        </w:tc>
        <w:tc>
          <w:tcPr>
            <w:tcW w:w="2404" w:type="dxa"/>
            <w:vMerge w:val="continue"/>
            <w:noWrap w:val="0"/>
            <w:vAlign w:val="center"/>
          </w:tcPr>
          <w:p w14:paraId="71C76D38">
            <w:pPr>
              <w:rPr>
                <w:rFonts w:hint="eastAsia" w:ascii="宋体" w:hAnsi="宋体" w:cs="宋体"/>
                <w:color w:val="000000"/>
                <w:sz w:val="21"/>
                <w:szCs w:val="21"/>
              </w:rPr>
            </w:pPr>
          </w:p>
        </w:tc>
      </w:tr>
      <w:tr w14:paraId="1E7D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noWrap w:val="0"/>
            <w:vAlign w:val="center"/>
          </w:tcPr>
          <w:p w14:paraId="2E7C8CFF">
            <w:pPr>
              <w:jc w:val="center"/>
              <w:rPr>
                <w:rFonts w:hint="eastAsia" w:ascii="宋体" w:hAnsi="宋体" w:cs="宋体"/>
                <w:color w:val="000000"/>
                <w:sz w:val="21"/>
                <w:szCs w:val="21"/>
              </w:rPr>
            </w:pPr>
          </w:p>
        </w:tc>
        <w:tc>
          <w:tcPr>
            <w:tcW w:w="622" w:type="dxa"/>
            <w:vMerge w:val="continue"/>
            <w:noWrap w:val="0"/>
            <w:vAlign w:val="center"/>
          </w:tcPr>
          <w:p w14:paraId="3565532C">
            <w:pPr>
              <w:rPr>
                <w:rFonts w:hint="eastAsia" w:ascii="宋体" w:hAnsi="宋体" w:cs="宋体"/>
                <w:color w:val="000000"/>
                <w:sz w:val="21"/>
                <w:szCs w:val="21"/>
                <w:lang w:val="zh-CN"/>
              </w:rPr>
            </w:pPr>
          </w:p>
        </w:tc>
        <w:tc>
          <w:tcPr>
            <w:tcW w:w="822" w:type="dxa"/>
            <w:vMerge w:val="continue"/>
            <w:noWrap w:val="0"/>
            <w:vAlign w:val="center"/>
          </w:tcPr>
          <w:p w14:paraId="2F1B4087">
            <w:pPr>
              <w:rPr>
                <w:rFonts w:hint="eastAsia" w:ascii="宋体" w:hAnsi="宋体" w:cs="宋体"/>
                <w:color w:val="000000"/>
                <w:sz w:val="21"/>
                <w:szCs w:val="21"/>
                <w:lang w:val="zh-CN"/>
              </w:rPr>
            </w:pPr>
          </w:p>
        </w:tc>
        <w:tc>
          <w:tcPr>
            <w:tcW w:w="2378" w:type="dxa"/>
            <w:noWrap w:val="0"/>
            <w:vAlign w:val="center"/>
          </w:tcPr>
          <w:p w14:paraId="7D8209B5">
            <w:pPr>
              <w:rPr>
                <w:rFonts w:hint="eastAsia" w:ascii="宋体" w:hAnsi="宋体" w:cs="宋体"/>
                <w:color w:val="000000"/>
                <w:sz w:val="21"/>
                <w:szCs w:val="21"/>
              </w:rPr>
            </w:pPr>
            <w:r>
              <w:rPr>
                <w:rFonts w:hint="eastAsia" w:ascii="宋体" w:hAnsi="宋体" w:cs="宋体"/>
                <w:color w:val="000000"/>
                <w:sz w:val="21"/>
                <w:szCs w:val="21"/>
              </w:rPr>
              <w:t>5.参加政府</w:t>
            </w:r>
            <w:r>
              <w:rPr>
                <w:rFonts w:hint="eastAsia" w:ascii="宋体" w:hAnsi="宋体" w:cs="宋体"/>
                <w:color w:val="000000"/>
                <w:sz w:val="21"/>
                <w:szCs w:val="21"/>
                <w:lang w:eastAsia="zh-CN"/>
              </w:rPr>
              <w:t>竞选</w:t>
            </w:r>
            <w:r>
              <w:rPr>
                <w:rFonts w:hint="eastAsia" w:ascii="宋体" w:hAnsi="宋体" w:cs="宋体"/>
                <w:color w:val="000000"/>
                <w:sz w:val="21"/>
                <w:szCs w:val="21"/>
              </w:rPr>
              <w:t>活动前三年内，在经营活动中没有重大违法记录</w:t>
            </w:r>
          </w:p>
        </w:tc>
        <w:tc>
          <w:tcPr>
            <w:tcW w:w="2415" w:type="dxa"/>
            <w:vMerge w:val="continue"/>
            <w:noWrap w:val="0"/>
            <w:vAlign w:val="center"/>
          </w:tcPr>
          <w:p w14:paraId="2544CB7A">
            <w:pPr>
              <w:rPr>
                <w:rFonts w:hint="eastAsia" w:ascii="宋体" w:hAnsi="宋体" w:cs="宋体"/>
                <w:b/>
                <w:color w:val="000000"/>
                <w:sz w:val="21"/>
                <w:szCs w:val="21"/>
              </w:rPr>
            </w:pPr>
          </w:p>
        </w:tc>
        <w:tc>
          <w:tcPr>
            <w:tcW w:w="2404" w:type="dxa"/>
            <w:vMerge w:val="continue"/>
            <w:noWrap w:val="0"/>
            <w:vAlign w:val="center"/>
          </w:tcPr>
          <w:p w14:paraId="089528A9">
            <w:pPr>
              <w:rPr>
                <w:rFonts w:hint="eastAsia" w:ascii="宋体" w:hAnsi="宋体" w:cs="宋体"/>
                <w:b/>
                <w:color w:val="000000"/>
                <w:sz w:val="21"/>
                <w:szCs w:val="21"/>
              </w:rPr>
            </w:pPr>
          </w:p>
        </w:tc>
      </w:tr>
      <w:tr w14:paraId="36ED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17" w:type="dxa"/>
            <w:vMerge w:val="continue"/>
            <w:noWrap w:val="0"/>
            <w:vAlign w:val="center"/>
          </w:tcPr>
          <w:p w14:paraId="0F61764E">
            <w:pPr>
              <w:jc w:val="center"/>
              <w:rPr>
                <w:rFonts w:hint="eastAsia" w:ascii="宋体" w:hAnsi="宋体" w:cs="宋体"/>
                <w:color w:val="000000"/>
                <w:sz w:val="21"/>
                <w:szCs w:val="21"/>
              </w:rPr>
            </w:pPr>
          </w:p>
        </w:tc>
        <w:tc>
          <w:tcPr>
            <w:tcW w:w="622" w:type="dxa"/>
            <w:vMerge w:val="continue"/>
            <w:noWrap w:val="0"/>
            <w:vAlign w:val="center"/>
          </w:tcPr>
          <w:p w14:paraId="6666755D">
            <w:pPr>
              <w:rPr>
                <w:rFonts w:hint="eastAsia" w:ascii="宋体" w:hAnsi="宋体" w:cs="宋体"/>
                <w:color w:val="000000"/>
                <w:sz w:val="21"/>
                <w:szCs w:val="21"/>
              </w:rPr>
            </w:pPr>
          </w:p>
        </w:tc>
        <w:tc>
          <w:tcPr>
            <w:tcW w:w="822" w:type="dxa"/>
            <w:vMerge w:val="continue"/>
            <w:noWrap w:val="0"/>
            <w:vAlign w:val="center"/>
          </w:tcPr>
          <w:p w14:paraId="5D7B9831">
            <w:pPr>
              <w:rPr>
                <w:rFonts w:hint="eastAsia" w:ascii="宋体" w:hAnsi="宋体" w:cs="宋体"/>
                <w:color w:val="000000"/>
                <w:sz w:val="21"/>
                <w:szCs w:val="21"/>
              </w:rPr>
            </w:pPr>
          </w:p>
        </w:tc>
        <w:tc>
          <w:tcPr>
            <w:tcW w:w="2378" w:type="dxa"/>
            <w:noWrap w:val="0"/>
            <w:vAlign w:val="center"/>
          </w:tcPr>
          <w:p w14:paraId="3DA795A7">
            <w:pPr>
              <w:rPr>
                <w:rFonts w:hint="eastAsia" w:ascii="宋体" w:hAnsi="宋体" w:cs="宋体"/>
                <w:color w:val="000000"/>
                <w:sz w:val="21"/>
                <w:szCs w:val="21"/>
              </w:rPr>
            </w:pPr>
            <w:r>
              <w:rPr>
                <w:rFonts w:hint="eastAsia" w:ascii="宋体" w:hAnsi="宋体" w:cs="宋体"/>
                <w:color w:val="000000"/>
                <w:sz w:val="21"/>
                <w:szCs w:val="21"/>
              </w:rPr>
              <w:t>6.法律、行政法规规定的其他条件</w:t>
            </w:r>
          </w:p>
        </w:tc>
        <w:tc>
          <w:tcPr>
            <w:tcW w:w="2415" w:type="dxa"/>
            <w:noWrap w:val="0"/>
            <w:vAlign w:val="center"/>
          </w:tcPr>
          <w:p w14:paraId="7E0D183D">
            <w:pPr>
              <w:rPr>
                <w:rFonts w:hint="eastAsia" w:ascii="宋体" w:hAnsi="宋体" w:cs="宋体"/>
                <w:color w:val="000000"/>
                <w:sz w:val="21"/>
                <w:szCs w:val="21"/>
              </w:rPr>
            </w:pPr>
          </w:p>
        </w:tc>
        <w:tc>
          <w:tcPr>
            <w:tcW w:w="2404" w:type="dxa"/>
            <w:noWrap w:val="0"/>
            <w:vAlign w:val="center"/>
          </w:tcPr>
          <w:p w14:paraId="3CC122E4">
            <w:pPr>
              <w:rPr>
                <w:rFonts w:hint="eastAsia" w:ascii="宋体" w:hAnsi="宋体" w:cs="宋体"/>
                <w:color w:val="000000"/>
                <w:sz w:val="21"/>
                <w:szCs w:val="21"/>
              </w:rPr>
            </w:pPr>
          </w:p>
        </w:tc>
      </w:tr>
      <w:tr w14:paraId="5079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7" w:type="dxa"/>
            <w:vMerge w:val="continue"/>
            <w:noWrap w:val="0"/>
            <w:vAlign w:val="center"/>
          </w:tcPr>
          <w:p w14:paraId="7BAF8438">
            <w:pPr>
              <w:jc w:val="center"/>
              <w:rPr>
                <w:rFonts w:hint="eastAsia" w:ascii="宋体" w:hAnsi="宋体" w:cs="宋体"/>
                <w:color w:val="000000"/>
                <w:sz w:val="21"/>
                <w:szCs w:val="21"/>
              </w:rPr>
            </w:pPr>
          </w:p>
        </w:tc>
        <w:tc>
          <w:tcPr>
            <w:tcW w:w="622" w:type="dxa"/>
            <w:vMerge w:val="continue"/>
            <w:noWrap w:val="0"/>
            <w:vAlign w:val="center"/>
          </w:tcPr>
          <w:p w14:paraId="2449A4EC">
            <w:pPr>
              <w:rPr>
                <w:rFonts w:hint="eastAsia" w:ascii="宋体" w:hAnsi="宋体" w:cs="宋体"/>
                <w:color w:val="000000"/>
                <w:sz w:val="21"/>
                <w:szCs w:val="21"/>
              </w:rPr>
            </w:pPr>
          </w:p>
        </w:tc>
        <w:tc>
          <w:tcPr>
            <w:tcW w:w="3200" w:type="dxa"/>
            <w:gridSpan w:val="2"/>
            <w:noWrap w:val="0"/>
            <w:vAlign w:val="center"/>
          </w:tcPr>
          <w:p w14:paraId="424615EB">
            <w:pPr>
              <w:rPr>
                <w:rFonts w:hint="eastAsia" w:ascii="宋体" w:hAnsi="宋体" w:cs="宋体"/>
                <w:color w:val="000000"/>
                <w:sz w:val="21"/>
                <w:szCs w:val="21"/>
              </w:rPr>
            </w:pPr>
            <w:r>
              <w:rPr>
                <w:rFonts w:hint="eastAsia" w:ascii="宋体" w:hAnsi="宋体" w:eastAsia="宋体" w:cs="宋体"/>
                <w:color w:val="000000"/>
                <w:sz w:val="21"/>
                <w:szCs w:val="21"/>
                <w:lang w:eastAsia="zh-CN"/>
              </w:rPr>
              <w:t>竞选人</w:t>
            </w:r>
            <w:r>
              <w:rPr>
                <w:rFonts w:hint="eastAsia" w:ascii="宋体" w:hAnsi="宋体" w:eastAsia="宋体" w:cs="宋体"/>
                <w:color w:val="000000"/>
                <w:sz w:val="21"/>
                <w:szCs w:val="21"/>
              </w:rPr>
              <w:t>在参加本</w:t>
            </w:r>
            <w:r>
              <w:rPr>
                <w:rFonts w:hint="eastAsia" w:ascii="宋体" w:hAnsi="宋体" w:eastAsia="宋体" w:cs="宋体"/>
                <w:color w:val="000000"/>
                <w:sz w:val="21"/>
                <w:szCs w:val="21"/>
                <w:lang w:eastAsia="zh-CN"/>
              </w:rPr>
              <w:t>次</w:t>
            </w:r>
            <w:r>
              <w:rPr>
                <w:rFonts w:hint="eastAsia" w:ascii="宋体" w:hAnsi="宋体" w:eastAsia="宋体" w:cs="宋体"/>
                <w:color w:val="000000"/>
                <w:sz w:val="21"/>
                <w:szCs w:val="21"/>
              </w:rPr>
              <w:t>竞选活动前3年内因违法经营被禁止在一定期限内参加政府</w:t>
            </w:r>
            <w:r>
              <w:rPr>
                <w:rFonts w:hint="eastAsia" w:ascii="宋体" w:hAnsi="宋体" w:eastAsia="宋体" w:cs="宋体"/>
                <w:color w:val="000000"/>
                <w:sz w:val="21"/>
                <w:szCs w:val="21"/>
                <w:lang w:eastAsia="zh-CN"/>
              </w:rPr>
              <w:t>竞选</w:t>
            </w:r>
            <w:r>
              <w:rPr>
                <w:rFonts w:hint="eastAsia" w:ascii="宋体" w:hAnsi="宋体" w:eastAsia="宋体" w:cs="宋体"/>
                <w:color w:val="000000"/>
                <w:sz w:val="21"/>
                <w:szCs w:val="21"/>
              </w:rPr>
              <w:t>活动的，在禁止活动期限届满后，可以依法参加本次竞选活动。</w:t>
            </w:r>
          </w:p>
        </w:tc>
        <w:tc>
          <w:tcPr>
            <w:tcW w:w="2415" w:type="dxa"/>
            <w:noWrap w:val="0"/>
            <w:vAlign w:val="center"/>
          </w:tcPr>
          <w:p w14:paraId="6A6ED369">
            <w:pPr>
              <w:jc w:val="center"/>
              <w:rPr>
                <w:rFonts w:hint="eastAsia" w:ascii="宋体" w:hAnsi="宋体" w:eastAsia="宋体" w:cs="宋体"/>
                <w:color w:val="000000"/>
                <w:sz w:val="21"/>
                <w:szCs w:val="21"/>
                <w:lang w:eastAsia="zh-CN"/>
              </w:rPr>
            </w:pPr>
            <w:r>
              <w:rPr>
                <w:rFonts w:hint="eastAsia" w:ascii="宋体" w:hAnsi="宋体" w:cs="宋体"/>
                <w:color w:val="000000"/>
                <w:sz w:val="21"/>
                <w:szCs w:val="21"/>
                <w:lang w:eastAsia="zh-CN"/>
              </w:rPr>
              <w:t>承诺函（格式自拟）</w:t>
            </w:r>
          </w:p>
        </w:tc>
        <w:tc>
          <w:tcPr>
            <w:tcW w:w="2404" w:type="dxa"/>
            <w:noWrap w:val="0"/>
            <w:vAlign w:val="center"/>
          </w:tcPr>
          <w:p w14:paraId="0C3C80DB">
            <w:pPr>
              <w:jc w:val="center"/>
              <w:rPr>
                <w:rFonts w:hint="eastAsia" w:ascii="宋体" w:hAnsi="宋体" w:cs="宋体"/>
                <w:color w:val="000000"/>
                <w:sz w:val="21"/>
                <w:szCs w:val="21"/>
              </w:rPr>
            </w:pPr>
            <w:r>
              <w:rPr>
                <w:rFonts w:hint="eastAsia" w:ascii="宋体" w:hAnsi="宋体" w:cs="宋体"/>
                <w:color w:val="000000"/>
                <w:sz w:val="21"/>
                <w:szCs w:val="21"/>
                <w:lang w:eastAsia="zh-CN"/>
              </w:rPr>
              <w:t>承诺函（格式自拟）</w:t>
            </w:r>
          </w:p>
        </w:tc>
      </w:tr>
      <w:tr w14:paraId="3BD4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17" w:type="dxa"/>
            <w:vMerge w:val="continue"/>
            <w:noWrap w:val="0"/>
            <w:vAlign w:val="center"/>
          </w:tcPr>
          <w:p w14:paraId="2E11FF2A">
            <w:pPr>
              <w:jc w:val="center"/>
              <w:rPr>
                <w:rFonts w:hint="eastAsia" w:ascii="宋体" w:hAnsi="宋体" w:cs="宋体"/>
                <w:color w:val="000000"/>
                <w:sz w:val="21"/>
                <w:szCs w:val="21"/>
              </w:rPr>
            </w:pPr>
          </w:p>
        </w:tc>
        <w:tc>
          <w:tcPr>
            <w:tcW w:w="622" w:type="dxa"/>
            <w:vMerge w:val="continue"/>
            <w:noWrap w:val="0"/>
            <w:vAlign w:val="center"/>
          </w:tcPr>
          <w:p w14:paraId="2533DFD3">
            <w:pPr>
              <w:rPr>
                <w:rFonts w:hint="eastAsia" w:ascii="宋体" w:hAnsi="宋体" w:cs="宋体"/>
                <w:color w:val="000000"/>
                <w:sz w:val="21"/>
                <w:szCs w:val="21"/>
              </w:rPr>
            </w:pPr>
          </w:p>
        </w:tc>
        <w:tc>
          <w:tcPr>
            <w:tcW w:w="3200" w:type="dxa"/>
            <w:gridSpan w:val="2"/>
            <w:noWrap w:val="0"/>
            <w:vAlign w:val="center"/>
          </w:tcPr>
          <w:p w14:paraId="330FB068">
            <w:pPr>
              <w:rPr>
                <w:rFonts w:hint="eastAsia" w:ascii="宋体" w:hAnsi="宋体" w:eastAsia="宋体" w:cs="宋体"/>
                <w:color w:val="000000"/>
                <w:sz w:val="21"/>
                <w:szCs w:val="21"/>
              </w:rPr>
            </w:pPr>
            <w:r>
              <w:rPr>
                <w:rFonts w:hint="eastAsia" w:ascii="宋体" w:hAnsi="宋体" w:eastAsia="宋体" w:cs="宋体"/>
                <w:color w:val="000000"/>
                <w:sz w:val="21"/>
                <w:szCs w:val="21"/>
              </w:rPr>
              <w:t>特定资格条件</w:t>
            </w:r>
          </w:p>
        </w:tc>
        <w:tc>
          <w:tcPr>
            <w:tcW w:w="4819" w:type="dxa"/>
            <w:gridSpan w:val="2"/>
            <w:noWrap w:val="0"/>
            <w:vAlign w:val="center"/>
          </w:tcPr>
          <w:p w14:paraId="45AB170C">
            <w:pP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无。</w:t>
            </w:r>
          </w:p>
        </w:tc>
      </w:tr>
    </w:tbl>
    <w:p w14:paraId="579B8636">
      <w:pPr>
        <w:snapToGrid w:val="0"/>
        <w:spacing w:line="400" w:lineRule="exact"/>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注：</w:t>
      </w:r>
      <w:r>
        <w:rPr>
          <w:rFonts w:hint="eastAsia" w:ascii="宋体" w:hAnsi="宋体" w:cs="宋体"/>
          <w:color w:val="000000"/>
          <w:kern w:val="0"/>
          <w:sz w:val="24"/>
          <w:szCs w:val="24"/>
          <w:lang w:eastAsia="zh-CN"/>
        </w:rPr>
        <w:t>参照</w:t>
      </w:r>
      <w:r>
        <w:rPr>
          <w:rFonts w:hint="eastAsia" w:ascii="宋体" w:hAnsi="宋体" w:cs="宋体"/>
          <w:color w:val="000000"/>
          <w:kern w:val="0"/>
          <w:sz w:val="24"/>
          <w:szCs w:val="24"/>
        </w:rPr>
        <w:t>《中华人民共和国政府</w:t>
      </w:r>
      <w:r>
        <w:rPr>
          <w:rFonts w:hint="eastAsia" w:ascii="宋体" w:hAnsi="宋体" w:cs="宋体"/>
          <w:color w:val="000000"/>
          <w:kern w:val="0"/>
          <w:sz w:val="24"/>
          <w:szCs w:val="24"/>
          <w:lang w:eastAsia="zh-CN"/>
        </w:rPr>
        <w:t>采购</w:t>
      </w:r>
      <w:r>
        <w:rPr>
          <w:rFonts w:hint="eastAsia" w:ascii="宋体" w:hAnsi="宋体" w:cs="宋体"/>
          <w:color w:val="000000"/>
          <w:kern w:val="0"/>
          <w:sz w:val="24"/>
          <w:szCs w:val="24"/>
        </w:rPr>
        <w:t>法实施条例》第十九条“参加政府</w:t>
      </w:r>
      <w:r>
        <w:rPr>
          <w:rFonts w:hint="eastAsia" w:ascii="宋体" w:hAnsi="宋体" w:cs="宋体"/>
          <w:color w:val="000000"/>
          <w:kern w:val="0"/>
          <w:sz w:val="24"/>
          <w:szCs w:val="24"/>
          <w:lang w:eastAsia="zh-CN"/>
        </w:rPr>
        <w:t>采购</w:t>
      </w:r>
      <w:r>
        <w:rPr>
          <w:rFonts w:hint="eastAsia" w:ascii="宋体" w:hAnsi="宋体" w:cs="宋体"/>
          <w:color w:val="000000"/>
          <w:kern w:val="0"/>
          <w:sz w:val="24"/>
          <w:szCs w:val="24"/>
        </w:rPr>
        <w:t>活动前三年内，在经营活动中没有重大违法记录”中“重大违法记录”，是指</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因违法经营受到刑事处罚或者责令停产停业、吊销许可证或者执照、较大数额罚款等行政处罚。</w:t>
      </w:r>
    </w:p>
    <w:p w14:paraId="63B9939E">
      <w:pPr>
        <w:snapToGrid w:val="0"/>
        <w:spacing w:line="400" w:lineRule="exact"/>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行政处罚中“较大数额”的认定标准</w:t>
      </w:r>
      <w:r>
        <w:rPr>
          <w:rFonts w:hint="eastAsia" w:ascii="宋体" w:hAnsi="宋体" w:cs="宋体"/>
          <w:color w:val="000000"/>
          <w:kern w:val="0"/>
          <w:sz w:val="24"/>
          <w:szCs w:val="24"/>
          <w:lang w:eastAsia="zh-CN"/>
        </w:rPr>
        <w:t>；参照</w:t>
      </w:r>
      <w:r>
        <w:rPr>
          <w:rFonts w:hint="eastAsia" w:ascii="宋体" w:hAnsi="宋体" w:cs="宋体"/>
          <w:color w:val="000000"/>
          <w:kern w:val="0"/>
          <w:sz w:val="24"/>
          <w:szCs w:val="24"/>
        </w:rPr>
        <w:t>《财政部关于&lt;中华人民共和国政府</w:t>
      </w:r>
      <w:r>
        <w:rPr>
          <w:rFonts w:hint="eastAsia" w:ascii="宋体" w:hAnsi="宋体" w:cs="宋体"/>
          <w:color w:val="000000"/>
          <w:kern w:val="0"/>
          <w:sz w:val="24"/>
          <w:szCs w:val="24"/>
          <w:lang w:eastAsia="zh-CN"/>
        </w:rPr>
        <w:t>采购</w:t>
      </w:r>
      <w:r>
        <w:rPr>
          <w:rFonts w:hint="eastAsia" w:ascii="宋体" w:hAnsi="宋体" w:cs="宋体"/>
          <w:color w:val="000000"/>
          <w:kern w:val="0"/>
          <w:sz w:val="24"/>
          <w:szCs w:val="24"/>
        </w:rPr>
        <w:t>法实施条例&gt;第十九条第一款“较大数额罚款”具体适用问题的意见》（财库〔2022〕3号）执行。</w:t>
      </w:r>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可于</w:t>
      </w:r>
      <w:r>
        <w:rPr>
          <w:rFonts w:hint="eastAsia" w:ascii="宋体" w:hAnsi="宋体"/>
          <w:color w:val="000000"/>
          <w:sz w:val="24"/>
          <w:szCs w:val="24"/>
        </w:rPr>
        <w:t>响应文件提交截止时间</w:t>
      </w:r>
      <w:r>
        <w:rPr>
          <w:rFonts w:hint="eastAsia" w:ascii="宋体" w:hAnsi="宋体" w:cs="宋体"/>
          <w:color w:val="000000"/>
          <w:kern w:val="0"/>
          <w:sz w:val="24"/>
          <w:szCs w:val="24"/>
        </w:rPr>
        <w:t>通过“信用中国”网站(www.creditchina.gov.cn)、“中国政府</w:t>
      </w:r>
      <w:r>
        <w:rPr>
          <w:rFonts w:hint="eastAsia" w:ascii="宋体" w:hAnsi="宋体" w:cs="宋体"/>
          <w:color w:val="000000"/>
          <w:kern w:val="0"/>
          <w:sz w:val="24"/>
          <w:szCs w:val="24"/>
          <w:lang w:eastAsia="zh-CN"/>
        </w:rPr>
        <w:t>采购</w:t>
      </w:r>
      <w:r>
        <w:rPr>
          <w:rFonts w:hint="eastAsia" w:ascii="宋体" w:hAnsi="宋体" w:cs="宋体"/>
          <w:color w:val="000000"/>
          <w:kern w:val="0"/>
          <w:sz w:val="24"/>
          <w:szCs w:val="24"/>
        </w:rPr>
        <w:t>网”(www.ccgp.gov.cn)等渠道查询信用记录。</w:t>
      </w:r>
      <w:bookmarkStart w:id="40" w:name="_Hlt200111745"/>
      <w:bookmarkEnd w:id="40"/>
      <w:bookmarkStart w:id="41" w:name="_Hlt200111744"/>
      <w:bookmarkEnd w:id="41"/>
      <w:r>
        <w:rPr>
          <w:rFonts w:hint="eastAsia" w:ascii="宋体" w:hAnsi="宋体" w:cs="宋体"/>
          <w:color w:val="000000"/>
          <w:kern w:val="0"/>
          <w:sz w:val="24"/>
          <w:szCs w:val="24"/>
          <w:lang w:eastAsia="zh-CN"/>
        </w:rPr>
        <w:t>投标人</w:t>
      </w:r>
      <w:r>
        <w:rPr>
          <w:rFonts w:hint="eastAsia" w:ascii="宋体" w:hAnsi="宋体" w:cs="宋体"/>
          <w:color w:val="000000"/>
          <w:kern w:val="0"/>
          <w:sz w:val="24"/>
          <w:szCs w:val="24"/>
        </w:rPr>
        <w:t>信用信息查询截止时间等同于提交响应文件截止时间。</w:t>
      </w:r>
    </w:p>
    <w:p w14:paraId="419F8B15">
      <w:pPr>
        <w:snapToGrid w:val="0"/>
        <w:spacing w:line="400" w:lineRule="exact"/>
        <w:ind w:firstLine="480" w:firstLineChars="200"/>
        <w:rPr>
          <w:rFonts w:hint="eastAsia" w:ascii="宋体" w:hAnsi="宋体" w:cs="宋体"/>
          <w:color w:val="000000"/>
          <w:kern w:val="0"/>
          <w:sz w:val="24"/>
          <w:szCs w:val="24"/>
        </w:rPr>
      </w:pPr>
      <w:r>
        <w:rPr>
          <w:rFonts w:hint="eastAsia" w:ascii="宋体" w:hAnsi="宋体" w:eastAsia="宋体" w:cs="宋体"/>
          <w:color w:val="000000"/>
          <w:kern w:val="0"/>
          <w:sz w:val="24"/>
          <w:szCs w:val="24"/>
        </w:rPr>
        <w:t>根据《</w:t>
      </w:r>
      <w:r>
        <w:rPr>
          <w:rFonts w:hint="eastAsia" w:ascii="宋体" w:hAnsi="宋体" w:eastAsia="宋体" w:cs="宋体"/>
          <w:color w:val="000000"/>
          <w:kern w:val="0"/>
          <w:sz w:val="24"/>
          <w:szCs w:val="24"/>
          <w:lang w:val="zh-CN"/>
        </w:rPr>
        <w:t>重庆市行政处罚听证程序》第十四条</w:t>
      </w:r>
      <w:r>
        <w:rPr>
          <w:rFonts w:hint="eastAsia" w:ascii="宋体" w:hAnsi="宋体" w:eastAsia="宋体" w:cs="宋体"/>
          <w:color w:val="000000"/>
          <w:kern w:val="0"/>
          <w:sz w:val="24"/>
          <w:szCs w:val="24"/>
          <w:lang w:val="zh-CN" w:eastAsia="zh-CN"/>
        </w:rPr>
        <w:t>，</w:t>
      </w:r>
      <w:r>
        <w:rPr>
          <w:rFonts w:hint="eastAsia" w:ascii="宋体" w:hAnsi="宋体" w:eastAsia="宋体" w:cs="宋体"/>
          <w:color w:val="000000"/>
          <w:kern w:val="0"/>
          <w:sz w:val="24"/>
          <w:szCs w:val="24"/>
          <w:lang w:val="zh-CN"/>
        </w:rPr>
        <w:t>较大数额罚款，是指对公民的违法行为处以5000元以上罚款，对法人或者其他组织的违法行为处以50000元以上罚款；没收较大数额违法所得、没收较大价值非法财物，是指对公民没收违法所得数额、没收非法财物价值达5000元以上，对法人或者其他组织没收违法所得数额、没收非法财物价值达50000元以上。其他省、直辖市的参选竞选人按照营业执照颁发地区（省、直辖市）相关要求标准执行，由参选竞选人提供印证依据。</w:t>
      </w:r>
    </w:p>
    <w:p w14:paraId="4BCCABE5">
      <w:pPr>
        <w:snapToGrid w:val="0"/>
        <w:spacing w:line="400" w:lineRule="exact"/>
        <w:ind w:firstLine="480" w:firstLineChars="200"/>
        <w:rPr>
          <w:rFonts w:ascii="宋体" w:hAnsi="宋体" w:cs="宋体"/>
          <w:color w:val="000000"/>
          <w:kern w:val="0"/>
          <w:sz w:val="24"/>
          <w:szCs w:val="24"/>
        </w:rPr>
      </w:pPr>
      <w:r>
        <w:rPr>
          <w:rFonts w:hint="eastAsia" w:ascii="宋体" w:hAnsi="宋体" w:cs="宋体"/>
          <w:color w:val="000000"/>
          <w:kern w:val="0"/>
          <w:sz w:val="24"/>
          <w:szCs w:val="24"/>
        </w:rPr>
        <w:t>（二）符合性审查。</w:t>
      </w:r>
    </w:p>
    <w:tbl>
      <w:tblPr>
        <w:tblStyle w:val="5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030"/>
        <w:gridCol w:w="1978"/>
        <w:gridCol w:w="4945"/>
      </w:tblGrid>
      <w:tr w14:paraId="51E11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675" w:type="dxa"/>
            <w:noWrap w:val="0"/>
            <w:vAlign w:val="center"/>
          </w:tcPr>
          <w:p w14:paraId="38788AE2">
            <w:pPr>
              <w:pageBreakBefore w:val="0"/>
              <w:wordWrap/>
              <w:topLinePunct w:val="0"/>
              <w:bidi w:val="0"/>
              <w:spacing w:line="560" w:lineRule="exact"/>
              <w:jc w:val="center"/>
              <w:textAlignment w:val="auto"/>
              <w:rPr>
                <w:rFonts w:hint="eastAsia" w:ascii="宋体" w:hAnsi="宋体" w:eastAsia="宋体" w:cs="宋体"/>
                <w:b/>
                <w:color w:val="auto"/>
                <w:kern w:val="0"/>
                <w:sz w:val="21"/>
                <w:szCs w:val="21"/>
                <w:highlight w:val="none"/>
              </w:rPr>
            </w:pPr>
            <w:bookmarkStart w:id="42" w:name="_Toc6909"/>
            <w:bookmarkStart w:id="43" w:name="_Toc27029"/>
            <w:r>
              <w:rPr>
                <w:rFonts w:hint="eastAsia" w:ascii="宋体" w:hAnsi="宋体" w:eastAsia="宋体" w:cs="宋体"/>
                <w:b/>
                <w:color w:val="auto"/>
                <w:kern w:val="0"/>
                <w:sz w:val="21"/>
                <w:szCs w:val="21"/>
                <w:highlight w:val="none"/>
              </w:rPr>
              <w:t>序号</w:t>
            </w:r>
          </w:p>
        </w:tc>
        <w:tc>
          <w:tcPr>
            <w:tcW w:w="4008" w:type="dxa"/>
            <w:gridSpan w:val="2"/>
            <w:noWrap w:val="0"/>
            <w:vAlign w:val="center"/>
          </w:tcPr>
          <w:p w14:paraId="62CA3048">
            <w:pPr>
              <w:pageBreakBefore w:val="0"/>
              <w:wordWrap/>
              <w:topLinePunct w:val="0"/>
              <w:bidi w:val="0"/>
              <w:spacing w:line="560" w:lineRule="exact"/>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评审因素</w:t>
            </w:r>
          </w:p>
        </w:tc>
        <w:tc>
          <w:tcPr>
            <w:tcW w:w="4945" w:type="dxa"/>
            <w:noWrap w:val="0"/>
            <w:vAlign w:val="center"/>
          </w:tcPr>
          <w:p w14:paraId="6CC77772">
            <w:pPr>
              <w:pageBreakBefore w:val="0"/>
              <w:wordWrap/>
              <w:topLinePunct w:val="0"/>
              <w:bidi w:val="0"/>
              <w:spacing w:line="560" w:lineRule="exact"/>
              <w:jc w:val="center"/>
              <w:textAlignment w:val="auto"/>
              <w:rPr>
                <w:rFonts w:hint="eastAsia" w:ascii="宋体" w:hAnsi="宋体" w:eastAsia="宋体" w:cs="宋体"/>
                <w:b/>
                <w:color w:val="auto"/>
                <w:kern w:val="0"/>
                <w:sz w:val="21"/>
                <w:szCs w:val="21"/>
                <w:highlight w:val="none"/>
              </w:rPr>
            </w:pPr>
            <w:r>
              <w:rPr>
                <w:rFonts w:hint="eastAsia" w:ascii="宋体" w:hAnsi="宋体" w:eastAsia="宋体" w:cs="宋体"/>
                <w:b/>
                <w:color w:val="auto"/>
                <w:kern w:val="0"/>
                <w:sz w:val="21"/>
                <w:szCs w:val="21"/>
                <w:highlight w:val="none"/>
              </w:rPr>
              <w:t>评审标准</w:t>
            </w:r>
          </w:p>
        </w:tc>
      </w:tr>
      <w:tr w14:paraId="6068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75" w:type="dxa"/>
            <w:vMerge w:val="restart"/>
            <w:noWrap w:val="0"/>
            <w:vAlign w:val="center"/>
          </w:tcPr>
          <w:p w14:paraId="5299F2C0">
            <w:pPr>
              <w:pageBreakBefore w:val="0"/>
              <w:wordWrap/>
              <w:topLinePunct w:val="0"/>
              <w:bidi w:val="0"/>
              <w:spacing w:line="56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2030" w:type="dxa"/>
            <w:vMerge w:val="restart"/>
            <w:noWrap w:val="0"/>
            <w:vAlign w:val="center"/>
          </w:tcPr>
          <w:p w14:paraId="683EDE38">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有效性审查</w:t>
            </w:r>
          </w:p>
        </w:tc>
        <w:tc>
          <w:tcPr>
            <w:tcW w:w="1978" w:type="dxa"/>
            <w:noWrap w:val="0"/>
            <w:vAlign w:val="center"/>
          </w:tcPr>
          <w:p w14:paraId="659C3210">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响应文件签署</w:t>
            </w:r>
          </w:p>
        </w:tc>
        <w:tc>
          <w:tcPr>
            <w:tcW w:w="4945" w:type="dxa"/>
            <w:noWrap w:val="0"/>
            <w:vAlign w:val="center"/>
          </w:tcPr>
          <w:p w14:paraId="06DF0676">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响应文件上法定代表人或其授权代表人的签字齐全。</w:t>
            </w:r>
          </w:p>
        </w:tc>
      </w:tr>
      <w:tr w14:paraId="0A33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75" w:type="dxa"/>
            <w:vMerge w:val="continue"/>
            <w:noWrap w:val="0"/>
            <w:vAlign w:val="center"/>
          </w:tcPr>
          <w:p w14:paraId="3A516CE2">
            <w:pPr>
              <w:pageBreakBefore w:val="0"/>
              <w:wordWrap/>
              <w:topLinePunct w:val="0"/>
              <w:bidi w:val="0"/>
              <w:spacing w:line="560" w:lineRule="exact"/>
              <w:jc w:val="center"/>
              <w:textAlignment w:val="auto"/>
              <w:rPr>
                <w:rFonts w:hint="eastAsia" w:ascii="宋体" w:hAnsi="宋体" w:eastAsia="宋体" w:cs="宋体"/>
                <w:color w:val="auto"/>
                <w:kern w:val="0"/>
                <w:sz w:val="21"/>
                <w:szCs w:val="21"/>
                <w:highlight w:val="none"/>
              </w:rPr>
            </w:pPr>
          </w:p>
        </w:tc>
        <w:tc>
          <w:tcPr>
            <w:tcW w:w="2030" w:type="dxa"/>
            <w:vMerge w:val="continue"/>
            <w:noWrap w:val="0"/>
            <w:vAlign w:val="center"/>
          </w:tcPr>
          <w:p w14:paraId="0293C9DF">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p>
        </w:tc>
        <w:tc>
          <w:tcPr>
            <w:tcW w:w="1978" w:type="dxa"/>
            <w:noWrap w:val="0"/>
            <w:vAlign w:val="center"/>
          </w:tcPr>
          <w:p w14:paraId="657B121C">
            <w:pPr>
              <w:pageBreakBefore w:val="0"/>
              <w:wordWrap/>
              <w:topLinePunct w:val="0"/>
              <w:bidi w:val="0"/>
              <w:spacing w:line="5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法定代表人身份证明及授权委托书</w:t>
            </w:r>
          </w:p>
        </w:tc>
        <w:tc>
          <w:tcPr>
            <w:tcW w:w="4945" w:type="dxa"/>
            <w:noWrap w:val="0"/>
            <w:vAlign w:val="center"/>
          </w:tcPr>
          <w:p w14:paraId="555AAC0B">
            <w:pPr>
              <w:pageBreakBefore w:val="0"/>
              <w:wordWrap/>
              <w:topLinePunct w:val="0"/>
              <w:bidi w:val="0"/>
              <w:spacing w:line="5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法定代表人身份证明及授权委托书有效，符合</w:t>
            </w:r>
            <w:r>
              <w:rPr>
                <w:rFonts w:hint="eastAsia" w:ascii="宋体" w:hAnsi="宋体" w:eastAsia="宋体" w:cs="宋体"/>
                <w:color w:val="auto"/>
                <w:sz w:val="21"/>
                <w:szCs w:val="21"/>
                <w:highlight w:val="none"/>
                <w:lang w:eastAsia="zh-CN"/>
              </w:rPr>
              <w:t>竞选</w:t>
            </w:r>
            <w:r>
              <w:rPr>
                <w:rFonts w:hint="eastAsia" w:ascii="宋体" w:hAnsi="宋体" w:eastAsia="宋体" w:cs="宋体"/>
                <w:color w:val="auto"/>
                <w:sz w:val="21"/>
                <w:szCs w:val="21"/>
                <w:highlight w:val="none"/>
              </w:rPr>
              <w:t>文件规定的格式，签字或盖章齐全。</w:t>
            </w:r>
          </w:p>
        </w:tc>
      </w:tr>
      <w:tr w14:paraId="3726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675" w:type="dxa"/>
            <w:vMerge w:val="continue"/>
            <w:noWrap w:val="0"/>
            <w:vAlign w:val="center"/>
          </w:tcPr>
          <w:p w14:paraId="308B257F">
            <w:pPr>
              <w:pageBreakBefore w:val="0"/>
              <w:wordWrap/>
              <w:topLinePunct w:val="0"/>
              <w:bidi w:val="0"/>
              <w:spacing w:line="560" w:lineRule="exact"/>
              <w:jc w:val="center"/>
              <w:textAlignment w:val="auto"/>
              <w:rPr>
                <w:rFonts w:hint="eastAsia" w:ascii="宋体" w:hAnsi="宋体" w:eastAsia="宋体" w:cs="宋体"/>
                <w:color w:val="auto"/>
                <w:kern w:val="0"/>
                <w:sz w:val="21"/>
                <w:szCs w:val="21"/>
                <w:highlight w:val="none"/>
              </w:rPr>
            </w:pPr>
          </w:p>
        </w:tc>
        <w:tc>
          <w:tcPr>
            <w:tcW w:w="2030" w:type="dxa"/>
            <w:vMerge w:val="continue"/>
            <w:noWrap w:val="0"/>
            <w:vAlign w:val="center"/>
          </w:tcPr>
          <w:p w14:paraId="2E6EEB60">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p>
        </w:tc>
        <w:tc>
          <w:tcPr>
            <w:tcW w:w="1978" w:type="dxa"/>
            <w:noWrap w:val="0"/>
            <w:vAlign w:val="center"/>
          </w:tcPr>
          <w:p w14:paraId="70C4A0B6">
            <w:pPr>
              <w:pageBreakBefore w:val="0"/>
              <w:wordWrap/>
              <w:topLinePunct w:val="0"/>
              <w:bidi w:val="0"/>
              <w:spacing w:line="560" w:lineRule="exac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方案</w:t>
            </w:r>
          </w:p>
        </w:tc>
        <w:tc>
          <w:tcPr>
            <w:tcW w:w="4945" w:type="dxa"/>
            <w:noWrap w:val="0"/>
            <w:vAlign w:val="center"/>
          </w:tcPr>
          <w:p w14:paraId="2E046236">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zh-CN"/>
              </w:rPr>
              <w:t>每个</w:t>
            </w:r>
            <w:r>
              <w:rPr>
                <w:rFonts w:hint="eastAsia" w:ascii="宋体" w:hAnsi="宋体" w:eastAsia="宋体" w:cs="宋体"/>
                <w:color w:val="auto"/>
                <w:sz w:val="21"/>
                <w:szCs w:val="21"/>
                <w:highlight w:val="none"/>
                <w:lang w:val="en-US" w:eastAsia="zh-CN"/>
              </w:rPr>
              <w:t>竞选人</w:t>
            </w:r>
            <w:r>
              <w:rPr>
                <w:rFonts w:hint="eastAsia" w:ascii="宋体" w:hAnsi="宋体" w:eastAsia="宋体" w:cs="宋体"/>
                <w:color w:val="auto"/>
                <w:sz w:val="21"/>
                <w:szCs w:val="21"/>
                <w:highlight w:val="none"/>
                <w:lang w:val="zh-CN"/>
              </w:rPr>
              <w:t>只能有一个</w:t>
            </w: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方案。</w:t>
            </w:r>
          </w:p>
        </w:tc>
      </w:tr>
      <w:tr w14:paraId="58D5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75" w:type="dxa"/>
            <w:vMerge w:val="restart"/>
            <w:noWrap w:val="0"/>
            <w:vAlign w:val="center"/>
          </w:tcPr>
          <w:p w14:paraId="0EA65A34">
            <w:pPr>
              <w:pageBreakBefore w:val="0"/>
              <w:wordWrap/>
              <w:topLinePunct w:val="0"/>
              <w:bidi w:val="0"/>
              <w:spacing w:line="56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2030" w:type="dxa"/>
            <w:vMerge w:val="restart"/>
            <w:noWrap w:val="0"/>
            <w:vAlign w:val="center"/>
          </w:tcPr>
          <w:p w14:paraId="39AB2F44">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完整性审查</w:t>
            </w:r>
          </w:p>
        </w:tc>
        <w:tc>
          <w:tcPr>
            <w:tcW w:w="1978" w:type="dxa"/>
            <w:noWrap w:val="0"/>
            <w:vAlign w:val="center"/>
          </w:tcPr>
          <w:p w14:paraId="696A738C">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文件份数</w:t>
            </w:r>
          </w:p>
        </w:tc>
        <w:tc>
          <w:tcPr>
            <w:tcW w:w="4945" w:type="dxa"/>
            <w:noWrap w:val="0"/>
            <w:vAlign w:val="center"/>
          </w:tcPr>
          <w:p w14:paraId="087856CC">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文件正、副本，数量符合</w:t>
            </w:r>
            <w:r>
              <w:rPr>
                <w:rFonts w:hint="eastAsia" w:ascii="宋体" w:hAnsi="宋体" w:eastAsia="宋体" w:cs="宋体"/>
                <w:color w:val="auto"/>
                <w:sz w:val="21"/>
                <w:szCs w:val="21"/>
                <w:highlight w:val="none"/>
                <w:lang w:eastAsia="zh-CN"/>
              </w:rPr>
              <w:t>竞选</w:t>
            </w:r>
            <w:r>
              <w:rPr>
                <w:rFonts w:hint="eastAsia" w:ascii="宋体" w:hAnsi="宋体" w:eastAsia="宋体" w:cs="宋体"/>
                <w:color w:val="auto"/>
                <w:sz w:val="21"/>
                <w:szCs w:val="21"/>
                <w:highlight w:val="none"/>
                <w:lang w:val="zh-CN"/>
              </w:rPr>
              <w:t>文件要求。</w:t>
            </w:r>
          </w:p>
        </w:tc>
      </w:tr>
      <w:tr w14:paraId="2AB09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675" w:type="dxa"/>
            <w:vMerge w:val="continue"/>
            <w:noWrap w:val="0"/>
            <w:vAlign w:val="center"/>
          </w:tcPr>
          <w:p w14:paraId="169763E4">
            <w:pPr>
              <w:pageBreakBefore w:val="0"/>
              <w:wordWrap/>
              <w:topLinePunct w:val="0"/>
              <w:bidi w:val="0"/>
              <w:spacing w:line="560" w:lineRule="exact"/>
              <w:jc w:val="center"/>
              <w:textAlignment w:val="auto"/>
              <w:rPr>
                <w:rFonts w:hint="eastAsia" w:ascii="宋体" w:hAnsi="宋体" w:eastAsia="宋体" w:cs="宋体"/>
                <w:color w:val="auto"/>
                <w:kern w:val="0"/>
                <w:sz w:val="21"/>
                <w:szCs w:val="21"/>
                <w:highlight w:val="none"/>
              </w:rPr>
            </w:pPr>
          </w:p>
        </w:tc>
        <w:tc>
          <w:tcPr>
            <w:tcW w:w="2030" w:type="dxa"/>
            <w:vMerge w:val="continue"/>
            <w:noWrap w:val="0"/>
            <w:vAlign w:val="center"/>
          </w:tcPr>
          <w:p w14:paraId="4790FC3F">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p>
        </w:tc>
        <w:tc>
          <w:tcPr>
            <w:tcW w:w="1978" w:type="dxa"/>
            <w:noWrap w:val="0"/>
            <w:vAlign w:val="center"/>
          </w:tcPr>
          <w:p w14:paraId="08A270DC">
            <w:pPr>
              <w:pageBreakBefore w:val="0"/>
              <w:wordWrap/>
              <w:topLinePunct w:val="0"/>
              <w:bidi w:val="0"/>
              <w:spacing w:line="560" w:lineRule="exac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文件内容</w:t>
            </w:r>
          </w:p>
        </w:tc>
        <w:tc>
          <w:tcPr>
            <w:tcW w:w="4945" w:type="dxa"/>
            <w:noWrap w:val="0"/>
            <w:vAlign w:val="center"/>
          </w:tcPr>
          <w:p w14:paraId="7839920B">
            <w:pPr>
              <w:pageBreakBefore w:val="0"/>
              <w:wordWrap/>
              <w:topLinePunct w:val="0"/>
              <w:bidi w:val="0"/>
              <w:spacing w:line="560" w:lineRule="exac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响应</w:t>
            </w:r>
            <w:r>
              <w:rPr>
                <w:rFonts w:hint="eastAsia" w:ascii="宋体" w:hAnsi="宋体" w:eastAsia="宋体" w:cs="宋体"/>
                <w:color w:val="auto"/>
                <w:sz w:val="21"/>
                <w:szCs w:val="21"/>
                <w:highlight w:val="none"/>
                <w:lang w:val="zh-CN"/>
              </w:rPr>
              <w:t>文件内容齐全、无遗漏。</w:t>
            </w:r>
          </w:p>
        </w:tc>
      </w:tr>
      <w:tr w14:paraId="481B8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75" w:type="dxa"/>
            <w:vMerge w:val="restart"/>
            <w:noWrap w:val="0"/>
            <w:vAlign w:val="center"/>
          </w:tcPr>
          <w:p w14:paraId="01AECDF9">
            <w:pPr>
              <w:pageBreakBefore w:val="0"/>
              <w:wordWrap/>
              <w:topLinePunct w:val="0"/>
              <w:bidi w:val="0"/>
              <w:spacing w:line="560" w:lineRule="exact"/>
              <w:jc w:val="center"/>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p>
        </w:tc>
        <w:tc>
          <w:tcPr>
            <w:tcW w:w="2030" w:type="dxa"/>
            <w:vMerge w:val="restart"/>
            <w:noWrap w:val="0"/>
            <w:vAlign w:val="center"/>
          </w:tcPr>
          <w:p w14:paraId="078A686C">
            <w:pPr>
              <w:pageBreakBefore w:val="0"/>
              <w:wordWrap/>
              <w:topLinePunct w:val="0"/>
              <w:bidi w:val="0"/>
              <w:spacing w:line="240" w:lineRule="auto"/>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0"/>
                <w:sz w:val="21"/>
                <w:szCs w:val="21"/>
                <w:highlight w:val="none"/>
                <w:lang w:eastAsia="zh-CN"/>
              </w:rPr>
              <w:t>竞选文件</w:t>
            </w:r>
            <w:r>
              <w:rPr>
                <w:rFonts w:hint="eastAsia" w:ascii="宋体" w:hAnsi="宋体" w:eastAsia="宋体" w:cs="宋体"/>
                <w:color w:val="auto"/>
                <w:kern w:val="0"/>
                <w:sz w:val="21"/>
                <w:szCs w:val="21"/>
                <w:highlight w:val="none"/>
              </w:rPr>
              <w:t>的响应程度审查</w:t>
            </w:r>
          </w:p>
        </w:tc>
        <w:tc>
          <w:tcPr>
            <w:tcW w:w="1978" w:type="dxa"/>
            <w:noWrap w:val="0"/>
            <w:vAlign w:val="center"/>
          </w:tcPr>
          <w:p w14:paraId="30A5CDD9">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响应文件内容</w:t>
            </w:r>
          </w:p>
        </w:tc>
        <w:tc>
          <w:tcPr>
            <w:tcW w:w="4945" w:type="dxa"/>
            <w:noWrap w:val="0"/>
            <w:vAlign w:val="center"/>
          </w:tcPr>
          <w:p w14:paraId="40B4BC57">
            <w:pPr>
              <w:pStyle w:val="33"/>
              <w:pageBreakBefore w:val="0"/>
              <w:wordWrap/>
              <w:topLinePunct w:val="0"/>
              <w:bidi w:val="0"/>
              <w:spacing w:line="560" w:lineRule="exac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对竞选文件第二篇规定的需求内容作出响应。</w:t>
            </w:r>
          </w:p>
        </w:tc>
      </w:tr>
      <w:tr w14:paraId="7C70D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75" w:type="dxa"/>
            <w:vMerge w:val="continue"/>
            <w:noWrap w:val="0"/>
            <w:vAlign w:val="center"/>
          </w:tcPr>
          <w:p w14:paraId="02861A20">
            <w:pPr>
              <w:pageBreakBefore w:val="0"/>
              <w:wordWrap/>
              <w:topLinePunct w:val="0"/>
              <w:bidi w:val="0"/>
              <w:spacing w:line="560" w:lineRule="exact"/>
              <w:jc w:val="center"/>
              <w:textAlignment w:val="auto"/>
              <w:rPr>
                <w:rFonts w:hint="eastAsia" w:ascii="宋体" w:hAnsi="宋体" w:eastAsia="宋体" w:cs="宋体"/>
                <w:color w:val="auto"/>
                <w:kern w:val="0"/>
                <w:sz w:val="21"/>
                <w:szCs w:val="21"/>
                <w:highlight w:val="none"/>
              </w:rPr>
            </w:pPr>
          </w:p>
        </w:tc>
        <w:tc>
          <w:tcPr>
            <w:tcW w:w="2030" w:type="dxa"/>
            <w:vMerge w:val="continue"/>
            <w:noWrap w:val="0"/>
            <w:vAlign w:val="center"/>
          </w:tcPr>
          <w:p w14:paraId="4EB9051D">
            <w:pPr>
              <w:pageBreakBefore w:val="0"/>
              <w:wordWrap/>
              <w:topLinePunct w:val="0"/>
              <w:bidi w:val="0"/>
              <w:spacing w:line="560" w:lineRule="exact"/>
              <w:textAlignment w:val="auto"/>
              <w:rPr>
                <w:rFonts w:hint="eastAsia" w:ascii="宋体" w:hAnsi="宋体" w:eastAsia="宋体" w:cs="宋体"/>
                <w:color w:val="auto"/>
                <w:sz w:val="21"/>
                <w:szCs w:val="21"/>
                <w:highlight w:val="none"/>
                <w:lang w:val="zh-CN"/>
              </w:rPr>
            </w:pPr>
          </w:p>
        </w:tc>
        <w:tc>
          <w:tcPr>
            <w:tcW w:w="1978" w:type="dxa"/>
            <w:noWrap w:val="0"/>
            <w:vAlign w:val="center"/>
          </w:tcPr>
          <w:p w14:paraId="4DB4C0A1">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竞选</w:t>
            </w:r>
            <w:r>
              <w:rPr>
                <w:rFonts w:hint="eastAsia" w:ascii="宋体" w:hAnsi="宋体" w:eastAsia="宋体" w:cs="宋体"/>
                <w:color w:val="auto"/>
                <w:kern w:val="0"/>
                <w:sz w:val="21"/>
                <w:szCs w:val="21"/>
                <w:highlight w:val="none"/>
              </w:rPr>
              <w:t>有效期</w:t>
            </w:r>
          </w:p>
        </w:tc>
        <w:tc>
          <w:tcPr>
            <w:tcW w:w="4945" w:type="dxa"/>
            <w:noWrap w:val="0"/>
            <w:vAlign w:val="center"/>
          </w:tcPr>
          <w:p w14:paraId="655ED926">
            <w:pPr>
              <w:pageBreakBefore w:val="0"/>
              <w:wordWrap/>
              <w:topLinePunct w:val="0"/>
              <w:bidi w:val="0"/>
              <w:spacing w:line="560" w:lineRule="exac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满足</w:t>
            </w:r>
            <w:r>
              <w:rPr>
                <w:rFonts w:hint="eastAsia" w:ascii="宋体" w:hAnsi="宋体" w:eastAsia="宋体" w:cs="宋体"/>
                <w:color w:val="auto"/>
                <w:kern w:val="0"/>
                <w:sz w:val="21"/>
                <w:szCs w:val="21"/>
                <w:highlight w:val="none"/>
                <w:lang w:eastAsia="zh-CN"/>
              </w:rPr>
              <w:t>竞选</w:t>
            </w:r>
            <w:r>
              <w:rPr>
                <w:rFonts w:hint="eastAsia" w:ascii="宋体" w:hAnsi="宋体" w:eastAsia="宋体" w:cs="宋体"/>
                <w:color w:val="auto"/>
                <w:kern w:val="0"/>
                <w:sz w:val="21"/>
                <w:szCs w:val="21"/>
                <w:highlight w:val="none"/>
              </w:rPr>
              <w:t>文件</w:t>
            </w:r>
            <w:r>
              <w:rPr>
                <w:rFonts w:hint="eastAsia" w:ascii="宋体" w:hAnsi="宋体" w:eastAsia="宋体" w:cs="宋体"/>
                <w:color w:val="auto"/>
                <w:sz w:val="21"/>
                <w:szCs w:val="21"/>
                <w:highlight w:val="none"/>
                <w:lang w:val="zh-CN"/>
              </w:rPr>
              <w:t>规定。</w:t>
            </w:r>
          </w:p>
        </w:tc>
      </w:tr>
    </w:tbl>
    <w:p w14:paraId="2450A70B">
      <w:pPr>
        <w:pStyle w:val="5"/>
        <w:spacing w:line="400" w:lineRule="exact"/>
        <w:ind w:firstLine="482" w:firstLineChars="200"/>
        <w:rPr>
          <w:rFonts w:hint="eastAsia"/>
          <w:b/>
          <w:color w:val="000000"/>
          <w:sz w:val="24"/>
          <w:szCs w:val="24"/>
        </w:rPr>
      </w:pPr>
      <w:bookmarkStart w:id="44" w:name="_Toc28571"/>
      <w:r>
        <w:rPr>
          <w:rFonts w:hint="eastAsia"/>
          <w:b/>
          <w:color w:val="000000"/>
          <w:sz w:val="24"/>
          <w:szCs w:val="24"/>
          <w:lang w:eastAsia="zh-CN"/>
        </w:rPr>
        <w:t>二、</w:t>
      </w:r>
      <w:r>
        <w:rPr>
          <w:rFonts w:hint="eastAsia"/>
          <w:b/>
          <w:color w:val="000000"/>
          <w:sz w:val="24"/>
          <w:szCs w:val="24"/>
        </w:rPr>
        <w:t>评审方法</w:t>
      </w:r>
      <w:bookmarkEnd w:id="44"/>
    </w:p>
    <w:p w14:paraId="2ED7AFDA">
      <w:pPr>
        <w:snapToGrid w:val="0"/>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本项目采用综合评分法进行</w:t>
      </w:r>
      <w:r>
        <w:rPr>
          <w:rFonts w:hint="eastAsia" w:ascii="宋体" w:hAnsi="宋体" w:eastAsia="宋体" w:cs="Times New Roman"/>
          <w:color w:val="000000"/>
          <w:sz w:val="24"/>
          <w:szCs w:val="24"/>
          <w:lang w:val="en-US" w:eastAsia="zh-CN"/>
        </w:rPr>
        <w:t>评审</w:t>
      </w:r>
      <w:r>
        <w:rPr>
          <w:rFonts w:hint="eastAsia" w:ascii="宋体" w:hAnsi="宋体" w:eastAsia="宋体" w:cs="Times New Roman"/>
          <w:color w:val="000000"/>
          <w:sz w:val="24"/>
          <w:szCs w:val="24"/>
        </w:rPr>
        <w:t>。</w:t>
      </w:r>
    </w:p>
    <w:p w14:paraId="3F170E99">
      <w:pPr>
        <w:snapToGrid w:val="0"/>
        <w:spacing w:line="400" w:lineRule="exact"/>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综合评分法，是指</w:t>
      </w:r>
      <w:r>
        <w:rPr>
          <w:rFonts w:hint="eastAsia" w:ascii="宋体" w:hAnsi="宋体" w:eastAsia="宋体" w:cs="Times New Roman"/>
          <w:color w:val="000000"/>
          <w:sz w:val="24"/>
          <w:szCs w:val="24"/>
          <w:lang w:eastAsia="zh-CN"/>
        </w:rPr>
        <w:t>响应文件</w:t>
      </w:r>
      <w:r>
        <w:rPr>
          <w:rFonts w:hint="eastAsia" w:ascii="宋体" w:hAnsi="宋体" w:eastAsia="宋体" w:cs="Times New Roman"/>
          <w:color w:val="000000"/>
          <w:sz w:val="24"/>
          <w:szCs w:val="24"/>
        </w:rPr>
        <w:t>满足</w:t>
      </w:r>
      <w:r>
        <w:rPr>
          <w:rFonts w:hint="eastAsia" w:ascii="宋体" w:hAnsi="宋体" w:eastAsia="宋体" w:cs="Times New Roman"/>
          <w:color w:val="000000"/>
          <w:sz w:val="24"/>
          <w:szCs w:val="24"/>
          <w:lang w:eastAsia="zh-CN"/>
        </w:rPr>
        <w:t>竞选文件</w:t>
      </w:r>
      <w:r>
        <w:rPr>
          <w:rFonts w:hint="eastAsia" w:ascii="宋体" w:hAnsi="宋体" w:eastAsia="宋体" w:cs="Times New Roman"/>
          <w:color w:val="000000"/>
          <w:sz w:val="24"/>
          <w:szCs w:val="24"/>
        </w:rPr>
        <w:t>全部实质性要求且按照评</w:t>
      </w:r>
      <w:r>
        <w:rPr>
          <w:rFonts w:hint="eastAsia" w:ascii="宋体" w:hAnsi="宋体" w:eastAsia="宋体" w:cs="Times New Roman"/>
          <w:color w:val="000000"/>
          <w:sz w:val="24"/>
          <w:szCs w:val="24"/>
          <w:lang w:eastAsia="zh-CN"/>
        </w:rPr>
        <w:t>分</w:t>
      </w:r>
      <w:r>
        <w:rPr>
          <w:rFonts w:hint="eastAsia" w:ascii="宋体" w:hAnsi="宋体" w:eastAsia="宋体" w:cs="Times New Roman"/>
          <w:color w:val="000000"/>
          <w:sz w:val="24"/>
          <w:szCs w:val="24"/>
        </w:rPr>
        <w:t>因素的量化指标评审得分</w:t>
      </w:r>
      <w:r>
        <w:rPr>
          <w:rFonts w:hint="eastAsia" w:ascii="宋体" w:hAnsi="宋体" w:eastAsia="宋体" w:cs="Times New Roman"/>
          <w:color w:val="000000"/>
          <w:sz w:val="24"/>
          <w:szCs w:val="24"/>
          <w:lang w:eastAsia="zh-CN"/>
        </w:rPr>
        <w:t>在</w:t>
      </w:r>
      <w:r>
        <w:rPr>
          <w:rFonts w:hint="eastAsia" w:ascii="宋体" w:hAnsi="宋体" w:cs="Times New Roman"/>
          <w:color w:val="000000"/>
          <w:sz w:val="24"/>
          <w:szCs w:val="24"/>
          <w:lang w:val="en-US" w:eastAsia="zh-CN"/>
        </w:rPr>
        <w:t>65</w:t>
      </w:r>
      <w:r>
        <w:rPr>
          <w:rFonts w:hint="eastAsia" w:ascii="宋体" w:hAnsi="宋体" w:eastAsia="宋体" w:cs="Times New Roman"/>
          <w:color w:val="000000"/>
          <w:sz w:val="24"/>
          <w:szCs w:val="24"/>
          <w:lang w:val="en-US" w:eastAsia="zh-CN"/>
        </w:rPr>
        <w:t>分及以上的竞选人为中选人</w:t>
      </w:r>
      <w:r>
        <w:rPr>
          <w:rFonts w:hint="eastAsia" w:ascii="宋体" w:hAnsi="宋体" w:eastAsia="宋体" w:cs="Times New Roman"/>
          <w:color w:val="000000"/>
          <w:sz w:val="24"/>
          <w:szCs w:val="24"/>
        </w:rPr>
        <w:t>的</w:t>
      </w:r>
      <w:r>
        <w:rPr>
          <w:rFonts w:hint="eastAsia" w:ascii="宋体" w:hAnsi="宋体" w:eastAsia="宋体" w:cs="Times New Roman"/>
          <w:color w:val="000000"/>
          <w:sz w:val="24"/>
          <w:szCs w:val="24"/>
          <w:lang w:val="en-US" w:eastAsia="zh-CN"/>
        </w:rPr>
        <w:t>评审</w:t>
      </w:r>
      <w:r>
        <w:rPr>
          <w:rFonts w:hint="eastAsia" w:ascii="宋体" w:hAnsi="宋体" w:eastAsia="宋体" w:cs="Times New Roman"/>
          <w:color w:val="000000"/>
          <w:sz w:val="24"/>
          <w:szCs w:val="24"/>
        </w:rPr>
        <w:t>方法。</w:t>
      </w:r>
      <w:r>
        <w:rPr>
          <w:rFonts w:hint="eastAsia" w:ascii="宋体" w:hAnsi="宋体" w:eastAsia="宋体" w:cs="Times New Roman"/>
          <w:color w:val="000000"/>
          <w:sz w:val="24"/>
          <w:szCs w:val="24"/>
          <w:lang w:eastAsia="zh-CN"/>
        </w:rPr>
        <w:t>竞选人</w:t>
      </w:r>
      <w:r>
        <w:rPr>
          <w:rFonts w:hint="eastAsia" w:ascii="宋体" w:hAnsi="宋体" w:eastAsia="宋体" w:cs="Times New Roman"/>
          <w:color w:val="000000"/>
          <w:sz w:val="24"/>
          <w:szCs w:val="24"/>
        </w:rPr>
        <w:t>总得分为</w:t>
      </w:r>
      <w:r>
        <w:rPr>
          <w:rFonts w:hint="eastAsia" w:ascii="宋体" w:hAnsi="宋体" w:eastAsia="宋体" w:cs="Times New Roman"/>
          <w:color w:val="000000"/>
          <w:sz w:val="24"/>
          <w:szCs w:val="24"/>
          <w:lang w:eastAsia="zh-CN"/>
        </w:rPr>
        <w:t>评审委员会依据</w:t>
      </w:r>
      <w:r>
        <w:rPr>
          <w:rFonts w:hint="eastAsia" w:ascii="宋体" w:hAnsi="宋体" w:eastAsia="宋体" w:cs="Times New Roman"/>
          <w:color w:val="000000"/>
          <w:sz w:val="24"/>
          <w:szCs w:val="24"/>
        </w:rPr>
        <w:t>评</w:t>
      </w:r>
      <w:r>
        <w:rPr>
          <w:rFonts w:hint="eastAsia" w:ascii="宋体" w:hAnsi="宋体" w:eastAsia="宋体" w:cs="Times New Roman"/>
          <w:color w:val="000000"/>
          <w:sz w:val="24"/>
          <w:szCs w:val="24"/>
          <w:lang w:eastAsia="zh-CN"/>
        </w:rPr>
        <w:t>审</w:t>
      </w:r>
      <w:r>
        <w:rPr>
          <w:rFonts w:hint="eastAsia" w:ascii="宋体" w:hAnsi="宋体" w:eastAsia="宋体" w:cs="Times New Roman"/>
          <w:color w:val="000000"/>
          <w:sz w:val="24"/>
          <w:szCs w:val="24"/>
        </w:rPr>
        <w:t>因素分别按照相应权重值计算分项得分后相加，满分为100分</w:t>
      </w:r>
      <w:r>
        <w:rPr>
          <w:rFonts w:hint="eastAsia" w:ascii="宋体" w:hAnsi="宋体" w:eastAsia="宋体" w:cs="Times New Roman"/>
          <w:color w:val="000000"/>
          <w:sz w:val="24"/>
          <w:szCs w:val="24"/>
          <w:lang w:eastAsia="zh-CN"/>
        </w:rPr>
        <w:t>。</w:t>
      </w:r>
    </w:p>
    <w:p w14:paraId="52E6D46C">
      <w:pPr>
        <w:snapToGrid w:val="0"/>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澄清有关问题。对</w:t>
      </w:r>
      <w:r>
        <w:rPr>
          <w:rFonts w:hint="eastAsia" w:ascii="宋体" w:hAnsi="宋体" w:eastAsia="宋体" w:cs="Times New Roman"/>
          <w:color w:val="000000"/>
          <w:sz w:val="24"/>
          <w:szCs w:val="24"/>
          <w:lang w:eastAsia="zh-CN"/>
        </w:rPr>
        <w:t>响应文件</w:t>
      </w:r>
      <w:r>
        <w:rPr>
          <w:rFonts w:hint="eastAsia" w:ascii="宋体" w:hAnsi="宋体" w:eastAsia="宋体" w:cs="Times New Roman"/>
          <w:color w:val="000000"/>
          <w:sz w:val="24"/>
          <w:szCs w:val="24"/>
        </w:rPr>
        <w:t>中含义不明确、同类问题表述不一致或者有明显文字和计算错误的内容，</w:t>
      </w:r>
      <w:r>
        <w:rPr>
          <w:rFonts w:hint="eastAsia" w:ascii="宋体" w:hAnsi="宋体" w:eastAsia="宋体" w:cs="Times New Roman"/>
          <w:color w:val="000000"/>
          <w:sz w:val="24"/>
          <w:szCs w:val="24"/>
          <w:lang w:val="en-US" w:eastAsia="zh-CN"/>
        </w:rPr>
        <w:t>评审</w:t>
      </w:r>
      <w:r>
        <w:rPr>
          <w:rFonts w:hint="eastAsia" w:ascii="宋体" w:hAnsi="宋体" w:eastAsia="宋体" w:cs="Times New Roman"/>
          <w:color w:val="000000"/>
          <w:sz w:val="24"/>
          <w:szCs w:val="24"/>
        </w:rPr>
        <w:t>委员会可以书面形式（应当由</w:t>
      </w:r>
      <w:r>
        <w:rPr>
          <w:rFonts w:hint="eastAsia" w:ascii="宋体" w:hAnsi="宋体" w:eastAsia="宋体" w:cs="Times New Roman"/>
          <w:color w:val="000000"/>
          <w:sz w:val="24"/>
          <w:szCs w:val="24"/>
          <w:lang w:val="en-US" w:eastAsia="zh-CN"/>
        </w:rPr>
        <w:t>评审</w:t>
      </w:r>
      <w:r>
        <w:rPr>
          <w:rFonts w:hint="eastAsia" w:ascii="宋体" w:hAnsi="宋体" w:eastAsia="宋体" w:cs="Times New Roman"/>
          <w:color w:val="000000"/>
          <w:sz w:val="24"/>
          <w:szCs w:val="24"/>
        </w:rPr>
        <w:t>委员会成员签字）要求</w:t>
      </w:r>
      <w:r>
        <w:rPr>
          <w:rFonts w:hint="eastAsia" w:ascii="宋体" w:hAnsi="宋体" w:eastAsia="宋体" w:cs="Times New Roman"/>
          <w:color w:val="000000"/>
          <w:sz w:val="24"/>
          <w:szCs w:val="24"/>
          <w:lang w:eastAsia="zh-CN"/>
        </w:rPr>
        <w:t>竞选人</w:t>
      </w:r>
      <w:r>
        <w:rPr>
          <w:rFonts w:hint="eastAsia" w:ascii="宋体" w:hAnsi="宋体" w:eastAsia="宋体" w:cs="Times New Roman"/>
          <w:color w:val="000000"/>
          <w:sz w:val="24"/>
          <w:szCs w:val="24"/>
        </w:rPr>
        <w:t>作出必要澄清、说明或者纠正。</w:t>
      </w:r>
      <w:r>
        <w:rPr>
          <w:rFonts w:hint="eastAsia" w:ascii="宋体" w:hAnsi="宋体" w:eastAsia="宋体" w:cs="Times New Roman"/>
          <w:color w:val="000000"/>
          <w:sz w:val="24"/>
          <w:szCs w:val="24"/>
          <w:lang w:eastAsia="zh-CN"/>
        </w:rPr>
        <w:t>竞选人</w:t>
      </w:r>
      <w:r>
        <w:rPr>
          <w:rFonts w:hint="eastAsia" w:ascii="宋体" w:hAnsi="宋体" w:eastAsia="宋体" w:cs="Times New Roman"/>
          <w:color w:val="000000"/>
          <w:sz w:val="24"/>
          <w:szCs w:val="24"/>
        </w:rPr>
        <w:t>的澄清、说明或者补正应当采用书面形式，由其法定代表人（或其授权代表）签字，其澄清的内容不得超出</w:t>
      </w:r>
      <w:r>
        <w:rPr>
          <w:rFonts w:hint="eastAsia" w:ascii="宋体" w:hAnsi="宋体" w:eastAsia="宋体" w:cs="Times New Roman"/>
          <w:color w:val="000000"/>
          <w:sz w:val="24"/>
          <w:szCs w:val="24"/>
          <w:lang w:eastAsia="zh-CN"/>
        </w:rPr>
        <w:t>响应文件</w:t>
      </w:r>
      <w:r>
        <w:rPr>
          <w:rFonts w:hint="eastAsia" w:ascii="宋体" w:hAnsi="宋体" w:eastAsia="宋体" w:cs="Times New Roman"/>
          <w:color w:val="000000"/>
          <w:sz w:val="24"/>
          <w:szCs w:val="24"/>
        </w:rPr>
        <w:t>的范围或者改变</w:t>
      </w:r>
      <w:r>
        <w:rPr>
          <w:rFonts w:hint="eastAsia" w:ascii="宋体" w:hAnsi="宋体" w:eastAsia="宋体" w:cs="Times New Roman"/>
          <w:color w:val="000000"/>
          <w:sz w:val="24"/>
          <w:szCs w:val="24"/>
          <w:lang w:eastAsia="zh-CN"/>
        </w:rPr>
        <w:t>响应文件</w:t>
      </w:r>
      <w:r>
        <w:rPr>
          <w:rFonts w:hint="eastAsia" w:ascii="宋体" w:hAnsi="宋体" w:eastAsia="宋体" w:cs="Times New Roman"/>
          <w:color w:val="000000"/>
          <w:sz w:val="24"/>
          <w:szCs w:val="24"/>
        </w:rPr>
        <w:t>的实质性内容。</w:t>
      </w:r>
    </w:p>
    <w:p w14:paraId="52ECD536">
      <w:pPr>
        <w:snapToGrid w:val="0"/>
        <w:spacing w:line="400" w:lineRule="exact"/>
        <w:ind w:firstLine="482" w:firstLineChars="200"/>
        <w:rPr>
          <w:rFonts w:hint="eastAsia" w:ascii="宋体" w:hAnsi="宋体" w:eastAsia="宋体" w:cs="Times New Roman"/>
          <w:color w:val="000000"/>
          <w:sz w:val="24"/>
          <w:szCs w:val="24"/>
        </w:rPr>
      </w:pPr>
      <w:bookmarkStart w:id="45" w:name="_Toc30840"/>
      <w:bookmarkStart w:id="46" w:name="_Toc11647"/>
      <w:r>
        <w:rPr>
          <w:rFonts w:hint="eastAsia" w:ascii="宋体" w:hAnsi="宋体" w:eastAsia="宋体" w:cs="Times New Roman"/>
          <w:b/>
          <w:bCs/>
          <w:color w:val="000000"/>
          <w:sz w:val="24"/>
          <w:szCs w:val="24"/>
        </w:rPr>
        <w:t>综合评分法：</w:t>
      </w:r>
      <w:bookmarkEnd w:id="45"/>
      <w:bookmarkEnd w:id="46"/>
    </w:p>
    <w:p w14:paraId="65F62BE6">
      <w:pPr>
        <w:snapToGrid w:val="0"/>
        <w:spacing w:line="400" w:lineRule="exact"/>
        <w:ind w:firstLine="480" w:firstLineChars="200"/>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rPr>
        <w:t>（一）比较与评价。按</w:t>
      </w:r>
      <w:r>
        <w:rPr>
          <w:rFonts w:hint="eastAsia" w:ascii="宋体" w:hAnsi="宋体" w:eastAsia="宋体" w:cs="Times New Roman"/>
          <w:color w:val="000000"/>
          <w:sz w:val="24"/>
          <w:szCs w:val="24"/>
          <w:lang w:eastAsia="zh-CN"/>
        </w:rPr>
        <w:t>竞选</w:t>
      </w:r>
      <w:r>
        <w:rPr>
          <w:rFonts w:hint="eastAsia" w:ascii="宋体" w:hAnsi="宋体" w:eastAsia="宋体" w:cs="Times New Roman"/>
          <w:color w:val="000000"/>
          <w:sz w:val="24"/>
          <w:szCs w:val="24"/>
        </w:rPr>
        <w:t>文件中规定的</w:t>
      </w:r>
      <w:r>
        <w:rPr>
          <w:rFonts w:hint="eastAsia" w:ascii="宋体" w:hAnsi="宋体" w:eastAsia="宋体" w:cs="Times New Roman"/>
          <w:color w:val="000000"/>
          <w:sz w:val="24"/>
          <w:szCs w:val="24"/>
          <w:lang w:val="en-US" w:eastAsia="zh-CN"/>
        </w:rPr>
        <w:t>评审</w:t>
      </w:r>
      <w:r>
        <w:rPr>
          <w:rFonts w:hint="eastAsia" w:ascii="宋体" w:hAnsi="宋体" w:eastAsia="宋体" w:cs="Times New Roman"/>
          <w:color w:val="000000"/>
          <w:sz w:val="24"/>
          <w:szCs w:val="24"/>
        </w:rPr>
        <w:t>方法和标准，对资格审查和符合性审查合格的</w:t>
      </w:r>
      <w:r>
        <w:rPr>
          <w:rFonts w:hint="eastAsia" w:ascii="宋体" w:hAnsi="宋体" w:eastAsia="宋体" w:cs="Times New Roman"/>
          <w:color w:val="000000"/>
          <w:sz w:val="24"/>
          <w:szCs w:val="24"/>
          <w:lang w:eastAsia="zh-CN"/>
        </w:rPr>
        <w:t>响应</w:t>
      </w:r>
      <w:r>
        <w:rPr>
          <w:rFonts w:hint="eastAsia" w:ascii="宋体" w:hAnsi="宋体" w:eastAsia="宋体" w:cs="Times New Roman"/>
          <w:color w:val="000000"/>
          <w:sz w:val="24"/>
          <w:szCs w:val="24"/>
          <w:highlight w:val="none"/>
          <w:lang w:eastAsia="zh-CN"/>
        </w:rPr>
        <w:t>文件</w:t>
      </w:r>
      <w:r>
        <w:rPr>
          <w:rFonts w:hint="eastAsia" w:ascii="宋体" w:hAnsi="宋体" w:eastAsia="宋体" w:cs="Times New Roman"/>
          <w:color w:val="000000"/>
          <w:sz w:val="24"/>
          <w:szCs w:val="24"/>
          <w:highlight w:val="none"/>
        </w:rPr>
        <w:t>进行</w:t>
      </w:r>
      <w:r>
        <w:rPr>
          <w:rFonts w:hint="eastAsia" w:ascii="宋体" w:hAnsi="宋体" w:cs="Times New Roman"/>
          <w:color w:val="000000"/>
          <w:sz w:val="24"/>
          <w:szCs w:val="24"/>
          <w:highlight w:val="none"/>
          <w:lang w:eastAsia="zh-CN"/>
        </w:rPr>
        <w:t>竞选需求和服务要求</w:t>
      </w:r>
      <w:r>
        <w:rPr>
          <w:rFonts w:hint="eastAsia" w:ascii="宋体" w:hAnsi="宋体" w:eastAsia="宋体" w:cs="Times New Roman"/>
          <w:color w:val="000000"/>
          <w:sz w:val="24"/>
          <w:szCs w:val="24"/>
          <w:highlight w:val="none"/>
        </w:rPr>
        <w:t>评估。</w:t>
      </w:r>
    </w:p>
    <w:p w14:paraId="176CDC89">
      <w:pPr>
        <w:snapToGrid w:val="0"/>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val="en-US" w:eastAsia="zh-CN"/>
        </w:rPr>
        <w:t>评审</w:t>
      </w:r>
      <w:r>
        <w:rPr>
          <w:rFonts w:hint="eastAsia" w:ascii="宋体" w:hAnsi="宋体" w:eastAsia="宋体" w:cs="Times New Roman"/>
          <w:color w:val="000000"/>
          <w:sz w:val="24"/>
          <w:szCs w:val="24"/>
        </w:rPr>
        <w:t>委员会各成员独立对每个有效</w:t>
      </w:r>
      <w:r>
        <w:rPr>
          <w:rFonts w:hint="eastAsia" w:ascii="宋体" w:hAnsi="宋体" w:eastAsia="宋体" w:cs="Times New Roman"/>
          <w:color w:val="000000"/>
          <w:sz w:val="24"/>
          <w:szCs w:val="24"/>
          <w:lang w:eastAsia="zh-CN"/>
        </w:rPr>
        <w:t>竞选人</w:t>
      </w:r>
      <w:r>
        <w:rPr>
          <w:rFonts w:hint="eastAsia" w:ascii="宋体" w:hAnsi="宋体" w:eastAsia="宋体" w:cs="Times New Roman"/>
          <w:color w:val="000000"/>
          <w:sz w:val="24"/>
          <w:szCs w:val="24"/>
        </w:rPr>
        <w:t>（通过资格审查、符合性审查的</w:t>
      </w:r>
      <w:r>
        <w:rPr>
          <w:rFonts w:hint="eastAsia" w:ascii="宋体" w:hAnsi="宋体" w:eastAsia="宋体" w:cs="Times New Roman"/>
          <w:color w:val="000000"/>
          <w:sz w:val="24"/>
          <w:szCs w:val="24"/>
          <w:lang w:eastAsia="zh-CN"/>
        </w:rPr>
        <w:t>竞选人</w:t>
      </w:r>
      <w:r>
        <w:rPr>
          <w:rFonts w:hint="eastAsia" w:ascii="宋体" w:hAnsi="宋体" w:eastAsia="宋体" w:cs="Times New Roman"/>
          <w:color w:val="000000"/>
          <w:sz w:val="24"/>
          <w:szCs w:val="24"/>
        </w:rPr>
        <w:t>）的</w:t>
      </w:r>
      <w:r>
        <w:rPr>
          <w:rFonts w:hint="eastAsia" w:ascii="宋体" w:hAnsi="宋体" w:eastAsia="宋体" w:cs="Times New Roman"/>
          <w:color w:val="000000"/>
          <w:sz w:val="24"/>
          <w:szCs w:val="24"/>
          <w:lang w:eastAsia="zh-CN"/>
        </w:rPr>
        <w:t>响应文件</w:t>
      </w:r>
      <w:r>
        <w:rPr>
          <w:rFonts w:hint="eastAsia" w:ascii="宋体" w:hAnsi="宋体" w:eastAsia="宋体" w:cs="Times New Roman"/>
          <w:color w:val="000000"/>
          <w:sz w:val="24"/>
          <w:szCs w:val="24"/>
        </w:rPr>
        <w:t>进行评价、打分，然后由</w:t>
      </w:r>
      <w:r>
        <w:rPr>
          <w:rFonts w:hint="eastAsia" w:ascii="宋体" w:hAnsi="宋体" w:eastAsia="宋体" w:cs="Times New Roman"/>
          <w:color w:val="000000"/>
          <w:sz w:val="24"/>
          <w:szCs w:val="24"/>
          <w:lang w:val="en-US" w:eastAsia="zh-CN"/>
        </w:rPr>
        <w:t>评审</w:t>
      </w:r>
      <w:r>
        <w:rPr>
          <w:rFonts w:hint="eastAsia" w:ascii="宋体" w:hAnsi="宋体" w:eastAsia="宋体" w:cs="Times New Roman"/>
          <w:color w:val="000000"/>
          <w:sz w:val="24"/>
          <w:szCs w:val="24"/>
        </w:rPr>
        <w:t>委员会对各成员打分情况进行核查及复核，个别成员对同一</w:t>
      </w:r>
      <w:r>
        <w:rPr>
          <w:rFonts w:hint="eastAsia" w:ascii="宋体" w:hAnsi="宋体" w:eastAsia="宋体" w:cs="Times New Roman"/>
          <w:color w:val="000000"/>
          <w:sz w:val="24"/>
          <w:szCs w:val="24"/>
          <w:lang w:eastAsia="zh-CN"/>
        </w:rPr>
        <w:t>竞选人</w:t>
      </w:r>
      <w:r>
        <w:rPr>
          <w:rFonts w:hint="eastAsia" w:ascii="宋体" w:hAnsi="宋体" w:eastAsia="宋体" w:cs="Times New Roman"/>
          <w:color w:val="000000"/>
          <w:sz w:val="24"/>
          <w:szCs w:val="24"/>
        </w:rPr>
        <w:t>同一评分项的打分偏离较大的，应对</w:t>
      </w:r>
      <w:r>
        <w:rPr>
          <w:rFonts w:hint="eastAsia" w:ascii="宋体" w:hAnsi="宋体" w:eastAsia="宋体" w:cs="Times New Roman"/>
          <w:color w:val="000000"/>
          <w:sz w:val="24"/>
          <w:szCs w:val="24"/>
          <w:lang w:eastAsia="zh-CN"/>
        </w:rPr>
        <w:t>竞选人</w:t>
      </w:r>
      <w:r>
        <w:rPr>
          <w:rFonts w:hint="eastAsia" w:ascii="宋体" w:hAnsi="宋体" w:eastAsia="宋体" w:cs="Times New Roman"/>
          <w:color w:val="000000"/>
          <w:sz w:val="24"/>
          <w:szCs w:val="24"/>
        </w:rPr>
        <w:t>的</w:t>
      </w:r>
      <w:r>
        <w:rPr>
          <w:rFonts w:hint="eastAsia" w:ascii="宋体" w:hAnsi="宋体" w:eastAsia="宋体" w:cs="Times New Roman"/>
          <w:color w:val="000000"/>
          <w:sz w:val="24"/>
          <w:szCs w:val="24"/>
          <w:lang w:eastAsia="zh-CN"/>
        </w:rPr>
        <w:t>响应文件</w:t>
      </w:r>
      <w:r>
        <w:rPr>
          <w:rFonts w:hint="eastAsia" w:ascii="宋体" w:hAnsi="宋体" w:eastAsia="宋体" w:cs="Times New Roman"/>
          <w:color w:val="000000"/>
          <w:sz w:val="24"/>
          <w:szCs w:val="24"/>
        </w:rPr>
        <w:t>进行再次核对，确属打分有误的，应及时进行修正。</w:t>
      </w:r>
    </w:p>
    <w:p w14:paraId="735A0737">
      <w:pPr>
        <w:snapToGrid w:val="0"/>
        <w:spacing w:line="400" w:lineRule="exact"/>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复核后，</w:t>
      </w:r>
      <w:r>
        <w:rPr>
          <w:rFonts w:hint="eastAsia" w:ascii="宋体" w:hAnsi="宋体" w:eastAsia="宋体" w:cs="Times New Roman"/>
          <w:color w:val="000000"/>
          <w:sz w:val="24"/>
          <w:szCs w:val="24"/>
          <w:lang w:val="en-US" w:eastAsia="zh-CN"/>
        </w:rPr>
        <w:t>评审</w:t>
      </w:r>
      <w:r>
        <w:rPr>
          <w:rFonts w:hint="eastAsia" w:ascii="宋体" w:hAnsi="宋体" w:eastAsia="宋体" w:cs="Times New Roman"/>
          <w:color w:val="000000"/>
          <w:sz w:val="24"/>
          <w:szCs w:val="24"/>
        </w:rPr>
        <w:t>委员会汇总每个</w:t>
      </w:r>
      <w:r>
        <w:rPr>
          <w:rFonts w:hint="eastAsia" w:ascii="宋体" w:hAnsi="宋体" w:eastAsia="宋体" w:cs="Times New Roman"/>
          <w:color w:val="000000"/>
          <w:sz w:val="24"/>
          <w:szCs w:val="24"/>
          <w:lang w:eastAsia="zh-CN"/>
        </w:rPr>
        <w:t>竞选人</w:t>
      </w:r>
      <w:r>
        <w:rPr>
          <w:rFonts w:hint="eastAsia" w:ascii="宋体" w:hAnsi="宋体" w:eastAsia="宋体" w:cs="Times New Roman"/>
          <w:color w:val="000000"/>
          <w:sz w:val="24"/>
          <w:szCs w:val="24"/>
        </w:rPr>
        <w:t>每项评分因素的得分。</w:t>
      </w:r>
    </w:p>
    <w:p w14:paraId="50876715">
      <w:pPr>
        <w:snapToGrid w:val="0"/>
        <w:spacing w:line="400" w:lineRule="exact"/>
        <w:ind w:firstLine="480" w:firstLineChars="200"/>
        <w:rPr>
          <w:rFonts w:hint="eastAsia" w:ascii="宋体" w:hAnsi="宋体" w:eastAsia="宋体" w:cs="Times New Roman"/>
          <w:color w:val="000000"/>
          <w:sz w:val="24"/>
          <w:szCs w:val="24"/>
        </w:rPr>
      </w:pPr>
      <w:bookmarkStart w:id="47" w:name="_Toc30237"/>
      <w:bookmarkStart w:id="48" w:name="_Toc30667"/>
      <w:r>
        <w:rPr>
          <w:rFonts w:hint="eastAsia" w:ascii="宋体" w:hAnsi="宋体" w:eastAsia="宋体" w:cs="Times New Roman"/>
          <w:color w:val="000000"/>
          <w:sz w:val="24"/>
          <w:szCs w:val="24"/>
        </w:rPr>
        <w:t>（二）推荐</w:t>
      </w:r>
      <w:r>
        <w:rPr>
          <w:rFonts w:hint="eastAsia" w:ascii="宋体" w:hAnsi="宋体" w:eastAsia="宋体" w:cs="Times New Roman"/>
          <w:color w:val="000000"/>
          <w:sz w:val="24"/>
          <w:szCs w:val="24"/>
          <w:lang w:eastAsia="zh-CN"/>
        </w:rPr>
        <w:t>中选人</w:t>
      </w:r>
      <w:r>
        <w:rPr>
          <w:rFonts w:hint="eastAsia" w:ascii="宋体" w:hAnsi="宋体" w:eastAsia="宋体" w:cs="Times New Roman"/>
          <w:color w:val="000000"/>
          <w:sz w:val="24"/>
          <w:szCs w:val="24"/>
        </w:rPr>
        <w:t>名单。</w:t>
      </w:r>
      <w:bookmarkEnd w:id="47"/>
      <w:bookmarkEnd w:id="48"/>
    </w:p>
    <w:p w14:paraId="281DB831">
      <w:pPr>
        <w:spacing w:line="400" w:lineRule="exact"/>
        <w:ind w:firstLine="480" w:firstLineChars="200"/>
        <w:outlineLvl w:val="9"/>
        <w:rPr>
          <w:rFonts w:hint="eastAsia" w:ascii="宋体" w:hAnsi="宋体" w:eastAsia="宋体" w:cs="Times New Roman"/>
          <w:color w:val="000000"/>
          <w:sz w:val="24"/>
          <w:szCs w:val="24"/>
          <w:lang w:val="en-US" w:eastAsia="zh-CN"/>
        </w:rPr>
      </w:pPr>
      <w:bookmarkStart w:id="49" w:name="_Toc11318"/>
      <w:r>
        <w:rPr>
          <w:rFonts w:hint="eastAsia" w:ascii="宋体" w:hAnsi="宋体" w:eastAsia="宋体" w:cs="Times New Roman"/>
          <w:color w:val="000000"/>
          <w:sz w:val="24"/>
          <w:szCs w:val="24"/>
        </w:rPr>
        <w:t>按评审后</w:t>
      </w:r>
      <w:r>
        <w:rPr>
          <w:rFonts w:hint="eastAsia" w:ascii="宋体" w:hAnsi="宋体" w:eastAsia="宋体" w:cs="Times New Roman"/>
          <w:color w:val="000000"/>
          <w:sz w:val="24"/>
          <w:szCs w:val="24"/>
          <w:lang w:eastAsia="zh-CN"/>
        </w:rPr>
        <w:t>综合</w:t>
      </w:r>
      <w:r>
        <w:rPr>
          <w:rFonts w:hint="eastAsia" w:ascii="宋体" w:hAnsi="宋体" w:eastAsia="宋体" w:cs="Times New Roman"/>
          <w:color w:val="000000"/>
          <w:sz w:val="24"/>
          <w:szCs w:val="24"/>
        </w:rPr>
        <w:t>得分由高到低的排列顺序推荐综合得分</w:t>
      </w:r>
      <w:r>
        <w:rPr>
          <w:rFonts w:hint="eastAsia" w:ascii="宋体" w:hAnsi="宋体" w:eastAsia="宋体" w:cs="Times New Roman"/>
          <w:color w:val="000000"/>
          <w:sz w:val="24"/>
          <w:szCs w:val="24"/>
          <w:lang w:eastAsia="zh-CN"/>
        </w:rPr>
        <w:t>在</w:t>
      </w:r>
      <w:r>
        <w:rPr>
          <w:rFonts w:hint="eastAsia" w:ascii="宋体" w:hAnsi="宋体" w:cs="Times New Roman"/>
          <w:color w:val="000000"/>
          <w:sz w:val="24"/>
          <w:szCs w:val="24"/>
          <w:lang w:val="en-US" w:eastAsia="zh-CN"/>
        </w:rPr>
        <w:t>65</w:t>
      </w:r>
      <w:r>
        <w:rPr>
          <w:rFonts w:hint="eastAsia" w:ascii="宋体" w:hAnsi="宋体" w:eastAsia="宋体" w:cs="Times New Roman"/>
          <w:color w:val="000000"/>
          <w:sz w:val="24"/>
          <w:szCs w:val="24"/>
          <w:lang w:val="en-US" w:eastAsia="zh-CN"/>
        </w:rPr>
        <w:t>分及以上的竞选人为中选人。</w:t>
      </w:r>
      <w:bookmarkEnd w:id="49"/>
    </w:p>
    <w:p w14:paraId="19202F40">
      <w:pPr>
        <w:pStyle w:val="5"/>
        <w:spacing w:line="400" w:lineRule="exact"/>
        <w:ind w:firstLine="482" w:firstLineChars="200"/>
        <w:rPr>
          <w:rFonts w:hint="eastAsia"/>
          <w:b/>
          <w:color w:val="000000"/>
          <w:sz w:val="24"/>
          <w:szCs w:val="24"/>
          <w:lang w:eastAsia="zh-CN"/>
        </w:rPr>
      </w:pPr>
      <w:bookmarkStart w:id="50" w:name="_Toc25329"/>
      <w:r>
        <w:rPr>
          <w:rFonts w:hint="eastAsia"/>
          <w:b/>
          <w:color w:val="000000"/>
          <w:sz w:val="24"/>
          <w:szCs w:val="24"/>
          <w:lang w:eastAsia="zh-CN"/>
        </w:rPr>
        <w:t>三、评审标准</w:t>
      </w:r>
      <w:bookmarkEnd w:id="50"/>
    </w:p>
    <w:p w14:paraId="275CB29F">
      <w:pPr>
        <w:spacing w:line="400" w:lineRule="exact"/>
        <w:ind w:firstLine="482" w:firstLineChars="200"/>
        <w:outlineLvl w:val="9"/>
        <w:rPr>
          <w:rFonts w:hint="eastAsia"/>
          <w:b/>
          <w:color w:val="000000"/>
          <w:sz w:val="24"/>
          <w:szCs w:val="24"/>
          <w:lang w:eastAsia="zh-CN"/>
        </w:rPr>
      </w:pPr>
      <w:bookmarkStart w:id="51" w:name="_Toc31946"/>
      <w:r>
        <w:rPr>
          <w:rFonts w:hint="eastAsia"/>
          <w:b/>
          <w:color w:val="000000"/>
          <w:sz w:val="24"/>
          <w:szCs w:val="24"/>
          <w:lang w:eastAsia="zh-CN"/>
        </w:rPr>
        <w:t>（一）评审因素</w:t>
      </w:r>
      <w:bookmarkEnd w:id="51"/>
    </w:p>
    <w:tbl>
      <w:tblPr>
        <w:tblStyle w:val="57"/>
        <w:tblW w:w="9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1055"/>
        <w:gridCol w:w="625"/>
        <w:gridCol w:w="4350"/>
        <w:gridCol w:w="2857"/>
      </w:tblGrid>
      <w:tr w14:paraId="79A9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11" w:type="dxa"/>
            <w:noWrap/>
            <w:vAlign w:val="center"/>
          </w:tcPr>
          <w:p w14:paraId="6EA2FBB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Cs/>
                <w:sz w:val="21"/>
                <w:szCs w:val="21"/>
                <w:highlight w:val="none"/>
              </w:rPr>
            </w:pPr>
            <w:r>
              <w:rPr>
                <w:rFonts w:hint="eastAsia" w:ascii="宋体" w:hAnsi="宋体" w:eastAsia="宋体" w:cs="宋体"/>
                <w:b/>
                <w:sz w:val="21"/>
                <w:szCs w:val="21"/>
                <w:highlight w:val="none"/>
              </w:rPr>
              <w:t>序号</w:t>
            </w:r>
          </w:p>
        </w:tc>
        <w:tc>
          <w:tcPr>
            <w:tcW w:w="1055" w:type="dxa"/>
            <w:noWrap/>
            <w:vAlign w:val="center"/>
          </w:tcPr>
          <w:p w14:paraId="305FC416">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Cs/>
                <w:sz w:val="21"/>
                <w:szCs w:val="21"/>
                <w:highlight w:val="none"/>
              </w:rPr>
            </w:pPr>
            <w:r>
              <w:rPr>
                <w:rFonts w:hint="eastAsia" w:ascii="宋体" w:hAnsi="宋体" w:eastAsia="宋体" w:cs="宋体"/>
                <w:b/>
                <w:sz w:val="21"/>
                <w:szCs w:val="21"/>
                <w:highlight w:val="none"/>
              </w:rPr>
              <w:t>评分因素及权值</w:t>
            </w:r>
          </w:p>
        </w:tc>
        <w:tc>
          <w:tcPr>
            <w:tcW w:w="625" w:type="dxa"/>
            <w:noWrap/>
            <w:vAlign w:val="center"/>
          </w:tcPr>
          <w:p w14:paraId="49FB28B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Cs/>
                <w:sz w:val="21"/>
                <w:szCs w:val="21"/>
                <w:highlight w:val="none"/>
              </w:rPr>
            </w:pPr>
            <w:r>
              <w:rPr>
                <w:rFonts w:hint="eastAsia" w:ascii="宋体" w:hAnsi="宋体" w:eastAsia="宋体" w:cs="宋体"/>
                <w:b/>
                <w:sz w:val="21"/>
                <w:szCs w:val="21"/>
                <w:highlight w:val="none"/>
              </w:rPr>
              <w:t>分值</w:t>
            </w:r>
          </w:p>
        </w:tc>
        <w:tc>
          <w:tcPr>
            <w:tcW w:w="4350" w:type="dxa"/>
            <w:noWrap/>
            <w:vAlign w:val="center"/>
          </w:tcPr>
          <w:p w14:paraId="1B58EB35">
            <w:pPr>
              <w:keepNext w:val="0"/>
              <w:keepLines w:val="0"/>
              <w:pageBreakBefore w:val="0"/>
              <w:widowControl/>
              <w:kinsoku w:val="0"/>
              <w:wordWrap/>
              <w:overflowPunct/>
              <w:topLinePunct w:val="0"/>
              <w:autoSpaceDE w:val="0"/>
              <w:autoSpaceDN w:val="0"/>
              <w:bidi w:val="0"/>
              <w:adjustRightInd w:val="0"/>
              <w:snapToGrid w:val="0"/>
              <w:spacing w:line="240" w:lineRule="exact"/>
              <w:ind w:firstLine="382"/>
              <w:jc w:val="center"/>
              <w:textAlignment w:val="baseline"/>
              <w:rPr>
                <w:rFonts w:hint="eastAsia" w:ascii="宋体" w:hAnsi="宋体" w:eastAsia="宋体" w:cs="宋体"/>
                <w:bCs/>
                <w:sz w:val="21"/>
                <w:szCs w:val="21"/>
                <w:highlight w:val="none"/>
              </w:rPr>
            </w:pPr>
            <w:r>
              <w:rPr>
                <w:rFonts w:hint="eastAsia" w:ascii="宋体" w:hAnsi="宋体" w:eastAsia="宋体" w:cs="宋体"/>
                <w:b/>
                <w:sz w:val="21"/>
                <w:szCs w:val="21"/>
                <w:highlight w:val="none"/>
              </w:rPr>
              <w:t>评分标准</w:t>
            </w:r>
          </w:p>
        </w:tc>
        <w:tc>
          <w:tcPr>
            <w:tcW w:w="2857" w:type="dxa"/>
            <w:noWrap/>
            <w:vAlign w:val="center"/>
          </w:tcPr>
          <w:p w14:paraId="7032E213">
            <w:pPr>
              <w:pStyle w:val="115"/>
              <w:keepNext w:val="0"/>
              <w:keepLines w:val="0"/>
              <w:pageBreakBefore w:val="0"/>
              <w:widowControl/>
              <w:kinsoku w:val="0"/>
              <w:wordWrap/>
              <w:overflowPunct/>
              <w:topLinePunct w:val="0"/>
              <w:autoSpaceDE w:val="0"/>
              <w:autoSpaceDN w:val="0"/>
              <w:bidi w:val="0"/>
              <w:adjustRightInd w:val="0"/>
              <w:snapToGrid w:val="0"/>
              <w:spacing w:before="0" w:after="0" w:line="240" w:lineRule="exact"/>
              <w:ind w:firstLine="382"/>
              <w:jc w:val="center"/>
              <w:textAlignment w:val="baseline"/>
              <w:rPr>
                <w:rFonts w:hint="eastAsia" w:ascii="宋体" w:hAnsi="宋体" w:eastAsia="宋体" w:cs="宋体"/>
                <w:b w:val="0"/>
                <w:bCs/>
                <w:sz w:val="21"/>
                <w:szCs w:val="21"/>
                <w:highlight w:val="none"/>
              </w:rPr>
            </w:pPr>
            <w:r>
              <w:rPr>
                <w:rFonts w:hint="eastAsia" w:ascii="宋体" w:hAnsi="宋体" w:eastAsia="宋体" w:cs="宋体"/>
                <w:sz w:val="21"/>
                <w:szCs w:val="21"/>
                <w:highlight w:val="none"/>
              </w:rPr>
              <w:t>说明</w:t>
            </w:r>
          </w:p>
        </w:tc>
      </w:tr>
      <w:tr w14:paraId="45DA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11" w:type="dxa"/>
            <w:noWrap/>
            <w:vAlign w:val="center"/>
          </w:tcPr>
          <w:p w14:paraId="1379A09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1</w:t>
            </w:r>
          </w:p>
        </w:tc>
        <w:tc>
          <w:tcPr>
            <w:tcW w:w="1055" w:type="dxa"/>
            <w:noWrap/>
            <w:vAlign w:val="center"/>
          </w:tcPr>
          <w:p w14:paraId="73D28EA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企业规模</w:t>
            </w:r>
          </w:p>
          <w:p w14:paraId="78449B1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w:t>
            </w:r>
            <w:r>
              <w:rPr>
                <w:rFonts w:hint="eastAsia" w:ascii="宋体" w:hAnsi="宋体" w:eastAsia="宋体" w:cs="宋体"/>
                <w:b/>
                <w:sz w:val="21"/>
                <w:szCs w:val="21"/>
                <w:highlight w:val="none"/>
                <w:lang w:val="en-US" w:eastAsia="zh-CN"/>
              </w:rPr>
              <w:t>5</w:t>
            </w:r>
            <w:r>
              <w:rPr>
                <w:rFonts w:hint="eastAsia" w:ascii="宋体" w:hAnsi="宋体" w:eastAsia="宋体" w:cs="宋体"/>
                <w:b/>
                <w:sz w:val="21"/>
                <w:szCs w:val="21"/>
                <w:highlight w:val="none"/>
              </w:rPr>
              <w:t>分）</w:t>
            </w:r>
          </w:p>
        </w:tc>
        <w:tc>
          <w:tcPr>
            <w:tcW w:w="625" w:type="dxa"/>
            <w:noWrap/>
            <w:vAlign w:val="center"/>
          </w:tcPr>
          <w:p w14:paraId="5F8409C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5</w:t>
            </w:r>
          </w:p>
        </w:tc>
        <w:tc>
          <w:tcPr>
            <w:tcW w:w="4350" w:type="dxa"/>
            <w:noWrap/>
            <w:vAlign w:val="center"/>
          </w:tcPr>
          <w:p w14:paraId="3F42040E">
            <w:pPr>
              <w:keepNext w:val="0"/>
              <w:keepLines w:val="0"/>
              <w:pageBreakBefore w:val="0"/>
              <w:widowControl/>
              <w:kinsoku w:val="0"/>
              <w:wordWrap/>
              <w:overflowPunct/>
              <w:topLinePunct w:val="0"/>
              <w:autoSpaceDE w:val="0"/>
              <w:autoSpaceDN w:val="0"/>
              <w:bidi w:val="0"/>
              <w:adjustRightInd w:val="0"/>
              <w:snapToGrid w:val="0"/>
              <w:spacing w:line="240" w:lineRule="exact"/>
              <w:ind w:firstLine="420" w:firstLineChars="20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按照《中小企业划型标准规定》中交通运输业标准，对</w:t>
            </w:r>
            <w:r>
              <w:rPr>
                <w:rFonts w:hint="eastAsia" w:ascii="宋体" w:hAnsi="宋体" w:eastAsia="宋体" w:cs="宋体"/>
                <w:sz w:val="21"/>
                <w:szCs w:val="21"/>
                <w:highlight w:val="none"/>
                <w:lang w:eastAsia="zh-CN"/>
              </w:rPr>
              <w:t>竞选人</w:t>
            </w:r>
            <w:r>
              <w:rPr>
                <w:rFonts w:hint="eastAsia" w:ascii="宋体" w:hAnsi="宋体" w:eastAsia="宋体" w:cs="宋体"/>
                <w:sz w:val="21"/>
                <w:szCs w:val="21"/>
                <w:highlight w:val="none"/>
              </w:rPr>
              <w:t>经营规模进行评审。（10分）</w:t>
            </w:r>
          </w:p>
          <w:p w14:paraId="16FBD743">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1.从业人员在20人以下或营业收入在200万元以下的，为微型企业，得</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分。</w:t>
            </w:r>
          </w:p>
          <w:p w14:paraId="548A1D5C">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2.从业人员在20人以上300人以下</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且营业收入在200万元以上3000万元以下的，为小型企业，得</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分。</w:t>
            </w:r>
          </w:p>
          <w:p w14:paraId="50614AB8">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3.从业人员 300人及以上，且营业收入在3000万元及以上的，为大中型企业，得</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eastAsia="zh-CN"/>
              </w:rPr>
              <w:t>。</w:t>
            </w:r>
          </w:p>
        </w:tc>
        <w:tc>
          <w:tcPr>
            <w:tcW w:w="2857" w:type="dxa"/>
            <w:noWrap/>
            <w:vAlign w:val="center"/>
          </w:tcPr>
          <w:p w14:paraId="69C70B8C">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baseline"/>
              <w:rPr>
                <w:rFonts w:hint="eastAsia" w:ascii="宋体" w:hAnsi="宋体" w:eastAsia="宋体" w:cs="宋体"/>
                <w:sz w:val="21"/>
                <w:szCs w:val="21"/>
                <w:highlight w:val="none"/>
                <w:lang w:eastAsia="zh-CN"/>
              </w:rPr>
            </w:pPr>
            <w:r>
              <w:rPr>
                <w:rFonts w:hint="eastAsia" w:ascii="宋体" w:hAnsi="宋体" w:eastAsia="宋体" w:cs="宋体"/>
                <w:kern w:val="0"/>
                <w:sz w:val="21"/>
                <w:szCs w:val="21"/>
                <w:highlight w:val="none"/>
                <w:u w:val="none"/>
              </w:rPr>
              <w:t>中小企业应当按照《中小企业划型标准规定》（工信部联企业〔2011〕300号），如实填写并提交《中小企业声明函》</w:t>
            </w:r>
            <w:r>
              <w:rPr>
                <w:rFonts w:hint="eastAsia" w:ascii="宋体" w:hAnsi="宋体" w:eastAsia="宋体" w:cs="宋体"/>
                <w:kern w:val="0"/>
                <w:sz w:val="21"/>
                <w:szCs w:val="21"/>
                <w:highlight w:val="none"/>
                <w:u w:val="none"/>
                <w:lang w:eastAsia="zh-CN"/>
              </w:rPr>
              <w:t>。</w:t>
            </w:r>
            <w:r>
              <w:rPr>
                <w:rFonts w:hint="eastAsia" w:ascii="宋体" w:hAnsi="宋体" w:eastAsia="宋体" w:cs="宋体"/>
                <w:kern w:val="0"/>
                <w:sz w:val="21"/>
                <w:szCs w:val="21"/>
                <w:highlight w:val="none"/>
                <w:u w:val="none"/>
              </w:rPr>
              <w:t>若</w:t>
            </w:r>
            <w:r>
              <w:rPr>
                <w:rFonts w:hint="eastAsia" w:ascii="宋体" w:hAnsi="宋体" w:eastAsia="宋体" w:cs="宋体"/>
                <w:kern w:val="0"/>
                <w:sz w:val="21"/>
                <w:szCs w:val="21"/>
                <w:highlight w:val="none"/>
                <w:u w:val="none"/>
                <w:lang w:eastAsia="zh-CN"/>
              </w:rPr>
              <w:t>中选人</w:t>
            </w:r>
            <w:r>
              <w:rPr>
                <w:rFonts w:hint="eastAsia" w:ascii="宋体" w:hAnsi="宋体" w:eastAsia="宋体" w:cs="宋体"/>
                <w:kern w:val="0"/>
                <w:sz w:val="21"/>
                <w:szCs w:val="21"/>
                <w:highlight w:val="none"/>
                <w:u w:val="none"/>
              </w:rPr>
              <w:t>为小微企业的，将在结果公告时公告其《中小企业声明函》</w:t>
            </w:r>
            <w:r>
              <w:rPr>
                <w:rFonts w:hint="eastAsia" w:ascii="宋体" w:hAnsi="宋体" w:eastAsia="宋体" w:cs="宋体"/>
                <w:kern w:val="0"/>
                <w:sz w:val="21"/>
                <w:szCs w:val="21"/>
                <w:highlight w:val="none"/>
                <w:u w:val="none"/>
                <w:lang w:eastAsia="zh-CN"/>
              </w:rPr>
              <w:t>。</w:t>
            </w:r>
          </w:p>
        </w:tc>
      </w:tr>
      <w:tr w14:paraId="3D39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611" w:type="dxa"/>
            <w:vMerge w:val="restart"/>
            <w:noWrap/>
            <w:vAlign w:val="center"/>
          </w:tcPr>
          <w:p w14:paraId="63CADF3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2</w:t>
            </w:r>
          </w:p>
        </w:tc>
        <w:tc>
          <w:tcPr>
            <w:tcW w:w="1055" w:type="dxa"/>
            <w:vMerge w:val="restart"/>
            <w:noWrap/>
            <w:vAlign w:val="center"/>
          </w:tcPr>
          <w:p w14:paraId="50547B4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lang w:eastAsia="zh-CN"/>
              </w:rPr>
              <w:t>企业</w:t>
            </w:r>
            <w:r>
              <w:rPr>
                <w:rFonts w:hint="eastAsia" w:ascii="宋体" w:hAnsi="宋体" w:eastAsia="宋体" w:cs="宋体"/>
                <w:b/>
                <w:sz w:val="21"/>
                <w:szCs w:val="21"/>
                <w:highlight w:val="none"/>
              </w:rPr>
              <w:t>能力</w:t>
            </w:r>
          </w:p>
          <w:p w14:paraId="5DF8460B">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（20分）</w:t>
            </w:r>
          </w:p>
        </w:tc>
        <w:tc>
          <w:tcPr>
            <w:tcW w:w="625" w:type="dxa"/>
            <w:noWrap/>
            <w:vAlign w:val="center"/>
          </w:tcPr>
          <w:p w14:paraId="2834776F">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6</w:t>
            </w:r>
          </w:p>
        </w:tc>
        <w:tc>
          <w:tcPr>
            <w:tcW w:w="4350" w:type="dxa"/>
            <w:noWrap/>
            <w:vAlign w:val="center"/>
          </w:tcPr>
          <w:p w14:paraId="5CA06357">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baseline"/>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企业资质（</w:t>
            </w:r>
            <w:r>
              <w:rPr>
                <w:rFonts w:hint="eastAsia" w:ascii="宋体" w:hAnsi="宋体" w:eastAsia="宋体" w:cs="宋体"/>
                <w:b/>
                <w:bCs/>
                <w:sz w:val="21"/>
                <w:szCs w:val="21"/>
                <w:highlight w:val="none"/>
                <w:lang w:val="en-US" w:eastAsia="zh-CN"/>
              </w:rPr>
              <w:t>6分</w:t>
            </w:r>
            <w:r>
              <w:rPr>
                <w:rFonts w:hint="eastAsia" w:ascii="宋体" w:hAnsi="宋体" w:eastAsia="宋体" w:cs="宋体"/>
                <w:b/>
                <w:bCs/>
                <w:sz w:val="21"/>
                <w:szCs w:val="21"/>
                <w:highlight w:val="none"/>
                <w:lang w:eastAsia="zh-CN"/>
              </w:rPr>
              <w:t>）</w:t>
            </w:r>
          </w:p>
          <w:p w14:paraId="2F7C482E">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竞选人</w:t>
            </w:r>
            <w:r>
              <w:rPr>
                <w:rFonts w:hint="eastAsia" w:ascii="宋体" w:hAnsi="宋体" w:eastAsia="宋体" w:cs="宋体"/>
                <w:sz w:val="21"/>
                <w:szCs w:val="21"/>
                <w:highlight w:val="none"/>
              </w:rPr>
              <w:t>具有有效期内的ISO9001质量管理体系认证证书、ISO14001环境管理体系认证证书、ISO45001职业健康安全管理体系认证证书的，每有一个证书得2分，</w:t>
            </w:r>
            <w:r>
              <w:rPr>
                <w:rFonts w:hint="eastAsia" w:ascii="宋体" w:hAnsi="宋体" w:eastAsia="宋体" w:cs="宋体"/>
                <w:sz w:val="21"/>
                <w:szCs w:val="21"/>
                <w:highlight w:val="none"/>
                <w:lang w:eastAsia="zh-CN"/>
              </w:rPr>
              <w:t>累计</w:t>
            </w:r>
            <w:r>
              <w:rPr>
                <w:rFonts w:hint="eastAsia" w:ascii="宋体" w:hAnsi="宋体" w:eastAsia="宋体" w:cs="宋体"/>
                <w:sz w:val="21"/>
                <w:szCs w:val="21"/>
                <w:highlight w:val="none"/>
              </w:rPr>
              <w:t>最高得</w:t>
            </w:r>
            <w:r>
              <w:rPr>
                <w:rFonts w:hint="eastAsia" w:ascii="宋体" w:hAnsi="宋体" w:eastAsia="宋体" w:cs="宋体"/>
                <w:sz w:val="21"/>
                <w:szCs w:val="21"/>
                <w:highlight w:val="none"/>
                <w:lang w:eastAsia="zh-CN"/>
              </w:rPr>
              <w:t>6分；不</w:t>
            </w:r>
            <w:r>
              <w:rPr>
                <w:rFonts w:hint="eastAsia" w:ascii="宋体" w:hAnsi="宋体" w:eastAsia="宋体" w:cs="宋体"/>
                <w:sz w:val="21"/>
                <w:szCs w:val="21"/>
                <w:highlight w:val="none"/>
              </w:rPr>
              <w:t>提供不得分。</w:t>
            </w:r>
          </w:p>
        </w:tc>
        <w:tc>
          <w:tcPr>
            <w:tcW w:w="2857" w:type="dxa"/>
            <w:noWrap/>
            <w:vAlign w:val="center"/>
          </w:tcPr>
          <w:p w14:paraId="57B1F88B">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提供相关证件复印件并加盖公章，原件备查。</w:t>
            </w:r>
          </w:p>
        </w:tc>
      </w:tr>
      <w:tr w14:paraId="7AD6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611" w:type="dxa"/>
            <w:vMerge w:val="continue"/>
            <w:noWrap/>
            <w:vAlign w:val="center"/>
          </w:tcPr>
          <w:p w14:paraId="7C1072B2">
            <w:pPr>
              <w:keepNext w:val="0"/>
              <w:keepLines w:val="0"/>
              <w:pageBreakBefore w:val="0"/>
              <w:widowControl/>
              <w:kinsoku w:val="0"/>
              <w:wordWrap/>
              <w:overflowPunct/>
              <w:topLinePunct w:val="0"/>
              <w:autoSpaceDE w:val="0"/>
              <w:autoSpaceDN w:val="0"/>
              <w:bidi w:val="0"/>
              <w:adjustRightInd w:val="0"/>
              <w:snapToGrid w:val="0"/>
              <w:spacing w:line="240" w:lineRule="exact"/>
              <w:ind w:firstLine="603"/>
              <w:jc w:val="center"/>
              <w:textAlignment w:val="baseline"/>
              <w:rPr>
                <w:rFonts w:hint="eastAsia" w:ascii="宋体" w:hAnsi="宋体" w:eastAsia="宋体" w:cs="宋体"/>
                <w:b/>
                <w:sz w:val="21"/>
                <w:szCs w:val="21"/>
                <w:highlight w:val="none"/>
              </w:rPr>
            </w:pPr>
          </w:p>
        </w:tc>
        <w:tc>
          <w:tcPr>
            <w:tcW w:w="1055" w:type="dxa"/>
            <w:vMerge w:val="continue"/>
            <w:noWrap/>
            <w:vAlign w:val="center"/>
          </w:tcPr>
          <w:p w14:paraId="3B09C46E">
            <w:pPr>
              <w:keepNext w:val="0"/>
              <w:keepLines w:val="0"/>
              <w:pageBreakBefore w:val="0"/>
              <w:widowControl/>
              <w:kinsoku w:val="0"/>
              <w:wordWrap/>
              <w:overflowPunct/>
              <w:topLinePunct w:val="0"/>
              <w:autoSpaceDE w:val="0"/>
              <w:autoSpaceDN w:val="0"/>
              <w:bidi w:val="0"/>
              <w:adjustRightInd w:val="0"/>
              <w:snapToGrid w:val="0"/>
              <w:spacing w:line="240" w:lineRule="exact"/>
              <w:ind w:firstLine="603"/>
              <w:jc w:val="center"/>
              <w:textAlignment w:val="baseline"/>
              <w:rPr>
                <w:rFonts w:hint="eastAsia" w:ascii="宋体" w:hAnsi="宋体" w:eastAsia="宋体" w:cs="宋体"/>
                <w:b/>
                <w:sz w:val="21"/>
                <w:szCs w:val="21"/>
                <w:highlight w:val="none"/>
              </w:rPr>
            </w:pPr>
          </w:p>
        </w:tc>
        <w:tc>
          <w:tcPr>
            <w:tcW w:w="625" w:type="dxa"/>
            <w:noWrap/>
            <w:vAlign w:val="center"/>
          </w:tcPr>
          <w:p w14:paraId="694F52AF">
            <w:pPr>
              <w:keepNext w:val="0"/>
              <w:keepLines w:val="0"/>
              <w:pageBreakBefore w:val="0"/>
              <w:wordWrap/>
              <w:overflowPunct/>
              <w:topLinePunct w:val="0"/>
              <w:bidi w:val="0"/>
              <w:spacing w:line="240" w:lineRule="exact"/>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p>
        </w:tc>
        <w:tc>
          <w:tcPr>
            <w:tcW w:w="4350" w:type="dxa"/>
            <w:noWrap/>
            <w:vAlign w:val="center"/>
          </w:tcPr>
          <w:p w14:paraId="36FAFF43">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baseline"/>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社会责任承担能力</w:t>
            </w:r>
            <w:r>
              <w:rPr>
                <w:rFonts w:hint="eastAsia" w:ascii="宋体" w:hAnsi="宋体" w:eastAsia="宋体" w:cs="宋体"/>
                <w:b/>
                <w:bCs/>
                <w:sz w:val="21"/>
                <w:szCs w:val="21"/>
                <w:highlight w:val="none"/>
              </w:rPr>
              <w:t>（</w:t>
            </w:r>
            <w:r>
              <w:rPr>
                <w:rFonts w:hint="eastAsia" w:ascii="宋体" w:hAnsi="宋体" w:eastAsia="宋体" w:cs="宋体"/>
                <w:b/>
                <w:bCs/>
                <w:sz w:val="21"/>
                <w:szCs w:val="21"/>
                <w:highlight w:val="none"/>
                <w:lang w:val="en-US" w:eastAsia="zh-CN"/>
              </w:rPr>
              <w:t>4</w:t>
            </w:r>
            <w:r>
              <w:rPr>
                <w:rFonts w:hint="eastAsia" w:ascii="宋体" w:hAnsi="宋体" w:eastAsia="宋体" w:cs="宋体"/>
                <w:b/>
                <w:bCs/>
                <w:sz w:val="21"/>
                <w:szCs w:val="21"/>
                <w:highlight w:val="none"/>
              </w:rPr>
              <w:t>分）</w:t>
            </w:r>
          </w:p>
          <w:p w14:paraId="26BA2F59">
            <w:pPr>
              <w:keepNext w:val="0"/>
              <w:keepLines w:val="0"/>
              <w:pageBreakBefore w:val="0"/>
              <w:widowControl/>
              <w:kinsoku w:val="0"/>
              <w:wordWrap/>
              <w:overflowPunct/>
              <w:topLinePunct w:val="0"/>
              <w:autoSpaceDE w:val="0"/>
              <w:autoSpaceDN w:val="0"/>
              <w:bidi w:val="0"/>
              <w:adjustRightInd w:val="0"/>
              <w:snapToGrid w:val="0"/>
              <w:spacing w:line="240" w:lineRule="exact"/>
              <w:ind w:firstLine="420" w:firstLineChars="200"/>
              <w:jc w:val="left"/>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竞选人在本次竞选文件发布之日前，聘用的员工中有复转退役人员、下岗职工和农转非人员的，有一名得</w:t>
            </w:r>
            <w:r>
              <w:rPr>
                <w:rFonts w:hint="eastAsia" w:ascii="宋体" w:hAnsi="宋体" w:eastAsia="宋体" w:cs="宋体"/>
                <w:sz w:val="21"/>
                <w:szCs w:val="21"/>
                <w:highlight w:val="none"/>
                <w:lang w:val="en-US" w:eastAsia="zh-CN"/>
              </w:rPr>
              <w:t>1分，累计最高得4分。</w:t>
            </w:r>
          </w:p>
        </w:tc>
        <w:tc>
          <w:tcPr>
            <w:tcW w:w="2857" w:type="dxa"/>
            <w:noWrap/>
            <w:vAlign w:val="center"/>
          </w:tcPr>
          <w:p w14:paraId="11E66F9E">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baseline"/>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提供包含但不仅限于员工姓名、身份证号码、岗位等信息的人员名单，以及相关政府部门出具的相关人员身份证明材料、劳动合同、近一年任意一个月的社保缴纳证明材料，并加盖公章。</w:t>
            </w:r>
          </w:p>
        </w:tc>
      </w:tr>
      <w:tr w14:paraId="4603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vMerge w:val="continue"/>
            <w:noWrap/>
            <w:vAlign w:val="center"/>
          </w:tcPr>
          <w:p w14:paraId="6645BA0C">
            <w:pPr>
              <w:keepNext w:val="0"/>
              <w:keepLines w:val="0"/>
              <w:pageBreakBefore w:val="0"/>
              <w:widowControl/>
              <w:kinsoku w:val="0"/>
              <w:wordWrap/>
              <w:overflowPunct/>
              <w:topLinePunct w:val="0"/>
              <w:autoSpaceDE w:val="0"/>
              <w:autoSpaceDN w:val="0"/>
              <w:bidi w:val="0"/>
              <w:adjustRightInd w:val="0"/>
              <w:snapToGrid w:val="0"/>
              <w:spacing w:line="240" w:lineRule="exact"/>
              <w:ind w:firstLine="603"/>
              <w:jc w:val="center"/>
              <w:textAlignment w:val="baseline"/>
              <w:rPr>
                <w:rFonts w:hint="eastAsia" w:ascii="宋体" w:hAnsi="宋体" w:eastAsia="宋体" w:cs="宋体"/>
                <w:b/>
                <w:sz w:val="21"/>
                <w:szCs w:val="21"/>
                <w:highlight w:val="none"/>
              </w:rPr>
            </w:pPr>
          </w:p>
        </w:tc>
        <w:tc>
          <w:tcPr>
            <w:tcW w:w="1055" w:type="dxa"/>
            <w:vMerge w:val="continue"/>
            <w:noWrap/>
            <w:vAlign w:val="center"/>
          </w:tcPr>
          <w:p w14:paraId="496915DD">
            <w:pPr>
              <w:keepNext w:val="0"/>
              <w:keepLines w:val="0"/>
              <w:pageBreakBefore w:val="0"/>
              <w:widowControl/>
              <w:kinsoku w:val="0"/>
              <w:wordWrap/>
              <w:overflowPunct/>
              <w:topLinePunct w:val="0"/>
              <w:autoSpaceDE w:val="0"/>
              <w:autoSpaceDN w:val="0"/>
              <w:bidi w:val="0"/>
              <w:adjustRightInd w:val="0"/>
              <w:snapToGrid w:val="0"/>
              <w:spacing w:line="240" w:lineRule="exact"/>
              <w:ind w:firstLine="603"/>
              <w:jc w:val="center"/>
              <w:textAlignment w:val="baseline"/>
              <w:rPr>
                <w:rFonts w:hint="eastAsia" w:ascii="宋体" w:hAnsi="宋体" w:eastAsia="宋体" w:cs="宋体"/>
                <w:b/>
                <w:sz w:val="21"/>
                <w:szCs w:val="21"/>
                <w:highlight w:val="none"/>
              </w:rPr>
            </w:pPr>
          </w:p>
        </w:tc>
        <w:tc>
          <w:tcPr>
            <w:tcW w:w="625" w:type="dxa"/>
            <w:noWrap/>
            <w:vAlign w:val="center"/>
          </w:tcPr>
          <w:p w14:paraId="53A34C5F">
            <w:pPr>
              <w:keepNext w:val="0"/>
              <w:keepLines w:val="0"/>
              <w:pageBreakBefore w:val="0"/>
              <w:wordWrap/>
              <w:overflowPunct/>
              <w:topLinePunct w:val="0"/>
              <w:bidi w:val="0"/>
              <w:spacing w:line="240" w:lineRule="exact"/>
              <w:jc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10</w:t>
            </w:r>
          </w:p>
        </w:tc>
        <w:tc>
          <w:tcPr>
            <w:tcW w:w="4350" w:type="dxa"/>
            <w:noWrap/>
            <w:vAlign w:val="center"/>
          </w:tcPr>
          <w:p w14:paraId="7C5CF98A">
            <w:pPr>
              <w:pStyle w:val="3"/>
              <w:keepNext w:val="0"/>
              <w:keepLines w:val="0"/>
              <w:pageBreakBefore w:val="0"/>
              <w:widowControl w:val="0"/>
              <w:kinsoku/>
              <w:wordWrap/>
              <w:overflowPunct/>
              <w:topLinePunct w:val="0"/>
              <w:autoSpaceDE/>
              <w:autoSpaceDN/>
              <w:bidi w:val="0"/>
              <w:adjustRightInd w:val="0"/>
              <w:snapToGrid w:val="0"/>
              <w:spacing w:after="0" w:line="240" w:lineRule="exact"/>
              <w:jc w:val="left"/>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员工福利保障能力（10分）</w:t>
            </w:r>
          </w:p>
          <w:p w14:paraId="26246671">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2" w:firstLineChars="200"/>
              <w:jc w:val="left"/>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一、工资保障（5分）</w:t>
            </w:r>
          </w:p>
          <w:p w14:paraId="30C86767">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竞选人在本次竞选文件发布之日前一个年度内，聘用的一线员工平均工资标准与《重庆市人力资源和社会保障局 重庆市财政局 重庆市医疗保障局 国家税务总局重庆市税务局关于做好 2024 年度社会保险缴费基数上下限核定有关工作的通知》(渝人社发〔2024〕18 号)中所规定的就业人员平均工资额度（87169元/年或7264元/月）</w:t>
            </w:r>
          </w:p>
          <w:p w14:paraId="4CE40D27">
            <w:pPr>
              <w:pStyle w:val="3"/>
              <w:keepNext w:val="0"/>
              <w:keepLines w:val="0"/>
              <w:pageBreakBefore w:val="0"/>
              <w:widowControl w:val="0"/>
              <w:kinsoku/>
              <w:wordWrap/>
              <w:overflowPunct/>
              <w:topLinePunct w:val="0"/>
              <w:autoSpaceDE/>
              <w:autoSpaceDN/>
              <w:bidi w:val="0"/>
              <w:adjustRightInd w:val="0"/>
              <w:snapToGrid w:val="0"/>
              <w:spacing w:after="0" w:line="240" w:lineRule="exact"/>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做对比。</w:t>
            </w:r>
          </w:p>
          <w:p w14:paraId="01E21FFA">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1.≥重庆市就业人员平均工资额的，得5分。</w:t>
            </w:r>
          </w:p>
          <w:p w14:paraId="4F4EF74C">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2.&lt;重庆市就业人员平均工资额且≥重庆市就业人员平均工资额80%（即69735元/年或5811元/月）的，得3分。</w:t>
            </w:r>
          </w:p>
          <w:p w14:paraId="36CFD849">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3.&lt;重庆市就业人员平均工资额80%且≥重庆市就业人员平均工资额60%（即52301元/年或4358元/月）的，得1分。</w:t>
            </w:r>
          </w:p>
          <w:p w14:paraId="54E6889D">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4.&lt;重庆市就业人员平均工资额60%的不得分。</w:t>
            </w:r>
          </w:p>
          <w:p w14:paraId="390AC82A">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2" w:firstLineChars="200"/>
              <w:jc w:val="left"/>
              <w:textAlignment w:val="auto"/>
              <w:rPr>
                <w:rFonts w:hint="eastAsia" w:ascii="宋体" w:hAnsi="宋体" w:eastAsia="宋体" w:cs="宋体"/>
                <w:b/>
                <w:bCs/>
                <w:kern w:val="2"/>
                <w:sz w:val="21"/>
                <w:szCs w:val="21"/>
                <w:highlight w:val="none"/>
                <w:lang w:val="en-US" w:eastAsia="zh-CN" w:bidi="ar-SA"/>
              </w:rPr>
            </w:pPr>
            <w:r>
              <w:rPr>
                <w:rFonts w:hint="eastAsia" w:ascii="宋体" w:hAnsi="宋体" w:eastAsia="宋体" w:cs="宋体"/>
                <w:b/>
                <w:bCs/>
                <w:kern w:val="2"/>
                <w:sz w:val="21"/>
                <w:szCs w:val="21"/>
                <w:highlight w:val="none"/>
                <w:lang w:val="en-US" w:eastAsia="zh-CN" w:bidi="ar-SA"/>
              </w:rPr>
              <w:t>二、社保保障（5分）</w:t>
            </w:r>
          </w:p>
          <w:p w14:paraId="1F9BEDAD">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根据竞选人提供的在本次竞选文件发布之日前一个年度内，聘用的一线员工缴纳社会保险（包含养老保险、医疗保险、失业保险、工伤保险）的情况进行评价。</w:t>
            </w:r>
          </w:p>
          <w:p w14:paraId="6963F8B2">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1. 一线员工总人数100%人员缴纳社会保险的，得5分。</w:t>
            </w:r>
          </w:p>
          <w:p w14:paraId="10F39EFB">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2. 一线员工总人数&lt;＜100%且≥80%人员缴纳社会保险的，得3分。</w:t>
            </w:r>
          </w:p>
          <w:p w14:paraId="31D5BDE1">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3. 一线员工总人数&lt;＜80%且≥60%人员缴纳社会保险的，得1分。</w:t>
            </w:r>
          </w:p>
          <w:p w14:paraId="26F2D8FC">
            <w:pPr>
              <w:pStyle w:val="3"/>
              <w:keepNext w:val="0"/>
              <w:keepLines w:val="0"/>
              <w:pageBreakBefore w:val="0"/>
              <w:widowControl w:val="0"/>
              <w:kinsoku/>
              <w:wordWrap/>
              <w:overflowPunct/>
              <w:topLinePunct w:val="0"/>
              <w:autoSpaceDE/>
              <w:autoSpaceDN/>
              <w:bidi w:val="0"/>
              <w:adjustRightInd w:val="0"/>
              <w:snapToGrid w:val="0"/>
              <w:spacing w:after="0" w:line="240" w:lineRule="exact"/>
              <w:ind w:firstLine="420" w:firstLineChars="20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4. 一线员工总人数&lt;＜60%的不得分。</w:t>
            </w:r>
          </w:p>
        </w:tc>
        <w:tc>
          <w:tcPr>
            <w:tcW w:w="2857" w:type="dxa"/>
            <w:noWrap/>
            <w:vAlign w:val="top"/>
          </w:tcPr>
          <w:p w14:paraId="0FA43A64">
            <w:pPr>
              <w:keepNext w:val="0"/>
              <w:keepLines w:val="0"/>
              <w:pageBreakBefore w:val="0"/>
              <w:widowControl/>
              <w:kinsoku w:val="0"/>
              <w:wordWrap/>
              <w:overflowPunct/>
              <w:topLinePunct w:val="0"/>
              <w:autoSpaceDE w:val="0"/>
              <w:autoSpaceDN w:val="0"/>
              <w:bidi w:val="0"/>
              <w:adjustRightInd w:val="0"/>
              <w:snapToGrid w:val="0"/>
              <w:spacing w:line="240" w:lineRule="exact"/>
              <w:jc w:val="left"/>
              <w:textAlignment w:val="baseline"/>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竞选人提供以下资料：</w:t>
            </w:r>
          </w:p>
          <w:p w14:paraId="482CEF52">
            <w:pPr>
              <w:pStyle w:val="2"/>
              <w:keepNext w:val="0"/>
              <w:keepLines w:val="0"/>
              <w:pageBreakBefore w:val="0"/>
              <w:numPr>
                <w:ilvl w:val="0"/>
                <w:numId w:val="0"/>
              </w:numPr>
              <w:wordWrap/>
              <w:overflowPunct/>
              <w:topLinePunct w:val="0"/>
              <w:bidi w:val="0"/>
              <w:spacing w:line="240" w:lineRule="exact"/>
              <w:ind w:right="280" w:rightChars="100"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1.一线员工人员明细表加盖公章，包含但不仅限于员工姓名、身份证号码、岗位、年工资总额、平均月工资额等信息。</w:t>
            </w:r>
          </w:p>
          <w:p w14:paraId="11586234">
            <w:pPr>
              <w:pStyle w:val="2"/>
              <w:keepNext w:val="0"/>
              <w:keepLines w:val="0"/>
              <w:pageBreakBefore w:val="0"/>
              <w:numPr>
                <w:ilvl w:val="0"/>
                <w:numId w:val="0"/>
              </w:numPr>
              <w:wordWrap/>
              <w:overflowPunct/>
              <w:topLinePunct w:val="0"/>
              <w:bidi w:val="0"/>
              <w:spacing w:line="240" w:lineRule="exact"/>
              <w:ind w:right="280" w:rightChars="100"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2.工资发放情况资料复印件并加盖公章，现金发</w:t>
            </w:r>
            <w:r>
              <w:rPr>
                <w:rFonts w:hint="eastAsia" w:ascii="宋体" w:hAnsi="宋体" w:eastAsia="宋体" w:cs="宋体"/>
                <w:kern w:val="2"/>
                <w:sz w:val="21"/>
                <w:szCs w:val="21"/>
                <w:highlight w:val="none"/>
                <w:lang w:val="en-US" w:eastAsia="zh-CN" w:bidi="ar-SA"/>
              </w:rPr>
              <w:t>放</w:t>
            </w:r>
            <w:r>
              <w:rPr>
                <w:rFonts w:hint="eastAsia" w:ascii="宋体" w:hAnsi="宋体" w:eastAsia="宋体" w:cs="宋体"/>
                <w:sz w:val="21"/>
                <w:szCs w:val="21"/>
                <w:highlight w:val="none"/>
                <w:lang w:val="en-US" w:eastAsia="zh-CN"/>
              </w:rPr>
              <w:t>方式，以员工签字确认为准；银行代发方式，提供银行代发明细表加盖银行印章和企业公章。</w:t>
            </w:r>
          </w:p>
          <w:p w14:paraId="74C78B26">
            <w:pPr>
              <w:pStyle w:val="3"/>
              <w:keepNext w:val="0"/>
              <w:keepLines w:val="0"/>
              <w:pageBreakBefore w:val="0"/>
              <w:widowControl w:val="0"/>
              <w:kinsoku/>
              <w:wordWrap/>
              <w:overflowPunct/>
              <w:topLinePunct w:val="0"/>
              <w:autoSpaceDE/>
              <w:autoSpaceDN/>
              <w:bidi w:val="0"/>
              <w:adjustRightInd w:val="0"/>
              <w:snapToGrid w:val="0"/>
              <w:spacing w:line="240" w:lineRule="exact"/>
              <w:ind w:firstLine="435"/>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3.社会保险，提供社保部门或税务部门出具的企业缴费明细和缴费凭证（网上系统需打印能显示网站名称的全部信息），以及人员的参保证明材料并加盖公章。</w:t>
            </w:r>
          </w:p>
          <w:p w14:paraId="78A8C506">
            <w:pPr>
              <w:pStyle w:val="3"/>
              <w:keepNext w:val="0"/>
              <w:keepLines w:val="0"/>
              <w:pageBreakBefore w:val="0"/>
              <w:widowControl w:val="0"/>
              <w:kinsoku/>
              <w:wordWrap/>
              <w:overflowPunct/>
              <w:topLinePunct w:val="0"/>
              <w:autoSpaceDE/>
              <w:autoSpaceDN/>
              <w:bidi w:val="0"/>
              <w:adjustRightInd w:val="0"/>
              <w:snapToGrid w:val="0"/>
              <w:spacing w:line="240" w:lineRule="exact"/>
              <w:ind w:firstLine="435"/>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4.成立不足一个年度的竞选人依照月平均工资额为标准。</w:t>
            </w:r>
          </w:p>
          <w:p w14:paraId="2CF5441D">
            <w:pPr>
              <w:pStyle w:val="3"/>
              <w:keepNext w:val="0"/>
              <w:keepLines w:val="0"/>
              <w:pageBreakBefore w:val="0"/>
              <w:widowControl w:val="0"/>
              <w:kinsoku/>
              <w:wordWrap/>
              <w:overflowPunct/>
              <w:topLinePunct w:val="0"/>
              <w:autoSpaceDE/>
              <w:autoSpaceDN/>
              <w:bidi w:val="0"/>
              <w:adjustRightInd w:val="0"/>
              <w:snapToGrid w:val="0"/>
              <w:spacing w:line="240" w:lineRule="exact"/>
              <w:ind w:firstLine="437"/>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5.成立不足一个月的竞选人，承诺中选后在九龙坡区作业的员工工资和社保按相应比例发放和缴纳的，对应得同等分值，承诺书格式自拟。</w:t>
            </w:r>
          </w:p>
          <w:p w14:paraId="1A2C9C7B">
            <w:pPr>
              <w:pStyle w:val="3"/>
              <w:keepNext w:val="0"/>
              <w:keepLines w:val="0"/>
              <w:pageBreakBefore w:val="0"/>
              <w:widowControl w:val="0"/>
              <w:kinsoku/>
              <w:wordWrap/>
              <w:overflowPunct/>
              <w:topLinePunct w:val="0"/>
              <w:autoSpaceDE/>
              <w:autoSpaceDN/>
              <w:bidi w:val="0"/>
              <w:adjustRightInd w:val="0"/>
              <w:snapToGrid w:val="0"/>
              <w:spacing w:line="240" w:lineRule="exact"/>
              <w:ind w:firstLine="435"/>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6.不提供资料的不</w:t>
            </w:r>
            <w:r>
              <w:rPr>
                <w:rFonts w:hint="eastAsia" w:ascii="宋体" w:hAnsi="宋体" w:cs="宋体"/>
                <w:kern w:val="2"/>
                <w:sz w:val="21"/>
                <w:szCs w:val="21"/>
                <w:highlight w:val="none"/>
                <w:lang w:val="en-US" w:eastAsia="zh-CN" w:bidi="ar-SA"/>
              </w:rPr>
              <w:t>得</w:t>
            </w:r>
            <w:r>
              <w:rPr>
                <w:rFonts w:hint="eastAsia" w:ascii="宋体" w:hAnsi="宋体" w:eastAsia="宋体" w:cs="宋体"/>
                <w:kern w:val="2"/>
                <w:sz w:val="21"/>
                <w:szCs w:val="21"/>
                <w:highlight w:val="none"/>
                <w:lang w:val="en-US" w:eastAsia="zh-CN" w:bidi="ar-SA"/>
              </w:rPr>
              <w:t>分。</w:t>
            </w:r>
          </w:p>
          <w:p w14:paraId="02B78809">
            <w:pPr>
              <w:pStyle w:val="3"/>
              <w:keepNext w:val="0"/>
              <w:keepLines w:val="0"/>
              <w:pageBreakBefore w:val="0"/>
              <w:widowControl w:val="0"/>
              <w:kinsoku/>
              <w:wordWrap/>
              <w:overflowPunct/>
              <w:topLinePunct w:val="0"/>
              <w:autoSpaceDE/>
              <w:autoSpaceDN/>
              <w:bidi w:val="0"/>
              <w:adjustRightInd w:val="0"/>
              <w:snapToGrid w:val="0"/>
              <w:spacing w:line="240" w:lineRule="exact"/>
              <w:ind w:firstLine="435"/>
              <w:jc w:val="center"/>
              <w:textAlignment w:val="auto"/>
              <w:rPr>
                <w:rFonts w:hint="eastAsia" w:ascii="宋体" w:hAnsi="宋体" w:eastAsia="宋体" w:cs="宋体"/>
                <w:kern w:val="2"/>
                <w:sz w:val="21"/>
                <w:szCs w:val="21"/>
                <w:highlight w:val="none"/>
                <w:lang w:val="en-US" w:eastAsia="zh-CN" w:bidi="ar-SA"/>
              </w:rPr>
            </w:pPr>
          </w:p>
        </w:tc>
      </w:tr>
      <w:tr w14:paraId="4A0D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11" w:type="dxa"/>
            <w:noWrap/>
            <w:vAlign w:val="center"/>
          </w:tcPr>
          <w:p w14:paraId="15530C91">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3</w:t>
            </w:r>
          </w:p>
        </w:tc>
        <w:tc>
          <w:tcPr>
            <w:tcW w:w="1055" w:type="dxa"/>
            <w:noWrap/>
            <w:vAlign w:val="center"/>
          </w:tcPr>
          <w:p w14:paraId="6F0FB01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 xml:space="preserve">企业诚信   </w:t>
            </w:r>
          </w:p>
          <w:p w14:paraId="415D7977">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w:t>
            </w:r>
            <w:r>
              <w:rPr>
                <w:rFonts w:hint="eastAsia" w:ascii="宋体" w:hAnsi="宋体" w:eastAsia="宋体" w:cs="宋体"/>
                <w:b/>
                <w:sz w:val="21"/>
                <w:szCs w:val="21"/>
                <w:highlight w:val="none"/>
                <w:lang w:val="en-US" w:eastAsia="zh-CN"/>
              </w:rPr>
              <w:t>6</w:t>
            </w:r>
            <w:r>
              <w:rPr>
                <w:rFonts w:hint="eastAsia" w:ascii="宋体" w:hAnsi="宋体" w:eastAsia="宋体" w:cs="宋体"/>
                <w:b/>
                <w:sz w:val="21"/>
                <w:szCs w:val="21"/>
                <w:highlight w:val="none"/>
              </w:rPr>
              <w:t>分）</w:t>
            </w:r>
          </w:p>
        </w:tc>
        <w:tc>
          <w:tcPr>
            <w:tcW w:w="625" w:type="dxa"/>
            <w:noWrap/>
            <w:vAlign w:val="center"/>
          </w:tcPr>
          <w:p w14:paraId="08EF73B5">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6</w:t>
            </w:r>
          </w:p>
        </w:tc>
        <w:tc>
          <w:tcPr>
            <w:tcW w:w="4350" w:type="dxa"/>
            <w:noWrap/>
            <w:vAlign w:val="center"/>
          </w:tcPr>
          <w:p w14:paraId="6DF88D7E">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竞选人在竞选文件发布前近三年内，在经营活动中信用情况，以是否被政府相关职能部门行政处罚的情况进行评审（6分）。</w:t>
            </w:r>
          </w:p>
          <w:p w14:paraId="6A09F4DB">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 没有行政处罚的，得6分。</w:t>
            </w:r>
          </w:p>
          <w:p w14:paraId="2645CA16">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 有1次行政处罚的，得4分。</w:t>
            </w:r>
          </w:p>
          <w:p w14:paraId="72BA8CE0">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 有2次行政处罚的，得2分。</w:t>
            </w:r>
          </w:p>
          <w:p w14:paraId="2C943D51">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 有3次行政处罚及以上的，不得分。</w:t>
            </w:r>
          </w:p>
        </w:tc>
        <w:tc>
          <w:tcPr>
            <w:tcW w:w="2857" w:type="dxa"/>
            <w:noWrap/>
            <w:vAlign w:val="center"/>
          </w:tcPr>
          <w:p w14:paraId="46A9C325">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提供：信用中国</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www.creditchina.gov.cn</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、中国政府</w:t>
            </w:r>
            <w:r>
              <w:rPr>
                <w:rFonts w:hint="eastAsia" w:ascii="宋体" w:hAnsi="宋体" w:cs="宋体"/>
                <w:sz w:val="21"/>
                <w:szCs w:val="21"/>
                <w:highlight w:val="none"/>
                <w:lang w:eastAsia="zh-CN"/>
              </w:rPr>
              <w:t>采购</w:t>
            </w:r>
            <w:r>
              <w:rPr>
                <w:rFonts w:hint="eastAsia" w:ascii="宋体" w:hAnsi="宋体" w:eastAsia="宋体" w:cs="宋体"/>
                <w:sz w:val="21"/>
                <w:szCs w:val="21"/>
                <w:highlight w:val="none"/>
              </w:rPr>
              <w:t>网</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www.ccgp.gov.cn</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网站上企业信息截图</w:t>
            </w:r>
            <w:r>
              <w:rPr>
                <w:rFonts w:hint="eastAsia" w:ascii="宋体" w:hAnsi="宋体" w:eastAsia="宋体" w:cs="宋体"/>
                <w:sz w:val="21"/>
                <w:szCs w:val="21"/>
                <w:highlight w:val="none"/>
                <w:lang w:eastAsia="zh-CN"/>
              </w:rPr>
              <w:t>，并加盖公章</w:t>
            </w:r>
            <w:r>
              <w:rPr>
                <w:rFonts w:hint="eastAsia" w:ascii="宋体" w:hAnsi="宋体" w:eastAsia="宋体" w:cs="宋体"/>
                <w:sz w:val="21"/>
                <w:szCs w:val="21"/>
                <w:highlight w:val="none"/>
              </w:rPr>
              <w:t>。</w:t>
            </w:r>
          </w:p>
        </w:tc>
      </w:tr>
      <w:tr w14:paraId="796B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11" w:type="dxa"/>
            <w:noWrap/>
            <w:vAlign w:val="center"/>
          </w:tcPr>
          <w:p w14:paraId="380E9D4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4</w:t>
            </w:r>
          </w:p>
        </w:tc>
        <w:tc>
          <w:tcPr>
            <w:tcW w:w="1055" w:type="dxa"/>
            <w:noWrap/>
            <w:vAlign w:val="center"/>
          </w:tcPr>
          <w:p w14:paraId="067E6C34">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收运能力</w:t>
            </w:r>
          </w:p>
          <w:p w14:paraId="7D1225F8">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（3</w:t>
            </w:r>
            <w:r>
              <w:rPr>
                <w:rFonts w:hint="eastAsia" w:ascii="宋体" w:hAnsi="宋体" w:eastAsia="宋体" w:cs="宋体"/>
                <w:b/>
                <w:sz w:val="21"/>
                <w:szCs w:val="21"/>
                <w:highlight w:val="none"/>
                <w:lang w:val="en-US" w:eastAsia="zh-CN"/>
              </w:rPr>
              <w:t>9</w:t>
            </w:r>
            <w:r>
              <w:rPr>
                <w:rFonts w:hint="eastAsia" w:ascii="宋体" w:hAnsi="宋体" w:eastAsia="宋体" w:cs="宋体"/>
                <w:b/>
                <w:sz w:val="21"/>
                <w:szCs w:val="21"/>
                <w:highlight w:val="none"/>
              </w:rPr>
              <w:t>分）</w:t>
            </w:r>
          </w:p>
        </w:tc>
        <w:tc>
          <w:tcPr>
            <w:tcW w:w="625" w:type="dxa"/>
            <w:noWrap/>
            <w:vAlign w:val="center"/>
          </w:tcPr>
          <w:p w14:paraId="01C2D6A9">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39</w:t>
            </w:r>
          </w:p>
        </w:tc>
        <w:tc>
          <w:tcPr>
            <w:tcW w:w="4350" w:type="dxa"/>
            <w:noWrap/>
            <w:vAlign w:val="center"/>
          </w:tcPr>
          <w:p w14:paraId="62413161">
            <w:pPr>
              <w:keepNext w:val="0"/>
              <w:keepLines w:val="0"/>
              <w:pageBreakBefore w:val="0"/>
              <w:widowControl/>
              <w:kinsoku w:val="0"/>
              <w:wordWrap/>
              <w:overflowPunct/>
              <w:topLinePunct w:val="0"/>
              <w:autoSpaceDE w:val="0"/>
              <w:autoSpaceDN w:val="0"/>
              <w:bidi w:val="0"/>
              <w:adjustRightInd w:val="0"/>
              <w:snapToGrid w:val="0"/>
              <w:spacing w:line="240" w:lineRule="exact"/>
              <w:ind w:firstLine="382"/>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一、车辆保障（14分）</w:t>
            </w:r>
          </w:p>
          <w:p w14:paraId="19A915B2">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1.竞选人提供满足</w:t>
            </w:r>
            <w:r>
              <w:rPr>
                <w:rFonts w:hint="eastAsia" w:ascii="宋体" w:hAnsi="宋体" w:cs="宋体"/>
                <w:kern w:val="2"/>
                <w:sz w:val="21"/>
                <w:szCs w:val="21"/>
                <w:highlight w:val="none"/>
                <w:lang w:val="en-US" w:eastAsia="zh-CN" w:bidi="ar-SA"/>
              </w:rPr>
              <w:t>竞选需求</w:t>
            </w:r>
            <w:r>
              <w:rPr>
                <w:rFonts w:hint="eastAsia" w:ascii="宋体" w:hAnsi="宋体" w:eastAsia="宋体" w:cs="宋体"/>
                <w:kern w:val="2"/>
                <w:sz w:val="21"/>
                <w:szCs w:val="21"/>
                <w:highlight w:val="none"/>
                <w:lang w:val="en-US" w:eastAsia="zh-CN" w:bidi="ar-SA"/>
              </w:rPr>
              <w:t>中车辆要求的车辆，属于工信部《节能与新能源汽车示范推广应用工程推荐车型目录》范围内的新能源车辆的，有1辆得1分，累计最多得5分。</w:t>
            </w:r>
          </w:p>
          <w:p w14:paraId="666DAA5B">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2.对竞选人在满足</w:t>
            </w:r>
            <w:r>
              <w:rPr>
                <w:rFonts w:hint="eastAsia" w:ascii="宋体" w:hAnsi="宋体" w:cs="宋体"/>
                <w:kern w:val="2"/>
                <w:sz w:val="21"/>
                <w:szCs w:val="21"/>
                <w:highlight w:val="none"/>
                <w:lang w:val="en-US" w:eastAsia="zh-CN" w:bidi="ar-SA"/>
              </w:rPr>
              <w:t>竞选需求</w:t>
            </w:r>
            <w:r>
              <w:rPr>
                <w:rFonts w:hint="eastAsia" w:ascii="宋体" w:hAnsi="宋体" w:eastAsia="宋体" w:cs="宋体"/>
                <w:kern w:val="2"/>
                <w:sz w:val="21"/>
                <w:szCs w:val="21"/>
                <w:highlight w:val="none"/>
                <w:lang w:val="en-US" w:eastAsia="zh-CN" w:bidi="ar-SA"/>
              </w:rPr>
              <w:t>中车辆要求的同时，增加提供收运车辆并配备收运人员的情况进行评审。每增加1辆收运车辆，得1分，累计最多得3分。</w:t>
            </w:r>
          </w:p>
          <w:p w14:paraId="64AC3F10">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3.竞选人在满足</w:t>
            </w:r>
            <w:r>
              <w:rPr>
                <w:rFonts w:hint="eastAsia" w:ascii="宋体" w:hAnsi="宋体" w:cs="宋体"/>
                <w:kern w:val="2"/>
                <w:sz w:val="21"/>
                <w:szCs w:val="21"/>
                <w:highlight w:val="none"/>
                <w:lang w:val="en-US" w:eastAsia="zh-CN" w:bidi="ar-SA"/>
              </w:rPr>
              <w:t>竞选需求</w:t>
            </w:r>
            <w:r>
              <w:rPr>
                <w:rFonts w:hint="eastAsia" w:ascii="宋体" w:hAnsi="宋体" w:eastAsia="宋体" w:cs="宋体"/>
                <w:kern w:val="2"/>
                <w:sz w:val="21"/>
                <w:szCs w:val="21"/>
                <w:highlight w:val="none"/>
                <w:lang w:val="en-US" w:eastAsia="zh-CN" w:bidi="ar-SA"/>
              </w:rPr>
              <w:t>中车辆要求的基础上新增车辆，属于工信部《节能与新能源汽车示范推广应用工程推荐车型目录》范围内的新能源车辆的，有1辆得1分，累计最多得3分。</w:t>
            </w:r>
          </w:p>
          <w:p w14:paraId="14B79605">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4.承诺每随车增加1名收集人员和1名驾驶员的，得1分，累计最多得3分。</w:t>
            </w:r>
          </w:p>
          <w:p w14:paraId="5F689739">
            <w:pPr>
              <w:keepNext w:val="0"/>
              <w:keepLines w:val="0"/>
              <w:pageBreakBefore w:val="0"/>
              <w:widowControl/>
              <w:kinsoku w:val="0"/>
              <w:wordWrap/>
              <w:overflowPunct/>
              <w:topLinePunct w:val="0"/>
              <w:autoSpaceDE w:val="0"/>
              <w:autoSpaceDN w:val="0"/>
              <w:bidi w:val="0"/>
              <w:adjustRightInd w:val="0"/>
              <w:snapToGrid w:val="0"/>
              <w:spacing w:line="240" w:lineRule="exact"/>
              <w:ind w:firstLine="382"/>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二、收运车辆适用（15分）</w:t>
            </w:r>
          </w:p>
          <w:p w14:paraId="69427C48">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对竞选人拟派用于本次竞选的收运车辆总质量进行评审，以《中华人民共和国机动车行驶证》中所列总质量信息为准。</w:t>
            </w:r>
          </w:p>
          <w:p w14:paraId="4394DE48">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1.总质量≥3000KG且&lt;5000KG的，有一辆得3分。</w:t>
            </w:r>
          </w:p>
          <w:p w14:paraId="5F949780">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2.总质量≥1000KG且&lt;3000KG的或总质量≥5000KG且&lt;7000KG的，有一辆得2分。</w:t>
            </w:r>
          </w:p>
          <w:p w14:paraId="4020C333">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3.总质量≥7000KG的，有一辆得1分。</w:t>
            </w:r>
          </w:p>
          <w:p w14:paraId="4A3FA907">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本项可累计计分，最多得15分。</w:t>
            </w:r>
          </w:p>
          <w:p w14:paraId="0D51A038">
            <w:pPr>
              <w:keepNext w:val="0"/>
              <w:keepLines w:val="0"/>
              <w:pageBreakBefore w:val="0"/>
              <w:widowControl/>
              <w:kinsoku w:val="0"/>
              <w:wordWrap/>
              <w:overflowPunct/>
              <w:topLinePunct w:val="0"/>
              <w:autoSpaceDE w:val="0"/>
              <w:autoSpaceDN w:val="0"/>
              <w:bidi w:val="0"/>
              <w:adjustRightInd w:val="0"/>
              <w:snapToGrid w:val="0"/>
              <w:spacing w:line="240" w:lineRule="exact"/>
              <w:ind w:firstLine="382"/>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三、收运车辆情况（10分）</w:t>
            </w:r>
          </w:p>
          <w:p w14:paraId="5C894B47">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对竞选人拟派用于本次竞选的收运车辆情况进行评审，以《中华人民共和国机动车登记证书》中所列首次注册日期信息为准。</w:t>
            </w:r>
          </w:p>
          <w:p w14:paraId="67574A70">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1.竞选文件发布前一年内注册的车辆，有1辆得2分。</w:t>
            </w:r>
          </w:p>
          <w:p w14:paraId="6B6BABC4">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2.竞选文件发布前≥一年且&lt;两年注册的车辆，有1辆得1.5分。</w:t>
            </w:r>
          </w:p>
          <w:p w14:paraId="4F88061C">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3.竞选文件发布前≥两年且&lt;三年注册的车辆，有1辆得1分。</w:t>
            </w:r>
          </w:p>
          <w:p w14:paraId="0EBC70CB">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4.竞选文件发布前≥三年且&lt;四年注册的车辆，有1辆得0.5分。</w:t>
            </w:r>
          </w:p>
          <w:p w14:paraId="309CC620">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5.竞选文件发布前≥四年的，不得分。</w:t>
            </w:r>
          </w:p>
          <w:p w14:paraId="37B800F9">
            <w:pPr>
              <w:pStyle w:val="2"/>
              <w:keepNext w:val="0"/>
              <w:keepLines w:val="0"/>
              <w:pageBreakBefore w:val="0"/>
              <w:wordWrap/>
              <w:overflowPunct/>
              <w:topLinePunct w:val="0"/>
              <w:bidi w:val="0"/>
              <w:spacing w:line="240" w:lineRule="exact"/>
              <w:ind w:left="0" w:leftChars="0" w:right="210"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本项可累计计分，最多得10分。</w:t>
            </w:r>
          </w:p>
        </w:tc>
        <w:tc>
          <w:tcPr>
            <w:tcW w:w="2857" w:type="dxa"/>
            <w:noWrap/>
            <w:vAlign w:val="top"/>
          </w:tcPr>
          <w:p w14:paraId="4277F805">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1.自有车辆设备需提供有效的《中华人民共和国机动</w:t>
            </w:r>
            <w:r>
              <w:rPr>
                <w:rFonts w:hint="eastAsia" w:ascii="宋体" w:hAnsi="宋体" w:eastAsia="宋体" w:cs="宋体"/>
                <w:sz w:val="21"/>
                <w:szCs w:val="21"/>
                <w:highlight w:val="none"/>
                <w:lang w:eastAsia="zh-CN"/>
              </w:rPr>
              <w:t>车登记</w:t>
            </w:r>
            <w:r>
              <w:rPr>
                <w:rFonts w:hint="eastAsia" w:ascii="宋体" w:hAnsi="宋体" w:eastAsia="宋体" w:cs="宋体"/>
                <w:sz w:val="21"/>
                <w:szCs w:val="21"/>
                <w:highlight w:val="none"/>
              </w:rPr>
              <w:t>证》</w:t>
            </w:r>
            <w:r>
              <w:rPr>
                <w:rFonts w:hint="eastAsia" w:ascii="宋体" w:hAnsi="宋体" w:eastAsia="宋体" w:cs="宋体"/>
                <w:sz w:val="21"/>
                <w:szCs w:val="21"/>
                <w:highlight w:val="none"/>
                <w:lang w:eastAsia="zh-CN"/>
              </w:rPr>
              <w:t>复印件、</w:t>
            </w:r>
            <w:r>
              <w:rPr>
                <w:rFonts w:hint="eastAsia" w:ascii="宋体" w:hAnsi="宋体" w:eastAsia="宋体" w:cs="宋体"/>
                <w:sz w:val="21"/>
                <w:szCs w:val="21"/>
                <w:highlight w:val="none"/>
              </w:rPr>
              <w:t>《中华人民共和国机动车行驶证》复印件、购车发票复印件、车辆照片（车辆照片为正面、侧面、后面</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。《中华人民共和国机动车行驶证》中号牌号码与车辆照片显示号牌一致，未提供不得分。</w:t>
            </w:r>
          </w:p>
          <w:p w14:paraId="18F880CA">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both"/>
              <w:textAlignment w:val="baseline"/>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2.租赁车辆需提供租赁合同（协议）复印件（车辆租赁合同或协议的有效期必须涵盖</w:t>
            </w:r>
            <w:r>
              <w:rPr>
                <w:rFonts w:hint="eastAsia" w:ascii="宋体" w:hAnsi="宋体" w:eastAsia="宋体" w:cs="宋体"/>
                <w:sz w:val="21"/>
                <w:szCs w:val="21"/>
                <w:highlight w:val="none"/>
                <w:lang w:eastAsia="zh-CN"/>
              </w:rPr>
              <w:t>本次竞选</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eastAsia="zh-CN"/>
              </w:rPr>
              <w:t>作业</w:t>
            </w:r>
            <w:r>
              <w:rPr>
                <w:rFonts w:hint="eastAsia" w:ascii="宋体" w:hAnsi="宋体" w:eastAsia="宋体" w:cs="宋体"/>
                <w:sz w:val="21"/>
                <w:szCs w:val="21"/>
                <w:highlight w:val="none"/>
              </w:rPr>
              <w:t>期）、有效的《中华人民共和国机动</w:t>
            </w:r>
            <w:r>
              <w:rPr>
                <w:rFonts w:hint="eastAsia" w:ascii="宋体" w:hAnsi="宋体" w:eastAsia="宋体" w:cs="宋体"/>
                <w:sz w:val="21"/>
                <w:szCs w:val="21"/>
                <w:highlight w:val="none"/>
                <w:lang w:eastAsia="zh-CN"/>
              </w:rPr>
              <w:t>车登记</w:t>
            </w:r>
            <w:r>
              <w:rPr>
                <w:rFonts w:hint="eastAsia" w:ascii="宋体" w:hAnsi="宋体" w:eastAsia="宋体" w:cs="宋体"/>
                <w:sz w:val="21"/>
                <w:szCs w:val="21"/>
                <w:highlight w:val="none"/>
              </w:rPr>
              <w:t>证》</w:t>
            </w:r>
            <w:r>
              <w:rPr>
                <w:rFonts w:hint="eastAsia" w:ascii="宋体" w:hAnsi="宋体" w:eastAsia="宋体" w:cs="宋体"/>
                <w:sz w:val="21"/>
                <w:szCs w:val="21"/>
                <w:highlight w:val="none"/>
                <w:lang w:eastAsia="zh-CN"/>
              </w:rPr>
              <w:t>复印件、</w:t>
            </w:r>
            <w:r>
              <w:rPr>
                <w:rFonts w:hint="eastAsia" w:ascii="宋体" w:hAnsi="宋体" w:eastAsia="宋体" w:cs="宋体"/>
                <w:sz w:val="21"/>
                <w:szCs w:val="21"/>
                <w:highlight w:val="none"/>
              </w:rPr>
              <w:t>《中华人民共和国机动车行驶证》复印件、车辆照片（车辆照片为正面、侧面、后面</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。《中华人民共和国机动车行驶证》中号牌号码与车辆照片显示号牌一致</w:t>
            </w:r>
            <w:r>
              <w:rPr>
                <w:rFonts w:hint="eastAsia" w:ascii="宋体" w:hAnsi="宋体" w:eastAsia="宋体" w:cs="宋体"/>
                <w:sz w:val="21"/>
                <w:szCs w:val="21"/>
                <w:highlight w:val="none"/>
                <w:lang w:eastAsia="zh-CN"/>
              </w:rPr>
              <w:t>。</w:t>
            </w:r>
          </w:p>
          <w:p w14:paraId="304A7AF5">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3.提供该车辆所列入《节能与新能源汽车示范推广应用工程推荐车型目录》中的批次及页面打印件，及车辆使用说明中关于新能源车辆的页面复印件，并加盖</w:t>
            </w:r>
            <w:r>
              <w:rPr>
                <w:rFonts w:hint="eastAsia" w:ascii="宋体" w:hAnsi="宋体" w:eastAsia="宋体" w:cs="宋体"/>
                <w:sz w:val="21"/>
                <w:szCs w:val="21"/>
                <w:highlight w:val="none"/>
                <w:lang w:eastAsia="zh-CN"/>
              </w:rPr>
              <w:t>竞选人</w:t>
            </w:r>
            <w:r>
              <w:rPr>
                <w:rFonts w:hint="eastAsia" w:ascii="宋体" w:hAnsi="宋体" w:eastAsia="宋体" w:cs="宋体"/>
                <w:sz w:val="21"/>
                <w:szCs w:val="21"/>
                <w:highlight w:val="none"/>
              </w:rPr>
              <w:t>公章。</w:t>
            </w:r>
          </w:p>
          <w:p w14:paraId="00226DF9">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4.新增人员提供承诺书，格式自拟，中选后同</w:t>
            </w:r>
            <w:r>
              <w:rPr>
                <w:rFonts w:hint="eastAsia" w:ascii="宋体" w:hAnsi="宋体" w:cs="宋体"/>
                <w:kern w:val="2"/>
                <w:sz w:val="21"/>
                <w:szCs w:val="21"/>
                <w:highlight w:val="none"/>
                <w:lang w:val="en-US" w:eastAsia="zh-CN" w:bidi="ar-SA"/>
              </w:rPr>
              <w:t>竞选需求</w:t>
            </w:r>
            <w:r>
              <w:rPr>
                <w:rFonts w:hint="eastAsia" w:ascii="宋体" w:hAnsi="宋体" w:eastAsia="宋体" w:cs="宋体"/>
                <w:sz w:val="21"/>
                <w:szCs w:val="21"/>
                <w:highlight w:val="none"/>
              </w:rPr>
              <w:t>中人员同步管理。</w:t>
            </w:r>
          </w:p>
        </w:tc>
      </w:tr>
      <w:tr w14:paraId="3405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11" w:type="dxa"/>
            <w:noWrap/>
            <w:vAlign w:val="center"/>
          </w:tcPr>
          <w:p w14:paraId="314421C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5</w:t>
            </w:r>
          </w:p>
        </w:tc>
        <w:tc>
          <w:tcPr>
            <w:tcW w:w="1055" w:type="dxa"/>
            <w:noWrap/>
            <w:vAlign w:val="center"/>
          </w:tcPr>
          <w:p w14:paraId="5D89104D">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安全保障</w:t>
            </w:r>
          </w:p>
          <w:p w14:paraId="49B4C80A">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（10分）</w:t>
            </w:r>
          </w:p>
        </w:tc>
        <w:tc>
          <w:tcPr>
            <w:tcW w:w="625" w:type="dxa"/>
            <w:noWrap/>
            <w:vAlign w:val="center"/>
          </w:tcPr>
          <w:p w14:paraId="4B2439CC">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10</w:t>
            </w:r>
          </w:p>
        </w:tc>
        <w:tc>
          <w:tcPr>
            <w:tcW w:w="4350" w:type="dxa"/>
            <w:noWrap/>
            <w:vAlign w:val="center"/>
          </w:tcPr>
          <w:p w14:paraId="5B428DA1">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竞选人</w:t>
            </w:r>
            <w:r>
              <w:rPr>
                <w:rFonts w:hint="eastAsia" w:ascii="宋体" w:hAnsi="宋体" w:eastAsia="宋体" w:cs="宋体"/>
                <w:sz w:val="21"/>
                <w:szCs w:val="21"/>
                <w:highlight w:val="none"/>
              </w:rPr>
              <w:t>拟投入</w:t>
            </w:r>
            <w:r>
              <w:rPr>
                <w:rFonts w:hint="eastAsia" w:ascii="宋体" w:hAnsi="宋体" w:eastAsia="宋体" w:cs="宋体"/>
                <w:sz w:val="21"/>
                <w:szCs w:val="21"/>
                <w:highlight w:val="none"/>
                <w:lang w:eastAsia="zh-CN"/>
              </w:rPr>
              <w:t>本次竞选</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eastAsia="zh-CN"/>
              </w:rPr>
              <w:t>作业</w:t>
            </w:r>
            <w:r>
              <w:rPr>
                <w:rFonts w:hint="eastAsia" w:ascii="宋体" w:hAnsi="宋体" w:eastAsia="宋体" w:cs="宋体"/>
                <w:sz w:val="21"/>
                <w:szCs w:val="21"/>
                <w:highlight w:val="none"/>
              </w:rPr>
              <w:t>团队成员中，具有安全培训或考核合格的安全相关合格证书的情况进行评审。（10分）</w:t>
            </w:r>
          </w:p>
          <w:p w14:paraId="50F59546">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1.项目负责人具有的，得2分。</w:t>
            </w:r>
          </w:p>
          <w:p w14:paraId="2E8AA960">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2.其他人员（包含增加人员），每有1人得1分，</w:t>
            </w:r>
            <w:r>
              <w:rPr>
                <w:rFonts w:hint="eastAsia" w:ascii="宋体" w:hAnsi="宋体" w:eastAsia="宋体" w:cs="宋体"/>
                <w:sz w:val="21"/>
                <w:szCs w:val="21"/>
                <w:highlight w:val="none"/>
                <w:lang w:eastAsia="zh-CN"/>
              </w:rPr>
              <w:t>累计</w:t>
            </w:r>
            <w:r>
              <w:rPr>
                <w:rFonts w:hint="eastAsia" w:ascii="宋体" w:hAnsi="宋体" w:eastAsia="宋体" w:cs="宋体"/>
                <w:sz w:val="21"/>
                <w:szCs w:val="21"/>
                <w:highlight w:val="none"/>
              </w:rPr>
              <w:t>最多得8分。</w:t>
            </w:r>
          </w:p>
        </w:tc>
        <w:tc>
          <w:tcPr>
            <w:tcW w:w="2857" w:type="dxa"/>
            <w:noWrap/>
            <w:vAlign w:val="top"/>
          </w:tcPr>
          <w:p w14:paraId="7FF314A7">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1.提供证书复印件并加盖</w:t>
            </w:r>
            <w:r>
              <w:rPr>
                <w:rFonts w:hint="eastAsia" w:ascii="宋体" w:hAnsi="宋体" w:eastAsia="宋体" w:cs="宋体"/>
                <w:sz w:val="21"/>
                <w:szCs w:val="21"/>
                <w:highlight w:val="none"/>
                <w:lang w:eastAsia="zh-CN"/>
              </w:rPr>
              <w:t>竞选人</w:t>
            </w:r>
            <w:r>
              <w:rPr>
                <w:rFonts w:hint="eastAsia" w:ascii="宋体" w:hAnsi="宋体" w:eastAsia="宋体" w:cs="宋体"/>
                <w:sz w:val="21"/>
                <w:szCs w:val="21"/>
                <w:highlight w:val="none"/>
              </w:rPr>
              <w:t>公章。</w:t>
            </w:r>
          </w:p>
          <w:p w14:paraId="40BD7F0B">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2.证件原件备查。</w:t>
            </w:r>
          </w:p>
        </w:tc>
      </w:tr>
      <w:tr w14:paraId="38E3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11" w:type="dxa"/>
            <w:noWrap/>
            <w:vAlign w:val="center"/>
          </w:tcPr>
          <w:p w14:paraId="2141A590">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6</w:t>
            </w:r>
          </w:p>
        </w:tc>
        <w:tc>
          <w:tcPr>
            <w:tcW w:w="1055" w:type="dxa"/>
            <w:noWrap/>
            <w:vAlign w:val="center"/>
          </w:tcPr>
          <w:p w14:paraId="59A1143E">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收运经验</w:t>
            </w:r>
          </w:p>
          <w:p w14:paraId="35A86EE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rPr>
            </w:pPr>
            <w:r>
              <w:rPr>
                <w:rFonts w:hint="eastAsia" w:ascii="宋体" w:hAnsi="宋体" w:eastAsia="宋体" w:cs="宋体"/>
                <w:b/>
                <w:sz w:val="21"/>
                <w:szCs w:val="21"/>
                <w:highlight w:val="none"/>
              </w:rPr>
              <w:t>（20分）</w:t>
            </w:r>
          </w:p>
        </w:tc>
        <w:tc>
          <w:tcPr>
            <w:tcW w:w="625" w:type="dxa"/>
            <w:noWrap/>
            <w:vAlign w:val="center"/>
          </w:tcPr>
          <w:p w14:paraId="3C179383">
            <w:pPr>
              <w:keepNext w:val="0"/>
              <w:keepLines w:val="0"/>
              <w:pageBreakBefore w:val="0"/>
              <w:widowControl/>
              <w:kinsoku w:val="0"/>
              <w:wordWrap/>
              <w:overflowPunct/>
              <w:topLinePunct w:val="0"/>
              <w:autoSpaceDE w:val="0"/>
              <w:autoSpaceDN w:val="0"/>
              <w:bidi w:val="0"/>
              <w:adjustRightInd w:val="0"/>
              <w:snapToGrid w:val="0"/>
              <w:spacing w:line="240" w:lineRule="exact"/>
              <w:jc w:val="center"/>
              <w:textAlignment w:val="baseline"/>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20</w:t>
            </w:r>
          </w:p>
        </w:tc>
        <w:tc>
          <w:tcPr>
            <w:tcW w:w="4350" w:type="dxa"/>
            <w:noWrap/>
            <w:vAlign w:val="center"/>
          </w:tcPr>
          <w:p w14:paraId="5BBB9BE8">
            <w:pPr>
              <w:keepNext w:val="0"/>
              <w:keepLines w:val="0"/>
              <w:pageBreakBefore w:val="0"/>
              <w:widowControl/>
              <w:kinsoku w:val="0"/>
              <w:wordWrap/>
              <w:overflowPunct/>
              <w:topLinePunct w:val="0"/>
              <w:autoSpaceDE w:val="0"/>
              <w:autoSpaceDN w:val="0"/>
              <w:bidi w:val="0"/>
              <w:adjustRightInd w:val="0"/>
              <w:snapToGrid w:val="0"/>
              <w:spacing w:line="240" w:lineRule="exact"/>
              <w:ind w:firstLine="382"/>
              <w:jc w:val="left"/>
              <w:textAlignment w:val="baseline"/>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1.收</w:t>
            </w:r>
            <w:r>
              <w:rPr>
                <w:rFonts w:hint="eastAsia" w:ascii="宋体" w:hAnsi="宋体" w:eastAsia="宋体" w:cs="宋体"/>
                <w:b/>
                <w:bCs/>
                <w:sz w:val="21"/>
                <w:szCs w:val="21"/>
                <w:highlight w:val="none"/>
                <w:lang w:eastAsia="zh-CN"/>
              </w:rPr>
              <w:t>运</w:t>
            </w:r>
            <w:r>
              <w:rPr>
                <w:rFonts w:hint="eastAsia" w:ascii="宋体" w:hAnsi="宋体" w:eastAsia="宋体" w:cs="宋体"/>
                <w:b/>
                <w:bCs/>
                <w:sz w:val="21"/>
                <w:szCs w:val="21"/>
                <w:highlight w:val="none"/>
              </w:rPr>
              <w:t>经验（</w:t>
            </w:r>
            <w:r>
              <w:rPr>
                <w:rFonts w:hint="eastAsia" w:ascii="宋体" w:hAnsi="宋体" w:eastAsia="宋体" w:cs="宋体"/>
                <w:b/>
                <w:bCs/>
                <w:sz w:val="21"/>
                <w:szCs w:val="21"/>
                <w:highlight w:val="none"/>
                <w:lang w:val="en-US" w:eastAsia="zh-CN"/>
              </w:rPr>
              <w:t>10</w:t>
            </w:r>
            <w:r>
              <w:rPr>
                <w:rFonts w:hint="eastAsia" w:ascii="宋体" w:hAnsi="宋体" w:eastAsia="宋体" w:cs="宋体"/>
                <w:b/>
                <w:bCs/>
                <w:sz w:val="21"/>
                <w:szCs w:val="21"/>
                <w:highlight w:val="none"/>
              </w:rPr>
              <w:t>分）</w:t>
            </w:r>
          </w:p>
          <w:p w14:paraId="04808CA6">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竞选人</w:t>
            </w:r>
            <w:r>
              <w:rPr>
                <w:rFonts w:hint="eastAsia" w:ascii="宋体" w:hAnsi="宋体" w:eastAsia="宋体" w:cs="宋体"/>
                <w:sz w:val="21"/>
                <w:szCs w:val="21"/>
                <w:highlight w:val="none"/>
              </w:rPr>
              <w:t>提供本竞选文件发布之日前近三年内，</w:t>
            </w:r>
            <w:r>
              <w:rPr>
                <w:rFonts w:hint="eastAsia" w:ascii="宋体" w:hAnsi="宋体" w:eastAsia="宋体" w:cs="宋体"/>
                <w:sz w:val="21"/>
                <w:szCs w:val="21"/>
                <w:highlight w:val="none"/>
                <w:lang w:eastAsia="zh-CN"/>
              </w:rPr>
              <w:t>作业</w:t>
            </w:r>
            <w:r>
              <w:rPr>
                <w:rFonts w:hint="eastAsia" w:ascii="宋体" w:hAnsi="宋体" w:eastAsia="宋体" w:cs="宋体"/>
                <w:sz w:val="21"/>
                <w:szCs w:val="21"/>
                <w:highlight w:val="none"/>
              </w:rPr>
              <w:t>过或正在</w:t>
            </w:r>
            <w:r>
              <w:rPr>
                <w:rFonts w:hint="eastAsia" w:ascii="宋体" w:hAnsi="宋体" w:eastAsia="宋体" w:cs="宋体"/>
                <w:sz w:val="21"/>
                <w:szCs w:val="21"/>
                <w:highlight w:val="none"/>
                <w:lang w:eastAsia="zh-CN"/>
              </w:rPr>
              <w:t>作业</w:t>
            </w:r>
            <w:r>
              <w:rPr>
                <w:rFonts w:hint="eastAsia" w:ascii="宋体" w:hAnsi="宋体" w:eastAsia="宋体" w:cs="宋体"/>
                <w:sz w:val="21"/>
                <w:szCs w:val="21"/>
                <w:highlight w:val="none"/>
              </w:rPr>
              <w:t>的类似收运项目的合同及合同期内任意三个月有效发票</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或被收集方</w:t>
            </w:r>
            <w:r>
              <w:rPr>
                <w:rFonts w:hint="eastAsia" w:ascii="宋体" w:hAnsi="宋体" w:eastAsia="宋体" w:cs="宋体"/>
                <w:sz w:val="21"/>
                <w:szCs w:val="21"/>
                <w:highlight w:val="none"/>
                <w:lang w:eastAsia="zh-CN"/>
              </w:rPr>
              <w:t>或</w:t>
            </w:r>
            <w:r>
              <w:rPr>
                <w:rFonts w:hint="eastAsia" w:ascii="宋体" w:hAnsi="宋体" w:eastAsia="宋体" w:cs="宋体"/>
                <w:sz w:val="21"/>
                <w:szCs w:val="21"/>
                <w:highlight w:val="none"/>
              </w:rPr>
              <w:t>产生单位确认</w:t>
            </w:r>
            <w:r>
              <w:rPr>
                <w:rFonts w:hint="eastAsia" w:ascii="宋体" w:hAnsi="宋体" w:eastAsia="宋体" w:cs="宋体"/>
                <w:sz w:val="21"/>
                <w:szCs w:val="21"/>
                <w:highlight w:val="none"/>
                <w:lang w:eastAsia="zh-CN"/>
              </w:rPr>
              <w:t>并加盖印章（私人印章除外）</w:t>
            </w:r>
            <w:r>
              <w:rPr>
                <w:rFonts w:hint="eastAsia" w:ascii="宋体" w:hAnsi="宋体" w:eastAsia="宋体" w:cs="宋体"/>
                <w:sz w:val="21"/>
                <w:szCs w:val="21"/>
                <w:highlight w:val="none"/>
              </w:rPr>
              <w:t>的收运凭证，对收运经验进行评审。每提供一份得2分，最多得</w:t>
            </w:r>
            <w:r>
              <w:rPr>
                <w:rFonts w:hint="eastAsia" w:ascii="宋体" w:hAnsi="宋体" w:eastAsia="宋体" w:cs="宋体"/>
                <w:sz w:val="21"/>
                <w:szCs w:val="21"/>
                <w:highlight w:val="none"/>
                <w:lang w:val="en-US" w:eastAsia="zh-CN"/>
              </w:rPr>
              <w:t>10</w:t>
            </w:r>
            <w:r>
              <w:rPr>
                <w:rFonts w:hint="eastAsia" w:ascii="宋体" w:hAnsi="宋体" w:eastAsia="宋体" w:cs="宋体"/>
                <w:sz w:val="21"/>
                <w:szCs w:val="21"/>
                <w:highlight w:val="none"/>
              </w:rPr>
              <w:t>分。</w:t>
            </w:r>
          </w:p>
          <w:p w14:paraId="735610DD">
            <w:pPr>
              <w:keepNext w:val="0"/>
              <w:keepLines w:val="0"/>
              <w:pageBreakBefore w:val="0"/>
              <w:widowControl/>
              <w:kinsoku w:val="0"/>
              <w:wordWrap/>
              <w:overflowPunct/>
              <w:topLinePunct w:val="0"/>
              <w:autoSpaceDE w:val="0"/>
              <w:autoSpaceDN w:val="0"/>
              <w:bidi w:val="0"/>
              <w:adjustRightInd w:val="0"/>
              <w:snapToGrid w:val="0"/>
              <w:spacing w:line="240" w:lineRule="exact"/>
              <w:ind w:firstLine="382"/>
              <w:jc w:val="left"/>
              <w:textAlignment w:val="baseline"/>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2.运输处置经验（10分）</w:t>
            </w:r>
          </w:p>
          <w:p w14:paraId="2736B3DD">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竞选人</w:t>
            </w:r>
            <w:r>
              <w:rPr>
                <w:rFonts w:hint="eastAsia" w:ascii="宋体" w:hAnsi="宋体" w:eastAsia="宋体" w:cs="宋体"/>
                <w:sz w:val="21"/>
                <w:szCs w:val="21"/>
                <w:highlight w:val="none"/>
              </w:rPr>
              <w:t>提供本竞选文件发布之日前近三年内，与取得</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或取得过</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城市生活垃圾处置许可的单位签订</w:t>
            </w:r>
            <w:r>
              <w:rPr>
                <w:rFonts w:hint="eastAsia" w:ascii="宋体" w:hAnsi="宋体" w:eastAsia="宋体" w:cs="宋体"/>
                <w:sz w:val="21"/>
                <w:szCs w:val="21"/>
                <w:highlight w:val="none"/>
                <w:lang w:eastAsia="zh-CN"/>
              </w:rPr>
              <w:t>（或签订过）餐厨废弃食用油脂</w:t>
            </w:r>
            <w:r>
              <w:rPr>
                <w:rFonts w:hint="eastAsia" w:ascii="宋体" w:hAnsi="宋体" w:eastAsia="宋体" w:cs="宋体"/>
                <w:sz w:val="21"/>
                <w:szCs w:val="21"/>
                <w:highlight w:val="none"/>
              </w:rPr>
              <w:t>处置合同</w:t>
            </w:r>
            <w:r>
              <w:rPr>
                <w:rFonts w:hint="eastAsia" w:ascii="宋体" w:hAnsi="宋体" w:eastAsia="宋体" w:cs="宋体"/>
                <w:sz w:val="21"/>
                <w:szCs w:val="21"/>
                <w:highlight w:val="none"/>
                <w:lang w:eastAsia="zh-CN"/>
              </w:rPr>
              <w:t>，并提供</w:t>
            </w:r>
            <w:r>
              <w:rPr>
                <w:rFonts w:hint="eastAsia" w:ascii="宋体" w:hAnsi="宋体" w:eastAsia="宋体" w:cs="宋体"/>
                <w:sz w:val="21"/>
                <w:szCs w:val="21"/>
                <w:highlight w:val="none"/>
              </w:rPr>
              <w:t>合同期</w:t>
            </w:r>
            <w:r>
              <w:rPr>
                <w:rFonts w:hint="eastAsia" w:ascii="宋体" w:hAnsi="宋体" w:eastAsia="宋体" w:cs="宋体"/>
                <w:sz w:val="21"/>
                <w:szCs w:val="21"/>
                <w:highlight w:val="none"/>
                <w:lang w:eastAsia="zh-CN"/>
              </w:rPr>
              <w:t>内</w:t>
            </w:r>
            <w:r>
              <w:rPr>
                <w:rFonts w:hint="eastAsia" w:ascii="宋体" w:hAnsi="宋体" w:eastAsia="宋体" w:cs="宋体"/>
                <w:sz w:val="21"/>
                <w:szCs w:val="21"/>
                <w:highlight w:val="none"/>
              </w:rPr>
              <w:t>任意三个月有效发票的，得2分。</w:t>
            </w:r>
          </w:p>
          <w:p w14:paraId="0B150D40">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竞选人</w:t>
            </w:r>
            <w:r>
              <w:rPr>
                <w:rFonts w:hint="eastAsia" w:ascii="宋体" w:hAnsi="宋体" w:eastAsia="宋体" w:cs="宋体"/>
                <w:sz w:val="21"/>
                <w:szCs w:val="21"/>
                <w:highlight w:val="none"/>
              </w:rPr>
              <w:t>提供本竞选文件发布之日前近三年内，经处置单位盖章确认的每年</w:t>
            </w:r>
            <w:r>
              <w:rPr>
                <w:rFonts w:hint="eastAsia" w:ascii="宋体" w:hAnsi="宋体" w:eastAsia="宋体" w:cs="宋体"/>
                <w:sz w:val="21"/>
                <w:szCs w:val="21"/>
                <w:highlight w:val="none"/>
                <w:lang w:eastAsia="zh-CN"/>
              </w:rPr>
              <w:t>度（连续</w:t>
            </w:r>
            <w:r>
              <w:rPr>
                <w:rFonts w:hint="eastAsia" w:ascii="宋体" w:hAnsi="宋体" w:eastAsia="宋体" w:cs="宋体"/>
                <w:sz w:val="21"/>
                <w:szCs w:val="21"/>
                <w:highlight w:val="none"/>
                <w:lang w:val="en-US" w:eastAsia="zh-CN"/>
              </w:rPr>
              <w:t>12个月</w:t>
            </w:r>
            <w:r>
              <w:rPr>
                <w:rFonts w:hint="eastAsia" w:ascii="宋体" w:hAnsi="宋体" w:eastAsia="宋体" w:cs="宋体"/>
                <w:sz w:val="21"/>
                <w:szCs w:val="21"/>
                <w:highlight w:val="none"/>
                <w:lang w:eastAsia="zh-CN"/>
              </w:rPr>
              <w:t>）送</w:t>
            </w:r>
            <w:r>
              <w:rPr>
                <w:rFonts w:hint="eastAsia" w:ascii="宋体" w:hAnsi="宋体" w:eastAsia="宋体" w:cs="宋体"/>
                <w:sz w:val="21"/>
                <w:szCs w:val="21"/>
                <w:highlight w:val="none"/>
              </w:rPr>
              <w:t>处置量</w:t>
            </w:r>
            <w:r>
              <w:rPr>
                <w:rFonts w:hint="eastAsia" w:ascii="宋体" w:hAnsi="宋体" w:eastAsia="宋体" w:cs="宋体"/>
                <w:sz w:val="21"/>
                <w:szCs w:val="21"/>
                <w:highlight w:val="none"/>
                <w:lang w:eastAsia="zh-CN"/>
              </w:rPr>
              <w:t>证明资料及月</w:t>
            </w:r>
            <w:r>
              <w:rPr>
                <w:rFonts w:hint="eastAsia" w:ascii="宋体" w:hAnsi="宋体" w:eastAsia="宋体" w:cs="宋体"/>
                <w:sz w:val="21"/>
                <w:szCs w:val="21"/>
                <w:highlight w:val="none"/>
              </w:rPr>
              <w:t>台账。</w:t>
            </w:r>
          </w:p>
          <w:p w14:paraId="6F7EB498">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①年</w:t>
            </w:r>
            <w:r>
              <w:rPr>
                <w:rFonts w:hint="eastAsia" w:ascii="宋体" w:hAnsi="宋体" w:eastAsia="宋体" w:cs="宋体"/>
                <w:sz w:val="21"/>
                <w:szCs w:val="21"/>
                <w:highlight w:val="none"/>
                <w:lang w:eastAsia="zh-CN"/>
              </w:rPr>
              <w:t>送</w:t>
            </w:r>
            <w:r>
              <w:rPr>
                <w:rFonts w:hint="eastAsia" w:ascii="宋体" w:hAnsi="宋体" w:eastAsia="宋体" w:cs="宋体"/>
                <w:sz w:val="21"/>
                <w:szCs w:val="21"/>
                <w:highlight w:val="none"/>
              </w:rPr>
              <w:t>处置量在</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00吨及以上的，得8分。</w:t>
            </w:r>
          </w:p>
          <w:p w14:paraId="372C59B0">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②年</w:t>
            </w:r>
            <w:r>
              <w:rPr>
                <w:rFonts w:hint="eastAsia" w:ascii="宋体" w:hAnsi="宋体" w:eastAsia="宋体" w:cs="宋体"/>
                <w:sz w:val="21"/>
                <w:szCs w:val="21"/>
                <w:highlight w:val="none"/>
                <w:lang w:eastAsia="zh-CN"/>
              </w:rPr>
              <w:t>送</w:t>
            </w:r>
            <w:r>
              <w:rPr>
                <w:rFonts w:hint="eastAsia" w:ascii="宋体" w:hAnsi="宋体" w:eastAsia="宋体" w:cs="宋体"/>
                <w:sz w:val="21"/>
                <w:szCs w:val="21"/>
                <w:highlight w:val="none"/>
              </w:rPr>
              <w:t>处置量在</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00吨及以上至</w:t>
            </w: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rPr>
              <w:t>00</w:t>
            </w:r>
            <w:r>
              <w:rPr>
                <w:rFonts w:hint="eastAsia" w:ascii="宋体" w:hAnsi="宋体" w:eastAsia="宋体" w:cs="宋体"/>
                <w:sz w:val="21"/>
                <w:szCs w:val="21"/>
                <w:highlight w:val="none"/>
                <w:lang w:eastAsia="zh-CN"/>
              </w:rPr>
              <w:t>吨</w:t>
            </w:r>
            <w:r>
              <w:rPr>
                <w:rFonts w:hint="eastAsia" w:ascii="宋体" w:hAnsi="宋体" w:eastAsia="宋体" w:cs="宋体"/>
                <w:sz w:val="21"/>
                <w:szCs w:val="21"/>
                <w:highlight w:val="none"/>
              </w:rPr>
              <w:t>以下</w:t>
            </w:r>
            <w:r>
              <w:rPr>
                <w:rFonts w:hint="eastAsia" w:ascii="宋体" w:hAnsi="宋体" w:eastAsia="宋体" w:cs="宋体"/>
                <w:sz w:val="21"/>
                <w:szCs w:val="21"/>
                <w:highlight w:val="none"/>
                <w:lang w:eastAsia="zh-CN"/>
              </w:rPr>
              <w:t>（不含</w:t>
            </w:r>
            <w:r>
              <w:rPr>
                <w:rFonts w:hint="eastAsia" w:ascii="宋体" w:hAnsi="宋体" w:eastAsia="宋体" w:cs="宋体"/>
                <w:sz w:val="21"/>
                <w:szCs w:val="21"/>
                <w:highlight w:val="none"/>
                <w:lang w:val="en-US" w:eastAsia="zh-CN"/>
              </w:rPr>
              <w:t>300吨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的，得6分。</w:t>
            </w:r>
          </w:p>
          <w:p w14:paraId="40411F96">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③年</w:t>
            </w:r>
            <w:r>
              <w:rPr>
                <w:rFonts w:hint="eastAsia" w:ascii="宋体" w:hAnsi="宋体" w:eastAsia="宋体" w:cs="宋体"/>
                <w:sz w:val="21"/>
                <w:szCs w:val="21"/>
                <w:highlight w:val="none"/>
                <w:lang w:eastAsia="zh-CN"/>
              </w:rPr>
              <w:t>送</w:t>
            </w:r>
            <w:r>
              <w:rPr>
                <w:rFonts w:hint="eastAsia" w:ascii="宋体" w:hAnsi="宋体" w:eastAsia="宋体" w:cs="宋体"/>
                <w:sz w:val="21"/>
                <w:szCs w:val="21"/>
                <w:highlight w:val="none"/>
              </w:rPr>
              <w:t>处置量在</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00吨及以上至</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00吨以下</w:t>
            </w:r>
            <w:r>
              <w:rPr>
                <w:rFonts w:hint="eastAsia" w:ascii="宋体" w:hAnsi="宋体" w:eastAsia="宋体" w:cs="宋体"/>
                <w:sz w:val="21"/>
                <w:szCs w:val="21"/>
                <w:highlight w:val="none"/>
                <w:lang w:eastAsia="zh-CN"/>
              </w:rPr>
              <w:t>（不含</w:t>
            </w:r>
            <w:r>
              <w:rPr>
                <w:rFonts w:hint="eastAsia" w:ascii="宋体" w:hAnsi="宋体" w:eastAsia="宋体" w:cs="宋体"/>
                <w:sz w:val="21"/>
                <w:szCs w:val="21"/>
                <w:highlight w:val="none"/>
                <w:lang w:val="en-US" w:eastAsia="zh-CN"/>
              </w:rPr>
              <w:t>200吨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的，得4分。</w:t>
            </w:r>
          </w:p>
          <w:p w14:paraId="18E0C99C">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left"/>
              <w:textAlignment w:val="baseline"/>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④年</w:t>
            </w:r>
            <w:r>
              <w:rPr>
                <w:rFonts w:hint="eastAsia" w:ascii="宋体" w:hAnsi="宋体" w:eastAsia="宋体" w:cs="宋体"/>
                <w:sz w:val="21"/>
                <w:szCs w:val="21"/>
                <w:highlight w:val="none"/>
                <w:lang w:eastAsia="zh-CN"/>
              </w:rPr>
              <w:t>送</w:t>
            </w:r>
            <w:r>
              <w:rPr>
                <w:rFonts w:hint="eastAsia" w:ascii="宋体" w:hAnsi="宋体" w:eastAsia="宋体" w:cs="宋体"/>
                <w:sz w:val="21"/>
                <w:szCs w:val="21"/>
                <w:highlight w:val="none"/>
              </w:rPr>
              <w:t>处置量在</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00吨以下</w:t>
            </w:r>
            <w:r>
              <w:rPr>
                <w:rFonts w:hint="eastAsia" w:ascii="宋体" w:hAnsi="宋体" w:eastAsia="宋体" w:cs="宋体"/>
                <w:sz w:val="21"/>
                <w:szCs w:val="21"/>
                <w:highlight w:val="none"/>
                <w:lang w:eastAsia="zh-CN"/>
              </w:rPr>
              <w:t>（不含</w:t>
            </w:r>
            <w:r>
              <w:rPr>
                <w:rFonts w:hint="eastAsia" w:ascii="宋体" w:hAnsi="宋体" w:eastAsia="宋体" w:cs="宋体"/>
                <w:sz w:val="21"/>
                <w:szCs w:val="21"/>
                <w:highlight w:val="none"/>
                <w:lang w:val="en-US" w:eastAsia="zh-CN"/>
              </w:rPr>
              <w:t>100吨</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的，得2分。</w:t>
            </w:r>
          </w:p>
        </w:tc>
        <w:tc>
          <w:tcPr>
            <w:tcW w:w="2857" w:type="dxa"/>
            <w:noWrap/>
            <w:vAlign w:val="top"/>
          </w:tcPr>
          <w:p w14:paraId="1C0B7EBC">
            <w:pPr>
              <w:keepNext w:val="0"/>
              <w:keepLines w:val="0"/>
              <w:pageBreakBefore w:val="0"/>
              <w:widowControl/>
              <w:kinsoku w:val="0"/>
              <w:wordWrap/>
              <w:overflowPunct/>
              <w:topLinePunct w:val="0"/>
              <w:autoSpaceDE w:val="0"/>
              <w:autoSpaceDN w:val="0"/>
              <w:bidi w:val="0"/>
              <w:adjustRightInd w:val="0"/>
              <w:snapToGrid w:val="0"/>
              <w:spacing w:line="240" w:lineRule="exact"/>
              <w:ind w:firstLine="380"/>
              <w:jc w:val="both"/>
              <w:textAlignment w:val="baseline"/>
              <w:rPr>
                <w:rFonts w:hint="eastAsia" w:ascii="宋体" w:hAnsi="宋体" w:eastAsia="宋体" w:cs="宋体"/>
                <w:sz w:val="21"/>
                <w:szCs w:val="21"/>
                <w:highlight w:val="none"/>
              </w:rPr>
            </w:pPr>
            <w:r>
              <w:rPr>
                <w:rFonts w:hint="eastAsia" w:ascii="宋体" w:hAnsi="宋体" w:eastAsia="宋体" w:cs="宋体"/>
                <w:sz w:val="21"/>
                <w:szCs w:val="21"/>
                <w:highlight w:val="none"/>
              </w:rPr>
              <w:t>本项不提供资料或提供资料不全的，均不得分。</w:t>
            </w:r>
          </w:p>
        </w:tc>
      </w:tr>
      <w:bookmarkEnd w:id="42"/>
      <w:bookmarkEnd w:id="43"/>
    </w:tbl>
    <w:p w14:paraId="5301BD18">
      <w:pPr>
        <w:pStyle w:val="5"/>
        <w:spacing w:line="400" w:lineRule="exact"/>
        <w:ind w:firstLine="482" w:firstLineChars="200"/>
        <w:rPr>
          <w:rFonts w:hint="eastAsia"/>
          <w:b/>
          <w:color w:val="000000"/>
          <w:sz w:val="24"/>
          <w:szCs w:val="24"/>
        </w:rPr>
      </w:pPr>
      <w:bookmarkStart w:id="52" w:name="_Toc10774"/>
      <w:bookmarkStart w:id="53" w:name="_Toc18241"/>
      <w:bookmarkStart w:id="54" w:name="_Toc22670"/>
      <w:r>
        <w:rPr>
          <w:rFonts w:hint="eastAsia"/>
          <w:b/>
          <w:color w:val="000000"/>
          <w:sz w:val="24"/>
          <w:szCs w:val="24"/>
        </w:rPr>
        <w:t>四、响应文件无效</w:t>
      </w:r>
      <w:bookmarkEnd w:id="52"/>
      <w:bookmarkEnd w:id="53"/>
      <w:bookmarkEnd w:id="54"/>
    </w:p>
    <w:p w14:paraId="5E0EED61">
      <w:pPr>
        <w:snapToGrid w:val="0"/>
        <w:spacing w:line="400" w:lineRule="exact"/>
        <w:ind w:firstLine="480" w:firstLineChars="200"/>
        <w:rPr>
          <w:rFonts w:hint="eastAsia" w:ascii="宋体" w:hAnsi="宋体"/>
          <w:color w:val="000000"/>
          <w:sz w:val="24"/>
          <w:szCs w:val="24"/>
        </w:rPr>
      </w:pPr>
      <w:r>
        <w:rPr>
          <w:rFonts w:hint="eastAsia" w:ascii="宋体" w:hAnsi="宋体"/>
          <w:color w:val="000000"/>
          <w:sz w:val="24"/>
          <w:szCs w:val="24"/>
          <w:lang w:eastAsia="zh-CN"/>
        </w:rPr>
        <w:t>竞选人</w:t>
      </w:r>
      <w:r>
        <w:rPr>
          <w:rFonts w:hint="eastAsia" w:ascii="宋体" w:hAnsi="宋体"/>
          <w:color w:val="000000"/>
          <w:sz w:val="24"/>
          <w:szCs w:val="24"/>
        </w:rPr>
        <w:t>或其响应文件出现下列情况之一者，为响应文件无效：</w:t>
      </w:r>
    </w:p>
    <w:p w14:paraId="3DDD10F3">
      <w:pPr>
        <w:snapToGrid w:val="0"/>
        <w:spacing w:line="40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（一）响应文件未按</w:t>
      </w:r>
      <w:r>
        <w:rPr>
          <w:rFonts w:hint="eastAsia" w:ascii="宋体" w:hAnsi="宋体" w:cs="宋体"/>
          <w:color w:val="000000"/>
          <w:sz w:val="24"/>
          <w:szCs w:val="24"/>
          <w:lang w:eastAsia="zh-CN"/>
        </w:rPr>
        <w:t>竞选</w:t>
      </w:r>
      <w:r>
        <w:rPr>
          <w:rFonts w:hint="eastAsia" w:ascii="宋体" w:hAnsi="宋体" w:cs="宋体"/>
          <w:color w:val="000000"/>
          <w:sz w:val="24"/>
          <w:szCs w:val="24"/>
        </w:rPr>
        <w:t>文件要求签署、盖章的；</w:t>
      </w:r>
    </w:p>
    <w:p w14:paraId="6621A55E">
      <w:pPr>
        <w:snapToGrid w:val="0"/>
        <w:spacing w:line="40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（二）不具备</w:t>
      </w:r>
      <w:r>
        <w:rPr>
          <w:rFonts w:hint="eastAsia" w:ascii="宋体" w:hAnsi="宋体" w:cs="宋体"/>
          <w:color w:val="000000"/>
          <w:sz w:val="24"/>
          <w:szCs w:val="24"/>
          <w:lang w:eastAsia="zh-CN"/>
        </w:rPr>
        <w:t>竞选</w:t>
      </w:r>
      <w:r>
        <w:rPr>
          <w:rFonts w:hint="eastAsia" w:ascii="宋体" w:hAnsi="宋体" w:cs="宋体"/>
          <w:color w:val="000000"/>
          <w:sz w:val="24"/>
          <w:szCs w:val="24"/>
        </w:rPr>
        <w:t>文件中规定的资格要求的；</w:t>
      </w:r>
    </w:p>
    <w:p w14:paraId="1E4DDD66">
      <w:pPr>
        <w:snapToGrid w:val="0"/>
        <w:spacing w:line="40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（三）</w:t>
      </w:r>
      <w:r>
        <w:rPr>
          <w:rFonts w:hint="eastAsia" w:ascii="宋体" w:hAnsi="宋体" w:cs="宋体"/>
          <w:color w:val="000000"/>
          <w:sz w:val="24"/>
          <w:szCs w:val="24"/>
          <w:lang w:eastAsia="zh-CN"/>
        </w:rPr>
        <w:t>竞选人</w:t>
      </w:r>
      <w:r>
        <w:rPr>
          <w:rFonts w:hint="eastAsia" w:ascii="宋体" w:hAnsi="宋体" w:cs="宋体"/>
          <w:color w:val="000000"/>
          <w:sz w:val="24"/>
          <w:szCs w:val="24"/>
        </w:rPr>
        <w:t>未通过符合性审查的；</w:t>
      </w:r>
    </w:p>
    <w:p w14:paraId="70B70F41">
      <w:pPr>
        <w:snapToGrid w:val="0"/>
        <w:spacing w:line="40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（四）响应文件含有</w:t>
      </w:r>
      <w:r>
        <w:rPr>
          <w:rFonts w:hint="eastAsia" w:ascii="宋体" w:hAnsi="宋体" w:cs="宋体"/>
          <w:color w:val="000000"/>
          <w:sz w:val="24"/>
          <w:szCs w:val="24"/>
          <w:lang w:eastAsia="zh-CN"/>
        </w:rPr>
        <w:t>竞选组织人</w:t>
      </w:r>
      <w:r>
        <w:rPr>
          <w:rFonts w:hint="eastAsia" w:ascii="宋体" w:hAnsi="宋体" w:cs="宋体"/>
          <w:color w:val="000000"/>
          <w:sz w:val="24"/>
          <w:szCs w:val="24"/>
        </w:rPr>
        <w:t>不能接受的附加条件的；</w:t>
      </w:r>
    </w:p>
    <w:p w14:paraId="3AC55A1B">
      <w:pPr>
        <w:snapToGrid w:val="0"/>
        <w:spacing w:line="40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w:t>
      </w:r>
      <w:r>
        <w:rPr>
          <w:rFonts w:hint="eastAsia" w:ascii="宋体" w:hAnsi="宋体" w:cs="宋体"/>
          <w:color w:val="000000"/>
          <w:sz w:val="24"/>
          <w:szCs w:val="24"/>
          <w:lang w:eastAsia="zh-CN"/>
        </w:rPr>
        <w:t>五</w:t>
      </w:r>
      <w:r>
        <w:rPr>
          <w:rFonts w:hint="eastAsia" w:ascii="宋体" w:hAnsi="宋体" w:cs="宋体"/>
          <w:color w:val="000000"/>
          <w:sz w:val="24"/>
          <w:szCs w:val="24"/>
        </w:rPr>
        <w:t>）</w:t>
      </w:r>
      <w:r>
        <w:rPr>
          <w:rFonts w:hint="eastAsia" w:ascii="宋体" w:hAnsi="宋体" w:cs="宋体"/>
          <w:color w:val="000000"/>
          <w:sz w:val="24"/>
          <w:szCs w:val="24"/>
          <w:lang w:eastAsia="zh-CN"/>
        </w:rPr>
        <w:t>竞选人</w:t>
      </w:r>
      <w:r>
        <w:rPr>
          <w:rFonts w:hint="eastAsia" w:ascii="宋体" w:hAnsi="宋体" w:cs="宋体"/>
          <w:color w:val="000000"/>
          <w:sz w:val="24"/>
          <w:szCs w:val="24"/>
        </w:rPr>
        <w:t>存在串通行为的；</w:t>
      </w:r>
    </w:p>
    <w:p w14:paraId="50546AA7">
      <w:pPr>
        <w:snapToGrid w:val="0"/>
        <w:spacing w:line="400" w:lineRule="exact"/>
        <w:ind w:firstLine="480" w:firstLineChars="200"/>
        <w:rPr>
          <w:rFonts w:hint="eastAsia" w:ascii="宋体" w:hAnsi="宋体"/>
          <w:color w:val="000000"/>
          <w:sz w:val="24"/>
          <w:szCs w:val="24"/>
        </w:rPr>
      </w:pPr>
      <w:r>
        <w:rPr>
          <w:rFonts w:hint="eastAsia" w:ascii="宋体" w:hAnsi="宋体" w:cs="宋体"/>
          <w:color w:val="000000"/>
          <w:sz w:val="24"/>
          <w:szCs w:val="24"/>
        </w:rPr>
        <w:t>（</w:t>
      </w:r>
      <w:r>
        <w:rPr>
          <w:rFonts w:hint="eastAsia" w:ascii="宋体" w:hAnsi="宋体" w:cs="宋体"/>
          <w:color w:val="000000"/>
          <w:sz w:val="24"/>
          <w:szCs w:val="24"/>
          <w:lang w:eastAsia="zh-CN"/>
        </w:rPr>
        <w:t>六</w:t>
      </w:r>
      <w:r>
        <w:rPr>
          <w:rFonts w:hint="eastAsia" w:ascii="宋体" w:hAnsi="宋体" w:cs="宋体"/>
          <w:color w:val="000000"/>
          <w:sz w:val="24"/>
          <w:szCs w:val="24"/>
        </w:rPr>
        <w:t>）法律、法规和</w:t>
      </w:r>
      <w:r>
        <w:rPr>
          <w:rFonts w:hint="eastAsia" w:ascii="宋体" w:hAnsi="宋体" w:cs="宋体"/>
          <w:color w:val="000000"/>
          <w:sz w:val="24"/>
          <w:szCs w:val="24"/>
          <w:lang w:eastAsia="zh-CN"/>
        </w:rPr>
        <w:t>竞选</w:t>
      </w:r>
      <w:r>
        <w:rPr>
          <w:rFonts w:hint="eastAsia" w:ascii="宋体" w:hAnsi="宋体" w:cs="宋体"/>
          <w:color w:val="000000"/>
          <w:sz w:val="24"/>
          <w:szCs w:val="24"/>
        </w:rPr>
        <w:t>文件规定的其他无效情形</w:t>
      </w:r>
      <w:r>
        <w:rPr>
          <w:rFonts w:hint="eastAsia" w:ascii="宋体" w:hAnsi="宋体"/>
          <w:color w:val="000000"/>
          <w:sz w:val="24"/>
          <w:szCs w:val="24"/>
        </w:rPr>
        <w:t>。</w:t>
      </w:r>
    </w:p>
    <w:p w14:paraId="0714B629">
      <w:pPr>
        <w:pStyle w:val="5"/>
        <w:spacing w:line="400" w:lineRule="exact"/>
        <w:ind w:firstLine="482" w:firstLineChars="200"/>
        <w:rPr>
          <w:rFonts w:hint="eastAsia"/>
          <w:b/>
          <w:color w:val="000000"/>
          <w:sz w:val="24"/>
          <w:szCs w:val="24"/>
        </w:rPr>
      </w:pPr>
      <w:bookmarkStart w:id="55" w:name="_Toc9714"/>
      <w:bookmarkStart w:id="56" w:name="_Toc21214"/>
      <w:bookmarkStart w:id="57" w:name="_Toc105687214"/>
      <w:bookmarkStart w:id="58" w:name="_Toc17906"/>
      <w:r>
        <w:rPr>
          <w:rFonts w:hint="eastAsia"/>
          <w:b/>
          <w:color w:val="000000"/>
          <w:sz w:val="24"/>
          <w:szCs w:val="24"/>
        </w:rPr>
        <w:t>五、</w:t>
      </w:r>
      <w:r>
        <w:rPr>
          <w:rFonts w:hint="eastAsia"/>
          <w:b/>
          <w:color w:val="000000"/>
          <w:sz w:val="24"/>
          <w:szCs w:val="24"/>
          <w:lang w:eastAsia="zh-CN"/>
        </w:rPr>
        <w:t>竞选</w:t>
      </w:r>
      <w:r>
        <w:rPr>
          <w:rFonts w:hint="eastAsia"/>
          <w:b/>
          <w:color w:val="000000"/>
          <w:sz w:val="24"/>
          <w:szCs w:val="24"/>
        </w:rPr>
        <w:t>失败</w:t>
      </w:r>
      <w:bookmarkEnd w:id="55"/>
      <w:bookmarkEnd w:id="56"/>
      <w:bookmarkEnd w:id="57"/>
      <w:bookmarkEnd w:id="58"/>
    </w:p>
    <w:p w14:paraId="1E0FD573">
      <w:pPr>
        <w:snapToGrid w:val="0"/>
        <w:spacing w:line="400" w:lineRule="exact"/>
        <w:ind w:firstLine="480" w:firstLineChars="200"/>
        <w:rPr>
          <w:rFonts w:hint="eastAsia" w:ascii="宋体" w:hAnsi="宋体"/>
          <w:color w:val="000000"/>
          <w:sz w:val="24"/>
          <w:szCs w:val="24"/>
        </w:rPr>
      </w:pPr>
      <w:r>
        <w:rPr>
          <w:rFonts w:ascii="宋体" w:hAnsi="宋体"/>
          <w:color w:val="000000"/>
          <w:sz w:val="24"/>
          <w:szCs w:val="24"/>
        </w:rPr>
        <w:t>在</w:t>
      </w:r>
      <w:r>
        <w:rPr>
          <w:rFonts w:hint="eastAsia" w:ascii="宋体" w:hAnsi="宋体"/>
          <w:color w:val="000000"/>
          <w:sz w:val="24"/>
          <w:szCs w:val="24"/>
          <w:lang w:eastAsia="zh-CN"/>
        </w:rPr>
        <w:t>竞选</w:t>
      </w:r>
      <w:r>
        <w:rPr>
          <w:rFonts w:ascii="宋体" w:hAnsi="宋体"/>
          <w:color w:val="000000"/>
          <w:sz w:val="24"/>
          <w:szCs w:val="24"/>
        </w:rPr>
        <w:t>活动中，出现下列情形之一的，</w:t>
      </w:r>
      <w:r>
        <w:rPr>
          <w:rFonts w:hint="eastAsia" w:ascii="宋体" w:hAnsi="宋体"/>
          <w:color w:val="000000"/>
          <w:sz w:val="24"/>
          <w:szCs w:val="24"/>
          <w:lang w:eastAsia="zh-CN"/>
        </w:rPr>
        <w:t>竞选</w:t>
      </w:r>
      <w:r>
        <w:rPr>
          <w:rFonts w:hint="eastAsia" w:ascii="宋体" w:hAnsi="宋体"/>
          <w:color w:val="000000"/>
          <w:sz w:val="24"/>
          <w:szCs w:val="24"/>
        </w:rPr>
        <w:t>失败。</w:t>
      </w:r>
    </w:p>
    <w:p w14:paraId="42F916D4">
      <w:pPr>
        <w:snapToGrid w:val="0"/>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rPr>
        <w:t>（一）</w:t>
      </w:r>
      <w:r>
        <w:rPr>
          <w:rFonts w:ascii="宋体" w:hAnsi="宋体"/>
          <w:color w:val="000000"/>
          <w:sz w:val="24"/>
          <w:szCs w:val="24"/>
        </w:rPr>
        <w:t>提交响应文件和符合资格条件、实质性要求的</w:t>
      </w:r>
      <w:r>
        <w:rPr>
          <w:rFonts w:hint="eastAsia" w:ascii="宋体" w:hAnsi="宋体"/>
          <w:color w:val="000000"/>
          <w:sz w:val="24"/>
          <w:szCs w:val="24"/>
          <w:lang w:eastAsia="zh-CN"/>
        </w:rPr>
        <w:t>竞选人</w:t>
      </w:r>
      <w:r>
        <w:rPr>
          <w:rFonts w:ascii="宋体" w:hAnsi="宋体"/>
          <w:color w:val="000000"/>
          <w:sz w:val="24"/>
          <w:szCs w:val="24"/>
          <w:highlight w:val="none"/>
        </w:rPr>
        <w:t>少于</w:t>
      </w:r>
      <w:r>
        <w:rPr>
          <w:rFonts w:hint="eastAsia" w:ascii="宋体" w:hAnsi="宋体"/>
          <w:color w:val="000000"/>
          <w:sz w:val="24"/>
          <w:szCs w:val="24"/>
          <w:highlight w:val="none"/>
          <w:lang w:val="en-US" w:eastAsia="zh-CN"/>
        </w:rPr>
        <w:t>3</w:t>
      </w:r>
      <w:r>
        <w:rPr>
          <w:rFonts w:ascii="宋体" w:hAnsi="宋体"/>
          <w:color w:val="000000"/>
          <w:sz w:val="24"/>
          <w:szCs w:val="24"/>
          <w:highlight w:val="none"/>
        </w:rPr>
        <w:t>家的</w:t>
      </w:r>
      <w:r>
        <w:rPr>
          <w:rFonts w:hint="eastAsia" w:ascii="宋体" w:hAnsi="宋体"/>
          <w:color w:val="000000"/>
          <w:sz w:val="24"/>
          <w:szCs w:val="24"/>
          <w:highlight w:val="none"/>
        </w:rPr>
        <w:t>；</w:t>
      </w:r>
    </w:p>
    <w:p w14:paraId="48FFD203">
      <w:pPr>
        <w:snapToGrid w:val="0"/>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highlight w:val="none"/>
        </w:rPr>
        <w:t>（二）法律、法规规定的其他情形。</w:t>
      </w:r>
    </w:p>
    <w:p w14:paraId="5C54EAB8">
      <w:pPr>
        <w:snapToGrid w:val="0"/>
        <w:spacing w:line="400" w:lineRule="exact"/>
        <w:ind w:firstLine="480" w:firstLineChars="200"/>
        <w:rPr>
          <w:rFonts w:hint="eastAsia" w:ascii="宋体" w:hAnsi="宋体"/>
          <w:color w:val="000000"/>
          <w:sz w:val="24"/>
          <w:szCs w:val="24"/>
        </w:rPr>
      </w:pPr>
    </w:p>
    <w:p w14:paraId="21DD4AAB">
      <w:pPr>
        <w:pStyle w:val="4"/>
        <w:spacing w:before="0" w:beforeLines="0" w:after="0" w:afterLines="0" w:line="360" w:lineRule="auto"/>
        <w:rPr>
          <w:rFonts w:hint="eastAsia" w:ascii="宋体" w:hAnsi="宋体" w:eastAsia="宋体"/>
          <w:b/>
          <w:color w:val="000000"/>
        </w:rPr>
      </w:pPr>
      <w:r>
        <w:rPr>
          <w:rFonts w:hint="eastAsia" w:ascii="宋体" w:hAnsi="宋体" w:eastAsia="宋体"/>
          <w:color w:val="000000"/>
          <w:sz w:val="28"/>
        </w:rPr>
        <w:br w:type="page"/>
      </w:r>
      <w:bookmarkStart w:id="59" w:name="_Toc26243"/>
      <w:bookmarkStart w:id="60" w:name="_Toc8945"/>
      <w:r>
        <w:rPr>
          <w:rFonts w:hint="eastAsia" w:ascii="宋体" w:hAnsi="宋体" w:eastAsia="宋体"/>
          <w:b/>
          <w:color w:val="000000"/>
        </w:rPr>
        <w:t>第</w:t>
      </w:r>
      <w:r>
        <w:rPr>
          <w:rFonts w:hint="eastAsia" w:ascii="宋体" w:hAnsi="宋体" w:eastAsia="宋体"/>
          <w:b/>
          <w:color w:val="000000"/>
          <w:lang w:eastAsia="zh-CN"/>
        </w:rPr>
        <w:t>五</w:t>
      </w:r>
      <w:r>
        <w:rPr>
          <w:rFonts w:hint="eastAsia" w:ascii="宋体" w:hAnsi="宋体" w:eastAsia="宋体"/>
          <w:b/>
          <w:color w:val="000000"/>
        </w:rPr>
        <w:t xml:space="preserve">篇  </w:t>
      </w:r>
      <w:r>
        <w:rPr>
          <w:rFonts w:hint="eastAsia" w:ascii="宋体" w:hAnsi="宋体" w:eastAsia="宋体"/>
          <w:b/>
          <w:color w:val="000000"/>
          <w:lang w:eastAsia="zh-CN"/>
        </w:rPr>
        <w:t>竞选人</w:t>
      </w:r>
      <w:r>
        <w:rPr>
          <w:rFonts w:hint="eastAsia" w:ascii="宋体" w:hAnsi="宋体" w:eastAsia="宋体"/>
          <w:b/>
          <w:color w:val="000000"/>
        </w:rPr>
        <w:t>须知</w:t>
      </w:r>
      <w:bookmarkEnd w:id="59"/>
      <w:bookmarkEnd w:id="60"/>
    </w:p>
    <w:p w14:paraId="221DD917">
      <w:pPr>
        <w:pStyle w:val="5"/>
        <w:spacing w:line="400" w:lineRule="exact"/>
        <w:ind w:firstLine="482" w:firstLineChars="200"/>
        <w:rPr>
          <w:rFonts w:hint="eastAsia"/>
          <w:b/>
          <w:color w:val="000000"/>
          <w:sz w:val="24"/>
        </w:rPr>
      </w:pPr>
      <w:bookmarkStart w:id="61" w:name="_Toc10069"/>
      <w:bookmarkStart w:id="62" w:name="_Toc105687216"/>
      <w:bookmarkStart w:id="63" w:name="_Toc32294"/>
      <w:r>
        <w:rPr>
          <w:rFonts w:hint="eastAsia"/>
          <w:b/>
          <w:color w:val="000000"/>
          <w:sz w:val="24"/>
        </w:rPr>
        <w:t>一、法律依据</w:t>
      </w:r>
      <w:bookmarkEnd w:id="61"/>
      <w:bookmarkEnd w:id="62"/>
      <w:bookmarkEnd w:id="63"/>
    </w:p>
    <w:p w14:paraId="0F2F3DB5">
      <w:pPr>
        <w:snapToGrid w:val="0"/>
        <w:spacing w:line="400" w:lineRule="exact"/>
        <w:ind w:firstLine="480" w:firstLineChars="200"/>
        <w:rPr>
          <w:rFonts w:hint="eastAsia" w:ascii="宋体" w:hAnsi="宋体"/>
          <w:color w:val="000000"/>
          <w:sz w:val="24"/>
          <w:highlight w:val="none"/>
        </w:rPr>
      </w:pPr>
      <w:r>
        <w:rPr>
          <w:rFonts w:hint="eastAsia" w:ascii="宋体" w:hAnsi="宋体" w:eastAsia="宋体" w:cs="Times New Roman"/>
          <w:color w:val="000000"/>
          <w:sz w:val="24"/>
          <w:highlight w:val="none"/>
          <w:lang w:eastAsia="zh-CN"/>
        </w:rPr>
        <w:t>《中华人民共和国固体废物污染环境防治法》《城市生活垃圾管理办法》《重庆市生活垃圾管理条例》《重庆市市容环境卫生管理条例》等相关法律法规</w:t>
      </w:r>
      <w:r>
        <w:rPr>
          <w:rFonts w:hint="eastAsia" w:ascii="宋体" w:hAnsi="宋体"/>
          <w:color w:val="000000"/>
          <w:sz w:val="24"/>
          <w:highlight w:val="none"/>
        </w:rPr>
        <w:t>。</w:t>
      </w:r>
    </w:p>
    <w:p w14:paraId="3AC14ED0">
      <w:pPr>
        <w:pStyle w:val="5"/>
        <w:spacing w:line="400" w:lineRule="exact"/>
        <w:ind w:firstLine="482" w:firstLineChars="200"/>
        <w:rPr>
          <w:rFonts w:hint="eastAsia" w:eastAsia="宋体"/>
          <w:b/>
          <w:color w:val="000000"/>
          <w:sz w:val="24"/>
          <w:highlight w:val="none"/>
          <w:lang w:eastAsia="zh-CN"/>
        </w:rPr>
      </w:pPr>
      <w:bookmarkStart w:id="64" w:name="_Toc105687217"/>
      <w:bookmarkStart w:id="65" w:name="_Toc21501"/>
      <w:bookmarkStart w:id="66" w:name="_Toc18984"/>
      <w:r>
        <w:rPr>
          <w:rFonts w:hint="eastAsia"/>
          <w:b/>
          <w:color w:val="000000"/>
          <w:sz w:val="24"/>
          <w:highlight w:val="none"/>
        </w:rPr>
        <w:t>二、</w:t>
      </w:r>
      <w:r>
        <w:rPr>
          <w:rFonts w:hint="eastAsia"/>
          <w:b/>
          <w:color w:val="000000"/>
          <w:sz w:val="24"/>
          <w:highlight w:val="none"/>
          <w:lang w:eastAsia="zh-CN"/>
        </w:rPr>
        <w:t>竞选</w:t>
      </w:r>
      <w:bookmarkEnd w:id="64"/>
      <w:bookmarkEnd w:id="65"/>
      <w:bookmarkEnd w:id="66"/>
      <w:r>
        <w:rPr>
          <w:rFonts w:hint="eastAsia"/>
          <w:b/>
          <w:color w:val="000000"/>
          <w:sz w:val="24"/>
          <w:highlight w:val="none"/>
          <w:lang w:eastAsia="zh-CN"/>
        </w:rPr>
        <w:t>组织</w:t>
      </w:r>
    </w:p>
    <w:p w14:paraId="6BADC519">
      <w:pPr>
        <w:snapToGrid w:val="0"/>
        <w:spacing w:line="400" w:lineRule="exact"/>
        <w:ind w:firstLine="480" w:firstLineChars="200"/>
        <w:rPr>
          <w:rFonts w:hint="eastAsia" w:ascii="宋体" w:hAnsi="宋体"/>
          <w:color w:val="000000"/>
          <w:sz w:val="24"/>
          <w:highlight w:val="none"/>
        </w:rPr>
      </w:pPr>
      <w:r>
        <w:rPr>
          <w:rFonts w:hint="eastAsia" w:ascii="宋体" w:hAnsi="宋体" w:eastAsia="宋体" w:cs="Times New Roman"/>
          <w:color w:val="000000"/>
          <w:sz w:val="24"/>
          <w:highlight w:val="none"/>
        </w:rPr>
        <w:t>重庆市九龙坡区城市管理局</w:t>
      </w:r>
      <w:r>
        <w:rPr>
          <w:rFonts w:ascii="宋体" w:hAnsi="宋体" w:eastAsia="宋体" w:cs="Times New Roman"/>
          <w:color w:val="000000"/>
          <w:sz w:val="24"/>
          <w:highlight w:val="none"/>
        </w:rPr>
        <w:t>为</w:t>
      </w:r>
      <w:r>
        <w:rPr>
          <w:rFonts w:ascii="宋体" w:hAnsi="宋体"/>
          <w:color w:val="000000"/>
          <w:sz w:val="24"/>
          <w:highlight w:val="none"/>
        </w:rPr>
        <w:t>本项目的</w:t>
      </w:r>
      <w:r>
        <w:rPr>
          <w:rFonts w:hint="eastAsia" w:ascii="宋体" w:hAnsi="宋体"/>
          <w:color w:val="000000"/>
          <w:sz w:val="24"/>
          <w:highlight w:val="none"/>
          <w:lang w:eastAsia="zh-CN"/>
        </w:rPr>
        <w:t>竞选组织人</w:t>
      </w:r>
      <w:r>
        <w:rPr>
          <w:rFonts w:ascii="宋体" w:hAnsi="宋体"/>
          <w:color w:val="000000"/>
          <w:sz w:val="24"/>
          <w:highlight w:val="none"/>
        </w:rPr>
        <w:t>，</w:t>
      </w:r>
      <w:r>
        <w:rPr>
          <w:rFonts w:hint="eastAsia" w:ascii="宋体" w:hAnsi="宋体"/>
          <w:color w:val="000000"/>
          <w:sz w:val="24"/>
          <w:highlight w:val="none"/>
          <w:lang w:eastAsia="zh-CN"/>
        </w:rPr>
        <w:t>重庆方郡建设工程咨询有限公司</w:t>
      </w:r>
      <w:r>
        <w:rPr>
          <w:rFonts w:hint="eastAsia" w:ascii="宋体" w:hAnsi="宋体"/>
          <w:color w:val="000000"/>
          <w:sz w:val="24"/>
          <w:highlight w:val="none"/>
        </w:rPr>
        <w:t>为</w:t>
      </w:r>
      <w:r>
        <w:rPr>
          <w:rFonts w:ascii="宋体" w:hAnsi="宋体"/>
          <w:color w:val="000000"/>
          <w:sz w:val="24"/>
          <w:highlight w:val="none"/>
        </w:rPr>
        <w:t>其委托的</w:t>
      </w:r>
      <w:r>
        <w:rPr>
          <w:rFonts w:hint="eastAsia" w:ascii="宋体" w:hAnsi="宋体"/>
          <w:color w:val="000000"/>
          <w:sz w:val="24"/>
          <w:highlight w:val="none"/>
          <w:lang w:eastAsia="zh-CN"/>
        </w:rPr>
        <w:t>竞选</w:t>
      </w:r>
      <w:r>
        <w:rPr>
          <w:rFonts w:ascii="宋体" w:hAnsi="宋体"/>
          <w:color w:val="000000"/>
          <w:sz w:val="24"/>
          <w:highlight w:val="none"/>
        </w:rPr>
        <w:t>代理机构。</w:t>
      </w:r>
    </w:p>
    <w:p w14:paraId="220377BC">
      <w:pPr>
        <w:pStyle w:val="5"/>
        <w:spacing w:line="400" w:lineRule="exact"/>
        <w:ind w:firstLine="482" w:firstLineChars="200"/>
        <w:rPr>
          <w:rFonts w:hint="eastAsia"/>
          <w:b/>
          <w:color w:val="000000"/>
          <w:sz w:val="24"/>
          <w:highlight w:val="none"/>
        </w:rPr>
      </w:pPr>
      <w:bookmarkStart w:id="67" w:name="_Toc15516"/>
      <w:bookmarkStart w:id="68" w:name="_Toc132977805"/>
      <w:bookmarkStart w:id="69" w:name="_Toc19820"/>
      <w:r>
        <w:rPr>
          <w:rFonts w:hint="eastAsia"/>
          <w:b/>
          <w:color w:val="000000"/>
          <w:sz w:val="24"/>
          <w:highlight w:val="none"/>
        </w:rPr>
        <w:t>三、</w:t>
      </w:r>
      <w:bookmarkEnd w:id="67"/>
      <w:bookmarkEnd w:id="68"/>
      <w:bookmarkStart w:id="70" w:name="_Toc105687218"/>
      <w:bookmarkStart w:id="71" w:name="_Toc17197"/>
      <w:r>
        <w:rPr>
          <w:rFonts w:hint="eastAsia"/>
          <w:b/>
          <w:color w:val="000000"/>
          <w:sz w:val="24"/>
          <w:highlight w:val="none"/>
          <w:lang w:eastAsia="zh-CN"/>
        </w:rPr>
        <w:t>竞选</w:t>
      </w:r>
      <w:r>
        <w:rPr>
          <w:rFonts w:hint="eastAsia"/>
          <w:b/>
          <w:color w:val="000000"/>
          <w:sz w:val="24"/>
          <w:highlight w:val="none"/>
        </w:rPr>
        <w:t>文件</w:t>
      </w:r>
      <w:bookmarkEnd w:id="69"/>
      <w:bookmarkEnd w:id="70"/>
      <w:bookmarkEnd w:id="71"/>
    </w:p>
    <w:p w14:paraId="1F55D266">
      <w:pPr>
        <w:snapToGrid w:val="0"/>
        <w:spacing w:line="400" w:lineRule="exact"/>
        <w:ind w:firstLine="480" w:firstLineChars="200"/>
        <w:rPr>
          <w:rFonts w:hint="eastAsia" w:ascii="宋体" w:hAnsi="宋体"/>
          <w:color w:val="000000"/>
          <w:sz w:val="24"/>
          <w:highlight w:val="none"/>
        </w:rPr>
      </w:pPr>
      <w:r>
        <w:rPr>
          <w:rFonts w:hint="eastAsia" w:ascii="宋体" w:hAnsi="宋体"/>
          <w:color w:val="000000"/>
          <w:sz w:val="24"/>
          <w:highlight w:val="none"/>
        </w:rPr>
        <w:t>（一）</w:t>
      </w:r>
      <w:r>
        <w:rPr>
          <w:rFonts w:hint="eastAsia" w:ascii="宋体" w:hAnsi="宋体"/>
          <w:color w:val="000000"/>
          <w:sz w:val="24"/>
          <w:highlight w:val="none"/>
          <w:lang w:eastAsia="zh-CN"/>
        </w:rPr>
        <w:t>竞选</w:t>
      </w:r>
      <w:r>
        <w:rPr>
          <w:rFonts w:hint="eastAsia" w:ascii="宋体" w:hAnsi="宋体"/>
          <w:color w:val="000000"/>
          <w:sz w:val="24"/>
          <w:highlight w:val="none"/>
        </w:rPr>
        <w:t>文件是</w:t>
      </w:r>
      <w:r>
        <w:rPr>
          <w:rFonts w:hint="eastAsia" w:ascii="宋体" w:hAnsi="宋体"/>
          <w:color w:val="000000"/>
          <w:sz w:val="24"/>
          <w:highlight w:val="none"/>
          <w:lang w:eastAsia="zh-CN"/>
        </w:rPr>
        <w:t>竞选人</w:t>
      </w:r>
      <w:r>
        <w:rPr>
          <w:rFonts w:hint="eastAsia" w:ascii="宋体" w:hAnsi="宋体"/>
          <w:color w:val="000000"/>
          <w:sz w:val="24"/>
          <w:highlight w:val="none"/>
        </w:rPr>
        <w:t>编制响应文件的依</w:t>
      </w:r>
      <w:r>
        <w:rPr>
          <w:rFonts w:hint="eastAsia" w:ascii="宋体" w:hAnsi="宋体" w:eastAsia="宋体" w:cs="Times New Roman"/>
          <w:color w:val="000000"/>
          <w:sz w:val="24"/>
          <w:highlight w:val="none"/>
        </w:rPr>
        <w:t>据，是评审委员会的</w:t>
      </w:r>
      <w:r>
        <w:rPr>
          <w:rFonts w:hint="eastAsia" w:ascii="宋体" w:hAnsi="宋体"/>
          <w:color w:val="000000"/>
          <w:sz w:val="24"/>
          <w:highlight w:val="none"/>
        </w:rPr>
        <w:t>评审依据和标准。</w:t>
      </w:r>
      <w:r>
        <w:rPr>
          <w:rFonts w:hint="eastAsia" w:ascii="宋体" w:hAnsi="宋体"/>
          <w:color w:val="000000"/>
          <w:sz w:val="24"/>
          <w:highlight w:val="none"/>
          <w:lang w:eastAsia="zh-CN"/>
        </w:rPr>
        <w:t>竞选</w:t>
      </w:r>
      <w:r>
        <w:rPr>
          <w:rFonts w:hint="eastAsia" w:ascii="宋体" w:hAnsi="宋体"/>
          <w:color w:val="000000"/>
          <w:sz w:val="24"/>
          <w:highlight w:val="none"/>
        </w:rPr>
        <w:t>文件也是</w:t>
      </w:r>
      <w:r>
        <w:rPr>
          <w:rFonts w:hint="eastAsia" w:ascii="宋体" w:hAnsi="宋体"/>
          <w:color w:val="000000"/>
          <w:sz w:val="24"/>
          <w:highlight w:val="none"/>
          <w:lang w:eastAsia="zh-CN"/>
        </w:rPr>
        <w:t>竞选组织人</w:t>
      </w:r>
      <w:r>
        <w:rPr>
          <w:rFonts w:hint="eastAsia" w:ascii="宋体" w:hAnsi="宋体"/>
          <w:color w:val="000000"/>
          <w:sz w:val="24"/>
          <w:highlight w:val="none"/>
        </w:rPr>
        <w:t>与</w:t>
      </w:r>
      <w:r>
        <w:rPr>
          <w:rFonts w:hint="eastAsia" w:ascii="宋体" w:hAnsi="宋体"/>
          <w:color w:val="000000"/>
          <w:sz w:val="24"/>
          <w:highlight w:val="none"/>
          <w:lang w:eastAsia="zh-CN"/>
        </w:rPr>
        <w:t>中选人</w:t>
      </w:r>
      <w:r>
        <w:rPr>
          <w:rFonts w:hint="eastAsia" w:ascii="宋体" w:hAnsi="宋体"/>
          <w:color w:val="000000"/>
          <w:sz w:val="24"/>
          <w:highlight w:val="none"/>
        </w:rPr>
        <w:t>签订框架协议的基础。</w:t>
      </w:r>
    </w:p>
    <w:p w14:paraId="3ADED55D">
      <w:pPr>
        <w:snapToGrid w:val="0"/>
        <w:spacing w:line="400" w:lineRule="exact"/>
        <w:ind w:firstLine="480"/>
        <w:rPr>
          <w:rFonts w:hint="eastAsia" w:ascii="宋体" w:hAnsi="宋体"/>
          <w:color w:val="000000"/>
          <w:sz w:val="24"/>
          <w:highlight w:val="none"/>
        </w:rPr>
      </w:pPr>
      <w:r>
        <w:rPr>
          <w:rFonts w:hint="eastAsia" w:ascii="宋体" w:hAnsi="宋体"/>
          <w:color w:val="000000"/>
          <w:sz w:val="24"/>
          <w:szCs w:val="24"/>
          <w:highlight w:val="none"/>
        </w:rPr>
        <w:t>（二）若有更正，一</w:t>
      </w:r>
      <w:r>
        <w:rPr>
          <w:rFonts w:hint="eastAsia" w:ascii="宋体" w:hAnsi="宋体" w:eastAsia="宋体" w:cs="Times New Roman"/>
          <w:color w:val="000000"/>
          <w:sz w:val="24"/>
          <w:highlight w:val="none"/>
        </w:rPr>
        <w:t>律在</w:t>
      </w:r>
      <w:r>
        <w:rPr>
          <w:rFonts w:hint="eastAsia" w:ascii="宋体" w:hAnsi="宋体" w:eastAsia="宋体" w:cs="Times New Roman"/>
          <w:color w:val="000000"/>
          <w:sz w:val="24"/>
          <w:szCs w:val="24"/>
          <w:highlight w:val="none"/>
          <w:lang w:val="en-US" w:eastAsia="zh-CN"/>
        </w:rPr>
        <w:t>九龙坡区城市管理局门户网站（https://cqjlp.gov.cn/bmjz/qzfbm_97119/qcgj_97723/）</w:t>
      </w:r>
      <w:r>
        <w:rPr>
          <w:rFonts w:hint="eastAsia" w:ascii="宋体" w:hAnsi="宋体" w:eastAsia="宋体" w:cs="Times New Roman"/>
          <w:color w:val="000000"/>
          <w:sz w:val="24"/>
          <w:highlight w:val="none"/>
        </w:rPr>
        <w:t>上发布</w:t>
      </w:r>
      <w:r>
        <w:rPr>
          <w:rFonts w:hint="eastAsia" w:ascii="宋体" w:hAnsi="宋体"/>
          <w:color w:val="000000"/>
          <w:sz w:val="24"/>
          <w:szCs w:val="24"/>
          <w:highlight w:val="none"/>
        </w:rPr>
        <w:t>更正公告或澄清文件。</w:t>
      </w:r>
      <w:r>
        <w:rPr>
          <w:rFonts w:hint="eastAsia" w:ascii="宋体" w:hAnsi="宋体"/>
          <w:color w:val="000000"/>
          <w:sz w:val="24"/>
          <w:highlight w:val="none"/>
        </w:rPr>
        <w:t>更正公告和澄清文件是</w:t>
      </w:r>
      <w:r>
        <w:rPr>
          <w:rFonts w:hint="eastAsia" w:ascii="宋体" w:hAnsi="宋体"/>
          <w:color w:val="000000"/>
          <w:sz w:val="24"/>
          <w:highlight w:val="none"/>
          <w:lang w:eastAsia="zh-CN"/>
        </w:rPr>
        <w:t>竞选</w:t>
      </w:r>
      <w:r>
        <w:rPr>
          <w:rFonts w:hint="eastAsia" w:ascii="宋体" w:hAnsi="宋体"/>
          <w:color w:val="000000"/>
          <w:sz w:val="24"/>
          <w:highlight w:val="none"/>
        </w:rPr>
        <w:t>文件不可分割的部分。</w:t>
      </w:r>
    </w:p>
    <w:p w14:paraId="584D9D23">
      <w:pPr>
        <w:snapToGrid w:val="0"/>
        <w:spacing w:line="400" w:lineRule="exact"/>
        <w:ind w:firstLine="480"/>
        <w:rPr>
          <w:rFonts w:hint="eastAsia" w:ascii="宋体" w:hAnsi="宋体"/>
          <w:color w:val="000000"/>
          <w:sz w:val="24"/>
          <w:highlight w:val="none"/>
        </w:rPr>
      </w:pPr>
      <w:r>
        <w:rPr>
          <w:rFonts w:hint="eastAsia" w:ascii="宋体" w:hAnsi="宋体"/>
          <w:color w:val="000000"/>
          <w:sz w:val="24"/>
          <w:highlight w:val="none"/>
        </w:rPr>
        <w:t>（三）本项目的</w:t>
      </w:r>
      <w:r>
        <w:rPr>
          <w:rFonts w:hint="eastAsia" w:ascii="宋体" w:hAnsi="宋体"/>
          <w:color w:val="000000"/>
          <w:sz w:val="24"/>
          <w:highlight w:val="none"/>
          <w:lang w:eastAsia="zh-CN"/>
        </w:rPr>
        <w:t>竞选</w:t>
      </w:r>
      <w:r>
        <w:rPr>
          <w:rFonts w:hint="eastAsia" w:ascii="宋体" w:hAnsi="宋体"/>
          <w:color w:val="000000"/>
          <w:sz w:val="24"/>
          <w:highlight w:val="none"/>
        </w:rPr>
        <w:t>需求为实质性要求。</w:t>
      </w:r>
    </w:p>
    <w:p w14:paraId="5F1D4AD6">
      <w:pPr>
        <w:pStyle w:val="5"/>
        <w:spacing w:line="400" w:lineRule="exact"/>
        <w:ind w:firstLine="482" w:firstLineChars="200"/>
        <w:rPr>
          <w:rFonts w:hint="eastAsia"/>
          <w:b/>
          <w:color w:val="000000"/>
          <w:sz w:val="24"/>
        </w:rPr>
      </w:pPr>
      <w:bookmarkStart w:id="72" w:name="_Toc2458"/>
      <w:bookmarkStart w:id="73" w:name="_Toc105687219"/>
      <w:bookmarkStart w:id="74" w:name="_Toc19765"/>
      <w:r>
        <w:rPr>
          <w:rFonts w:hint="eastAsia"/>
          <w:b/>
          <w:color w:val="000000"/>
          <w:sz w:val="24"/>
          <w:lang w:eastAsia="zh-CN"/>
        </w:rPr>
        <w:t>四</w:t>
      </w:r>
      <w:r>
        <w:rPr>
          <w:rFonts w:hint="eastAsia"/>
          <w:b/>
          <w:color w:val="000000"/>
          <w:sz w:val="24"/>
        </w:rPr>
        <w:t>、响应文件</w:t>
      </w:r>
      <w:bookmarkEnd w:id="72"/>
      <w:bookmarkEnd w:id="73"/>
      <w:bookmarkEnd w:id="74"/>
    </w:p>
    <w:p w14:paraId="2C5B5E3C">
      <w:pPr>
        <w:snapToGrid w:val="0"/>
        <w:spacing w:line="400" w:lineRule="exact"/>
        <w:ind w:firstLine="480"/>
        <w:rPr>
          <w:rFonts w:hint="eastAsia" w:ascii="宋体" w:hAnsi="宋体"/>
          <w:color w:val="000000"/>
          <w:sz w:val="24"/>
          <w:szCs w:val="24"/>
        </w:rPr>
      </w:pPr>
      <w:r>
        <w:rPr>
          <w:rFonts w:hint="eastAsia" w:ascii="宋体" w:hAnsi="宋体"/>
          <w:color w:val="000000"/>
          <w:sz w:val="24"/>
          <w:lang w:eastAsia="zh-CN"/>
        </w:rPr>
        <w:t>竞选人</w:t>
      </w:r>
      <w:r>
        <w:rPr>
          <w:rFonts w:hint="eastAsia" w:ascii="宋体" w:hAnsi="宋体"/>
          <w:color w:val="000000"/>
          <w:sz w:val="24"/>
        </w:rPr>
        <w:t>应当按照</w:t>
      </w:r>
      <w:r>
        <w:rPr>
          <w:rFonts w:hint="eastAsia" w:ascii="宋体" w:hAnsi="宋体"/>
          <w:color w:val="000000"/>
          <w:sz w:val="24"/>
          <w:lang w:eastAsia="zh-CN"/>
        </w:rPr>
        <w:t>竞选</w:t>
      </w:r>
      <w:r>
        <w:rPr>
          <w:rFonts w:hint="eastAsia" w:ascii="宋体" w:hAnsi="宋体"/>
          <w:color w:val="000000"/>
          <w:sz w:val="24"/>
        </w:rPr>
        <w:t>文件的要求编制响应文件</w:t>
      </w:r>
      <w:r>
        <w:rPr>
          <w:rFonts w:hint="eastAsia" w:ascii="宋体" w:hAnsi="宋体"/>
          <w:color w:val="000000"/>
          <w:sz w:val="24"/>
          <w:szCs w:val="24"/>
        </w:rPr>
        <w:t>，对响应文件的真实性和合法性承担法律责任</w:t>
      </w:r>
      <w:r>
        <w:rPr>
          <w:rFonts w:hint="eastAsia" w:ascii="宋体" w:hAnsi="宋体"/>
          <w:color w:val="000000"/>
          <w:sz w:val="24"/>
        </w:rPr>
        <w:t>。</w:t>
      </w:r>
    </w:p>
    <w:p w14:paraId="143F8AFE">
      <w:pPr>
        <w:shd w:val="clear" w:color="auto" w:fill="FFFFFF"/>
        <w:spacing w:line="400" w:lineRule="exact"/>
        <w:ind w:firstLine="480" w:firstLineChars="200"/>
        <w:rPr>
          <w:rFonts w:hint="eastAsia" w:ascii="宋体" w:hAnsi="宋体"/>
          <w:color w:val="000000"/>
          <w:sz w:val="24"/>
        </w:rPr>
      </w:pPr>
      <w:r>
        <w:rPr>
          <w:rFonts w:hint="eastAsia" w:ascii="宋体" w:hAnsi="宋体"/>
          <w:color w:val="000000"/>
          <w:sz w:val="24"/>
        </w:rPr>
        <w:t>（一）</w:t>
      </w:r>
      <w:r>
        <w:rPr>
          <w:rFonts w:hint="eastAsia"/>
          <w:color w:val="000000"/>
          <w:sz w:val="24"/>
        </w:rPr>
        <w:t>响应文件的编制。</w:t>
      </w:r>
    </w:p>
    <w:p w14:paraId="156160CC">
      <w:pPr>
        <w:shd w:val="clear" w:color="auto" w:fill="FFFFFF"/>
        <w:spacing w:line="400" w:lineRule="exact"/>
        <w:ind w:firstLine="480" w:firstLineChars="200"/>
        <w:rPr>
          <w:rFonts w:hint="eastAsia" w:ascii="宋体" w:hAnsi="宋体"/>
          <w:color w:val="000000"/>
          <w:sz w:val="24"/>
        </w:rPr>
      </w:pPr>
      <w:r>
        <w:rPr>
          <w:rFonts w:hint="eastAsia" w:ascii="宋体" w:hAnsi="宋体"/>
          <w:color w:val="000000"/>
          <w:sz w:val="24"/>
        </w:rPr>
        <w:t>1.编制说明</w:t>
      </w:r>
    </w:p>
    <w:p w14:paraId="1A5FB8DE">
      <w:pPr>
        <w:shd w:val="clear" w:color="auto" w:fill="FFFFFF"/>
        <w:spacing w:line="400" w:lineRule="exact"/>
        <w:ind w:firstLine="480" w:firstLineChars="200"/>
        <w:rPr>
          <w:rFonts w:hint="eastAsia" w:ascii="宋体" w:hAnsi="宋体"/>
          <w:color w:val="000000"/>
          <w:sz w:val="24"/>
        </w:rPr>
      </w:pPr>
      <w:r>
        <w:rPr>
          <w:rFonts w:hint="eastAsia" w:ascii="宋体" w:hAnsi="宋体"/>
          <w:color w:val="000000"/>
          <w:sz w:val="24"/>
        </w:rPr>
        <w:t>（1）</w:t>
      </w:r>
      <w:r>
        <w:rPr>
          <w:rFonts w:hint="eastAsia" w:ascii="宋体" w:hAnsi="宋体"/>
          <w:color w:val="000000"/>
          <w:sz w:val="24"/>
          <w:lang w:eastAsia="zh-CN"/>
        </w:rPr>
        <w:t>竞选人</w:t>
      </w:r>
      <w:r>
        <w:rPr>
          <w:rFonts w:hint="eastAsia" w:ascii="宋体" w:hAnsi="宋体"/>
          <w:color w:val="000000"/>
          <w:sz w:val="24"/>
        </w:rPr>
        <w:t>为本项目提供的服务须符合现行的国家标准、行业标准。</w:t>
      </w:r>
    </w:p>
    <w:p w14:paraId="0931092F">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color w:val="000000"/>
          <w:sz w:val="24"/>
        </w:rPr>
        <w:t>（2）</w:t>
      </w:r>
      <w:r>
        <w:rPr>
          <w:rFonts w:hint="eastAsia" w:ascii="宋体" w:hAnsi="宋体" w:eastAsia="宋体" w:cs="Times New Roman"/>
          <w:color w:val="000000"/>
          <w:kern w:val="0"/>
          <w:sz w:val="24"/>
          <w:szCs w:val="24"/>
          <w:lang w:eastAsia="zh-CN"/>
        </w:rPr>
        <w:t>竞选人</w:t>
      </w:r>
      <w:r>
        <w:rPr>
          <w:rFonts w:hint="eastAsia" w:ascii="宋体" w:hAnsi="宋体" w:eastAsia="宋体" w:cs="Times New Roman"/>
          <w:color w:val="000000"/>
          <w:kern w:val="0"/>
          <w:sz w:val="24"/>
          <w:szCs w:val="24"/>
        </w:rPr>
        <w:t>响应条件不得低于</w:t>
      </w:r>
      <w:r>
        <w:rPr>
          <w:rFonts w:hint="eastAsia" w:ascii="宋体" w:hAnsi="宋体" w:eastAsia="宋体" w:cs="Times New Roman"/>
          <w:color w:val="000000"/>
          <w:kern w:val="0"/>
          <w:sz w:val="24"/>
          <w:szCs w:val="24"/>
          <w:lang w:eastAsia="zh-CN"/>
        </w:rPr>
        <w:t>竞选</w:t>
      </w:r>
      <w:r>
        <w:rPr>
          <w:rFonts w:hint="eastAsia" w:ascii="宋体" w:hAnsi="宋体" w:eastAsia="宋体" w:cs="Times New Roman"/>
          <w:color w:val="000000"/>
          <w:kern w:val="0"/>
          <w:sz w:val="24"/>
          <w:szCs w:val="24"/>
        </w:rPr>
        <w:t>需求。</w:t>
      </w:r>
    </w:p>
    <w:p w14:paraId="2F680937">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（3）</w:t>
      </w:r>
      <w:r>
        <w:rPr>
          <w:rFonts w:hint="eastAsia" w:ascii="宋体" w:hAnsi="宋体" w:eastAsia="宋体" w:cs="Times New Roman"/>
          <w:color w:val="000000"/>
          <w:kern w:val="0"/>
          <w:sz w:val="24"/>
          <w:szCs w:val="24"/>
          <w:lang w:eastAsia="zh-CN"/>
        </w:rPr>
        <w:t>竞选人</w:t>
      </w:r>
      <w:r>
        <w:rPr>
          <w:rFonts w:hint="eastAsia" w:ascii="宋体" w:hAnsi="宋体" w:eastAsia="宋体" w:cs="Times New Roman"/>
          <w:color w:val="000000"/>
          <w:kern w:val="0"/>
          <w:sz w:val="24"/>
          <w:szCs w:val="24"/>
        </w:rPr>
        <w:t>应当按照</w:t>
      </w:r>
      <w:r>
        <w:rPr>
          <w:rFonts w:hint="eastAsia" w:ascii="宋体" w:hAnsi="宋体" w:eastAsia="宋体" w:cs="Times New Roman"/>
          <w:color w:val="000000"/>
          <w:kern w:val="0"/>
          <w:sz w:val="24"/>
          <w:szCs w:val="24"/>
          <w:lang w:eastAsia="zh-CN"/>
        </w:rPr>
        <w:t>竞选</w:t>
      </w:r>
      <w:r>
        <w:rPr>
          <w:rFonts w:hint="eastAsia" w:ascii="宋体" w:hAnsi="宋体" w:eastAsia="宋体" w:cs="Times New Roman"/>
          <w:color w:val="000000"/>
          <w:kern w:val="0"/>
          <w:sz w:val="24"/>
          <w:szCs w:val="24"/>
        </w:rPr>
        <w:t>文件的要求编制响应文件，对响应文件的真实性和合法性承担法律责任。</w:t>
      </w:r>
    </w:p>
    <w:p w14:paraId="0174029F">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2.格式要求</w:t>
      </w:r>
    </w:p>
    <w:p w14:paraId="437D9DA3">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lang w:eastAsia="zh-CN"/>
        </w:rPr>
        <w:t>竞选人须</w:t>
      </w:r>
      <w:r>
        <w:rPr>
          <w:rFonts w:hint="eastAsia" w:ascii="宋体" w:hAnsi="宋体" w:eastAsia="宋体" w:cs="Times New Roman"/>
          <w:color w:val="000000"/>
          <w:kern w:val="0"/>
          <w:sz w:val="24"/>
          <w:szCs w:val="24"/>
        </w:rPr>
        <w:t>按照本</w:t>
      </w:r>
      <w:r>
        <w:rPr>
          <w:rFonts w:hint="eastAsia" w:ascii="宋体" w:hAnsi="宋体" w:eastAsia="宋体" w:cs="Times New Roman"/>
          <w:color w:val="000000"/>
          <w:kern w:val="0"/>
          <w:sz w:val="24"/>
          <w:szCs w:val="24"/>
          <w:lang w:eastAsia="zh-CN"/>
        </w:rPr>
        <w:t>竞选</w:t>
      </w:r>
      <w:r>
        <w:rPr>
          <w:rFonts w:hint="eastAsia" w:ascii="宋体" w:hAnsi="宋体" w:eastAsia="宋体" w:cs="Times New Roman"/>
          <w:color w:val="000000"/>
          <w:kern w:val="0"/>
          <w:sz w:val="24"/>
          <w:szCs w:val="24"/>
        </w:rPr>
        <w:t>文件第</w:t>
      </w:r>
      <w:r>
        <w:rPr>
          <w:rFonts w:hint="eastAsia" w:ascii="宋体" w:hAnsi="宋体" w:eastAsia="宋体" w:cs="Times New Roman"/>
          <w:color w:val="000000"/>
          <w:kern w:val="0"/>
          <w:sz w:val="24"/>
          <w:szCs w:val="24"/>
          <w:lang w:eastAsia="zh-CN"/>
        </w:rPr>
        <w:t>七</w:t>
      </w:r>
      <w:r>
        <w:rPr>
          <w:rFonts w:hint="eastAsia" w:ascii="宋体" w:hAnsi="宋体" w:eastAsia="宋体" w:cs="Times New Roman"/>
          <w:color w:val="000000"/>
          <w:kern w:val="0"/>
          <w:sz w:val="24"/>
          <w:szCs w:val="24"/>
        </w:rPr>
        <w:t>篇的格式进行编制。</w:t>
      </w:r>
    </w:p>
    <w:p w14:paraId="5926C507">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3.签署、盖章</w:t>
      </w:r>
    </w:p>
    <w:p w14:paraId="3A0A9EC9">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（一）响应文件须在“响应文件格式”规定的位置进行签署、盖章。</w:t>
      </w:r>
    </w:p>
    <w:p w14:paraId="07CA5A2D">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（二）提交响应文件的份数和签署</w:t>
      </w:r>
    </w:p>
    <w:p w14:paraId="2DA5EE30">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1、响应文件一式</w:t>
      </w:r>
      <w:r>
        <w:rPr>
          <w:rFonts w:hint="eastAsia" w:ascii="宋体" w:hAnsi="宋体" w:eastAsia="宋体" w:cs="Times New Roman"/>
          <w:color w:val="000000"/>
          <w:kern w:val="0"/>
          <w:sz w:val="24"/>
          <w:szCs w:val="24"/>
          <w:lang w:eastAsia="zh-CN"/>
        </w:rPr>
        <w:t>三</w:t>
      </w:r>
      <w:r>
        <w:rPr>
          <w:rFonts w:hint="eastAsia" w:ascii="宋体" w:hAnsi="宋体" w:eastAsia="宋体" w:cs="Times New Roman"/>
          <w:color w:val="000000"/>
          <w:kern w:val="0"/>
          <w:sz w:val="24"/>
          <w:szCs w:val="24"/>
        </w:rPr>
        <w:t>份，其中正本一份，副本二份</w:t>
      </w:r>
      <w:r>
        <w:rPr>
          <w:rFonts w:hint="eastAsia" w:ascii="宋体" w:hAnsi="宋体" w:eastAsia="宋体" w:cs="Times New Roman"/>
          <w:color w:val="000000"/>
          <w:kern w:val="0"/>
          <w:sz w:val="24"/>
          <w:szCs w:val="24"/>
          <w:lang w:eastAsia="zh-CN"/>
        </w:rPr>
        <w:t>，电子文档一份（</w:t>
      </w:r>
      <w:r>
        <w:rPr>
          <w:rFonts w:hint="eastAsia" w:ascii="宋体" w:hAnsi="宋体" w:eastAsia="宋体" w:cs="Times New Roman"/>
          <w:color w:val="000000"/>
          <w:kern w:val="0"/>
          <w:sz w:val="24"/>
          <w:szCs w:val="24"/>
          <w:lang w:val="en-US" w:eastAsia="zh-CN"/>
        </w:rPr>
        <w:t>U盘</w:t>
      </w:r>
      <w:r>
        <w:rPr>
          <w:rFonts w:hint="eastAsia" w:ascii="宋体" w:hAnsi="宋体" w:eastAsia="宋体" w:cs="Times New Roman"/>
          <w:color w:val="000000"/>
          <w:kern w:val="0"/>
          <w:sz w:val="24"/>
          <w:szCs w:val="24"/>
          <w:lang w:eastAsia="zh-CN"/>
        </w:rPr>
        <w:t>）</w:t>
      </w:r>
      <w:r>
        <w:rPr>
          <w:rFonts w:hint="eastAsia" w:ascii="宋体" w:hAnsi="宋体" w:eastAsia="宋体" w:cs="Times New Roman"/>
          <w:color w:val="000000"/>
          <w:kern w:val="0"/>
          <w:sz w:val="24"/>
          <w:szCs w:val="24"/>
        </w:rPr>
        <w:t>；副本可为正本的复印件，应与正本一致，如出现不一致情况以正本为准。</w:t>
      </w:r>
    </w:p>
    <w:p w14:paraId="5B57E7DC">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2、在响应文件正本中，</w:t>
      </w:r>
      <w:r>
        <w:rPr>
          <w:rFonts w:hint="eastAsia" w:ascii="宋体" w:hAnsi="宋体" w:eastAsia="宋体" w:cs="Times New Roman"/>
          <w:color w:val="000000"/>
          <w:kern w:val="0"/>
          <w:sz w:val="24"/>
          <w:szCs w:val="24"/>
          <w:lang w:eastAsia="zh-CN"/>
        </w:rPr>
        <w:t>竞选</w:t>
      </w:r>
      <w:r>
        <w:rPr>
          <w:rFonts w:hint="eastAsia" w:ascii="宋体" w:hAnsi="宋体" w:eastAsia="宋体" w:cs="Times New Roman"/>
          <w:color w:val="000000"/>
          <w:kern w:val="0"/>
          <w:sz w:val="24"/>
          <w:szCs w:val="24"/>
        </w:rPr>
        <w:t>文件第</w:t>
      </w:r>
      <w:r>
        <w:rPr>
          <w:rFonts w:hint="eastAsia" w:ascii="宋体" w:hAnsi="宋体" w:eastAsia="宋体" w:cs="Times New Roman"/>
          <w:color w:val="000000"/>
          <w:kern w:val="0"/>
          <w:sz w:val="24"/>
          <w:szCs w:val="24"/>
          <w:lang w:val="en-US" w:eastAsia="zh-CN"/>
        </w:rPr>
        <w:t>七</w:t>
      </w:r>
      <w:r>
        <w:rPr>
          <w:rFonts w:hint="eastAsia" w:ascii="宋体" w:hAnsi="宋体" w:eastAsia="宋体" w:cs="Times New Roman"/>
          <w:color w:val="000000"/>
          <w:kern w:val="0"/>
          <w:sz w:val="24"/>
          <w:szCs w:val="24"/>
        </w:rPr>
        <w:t>篇响应文件编制要求中规定签字、盖章的地方必须按其规定签字、盖章。</w:t>
      </w:r>
    </w:p>
    <w:p w14:paraId="73EBE0E9">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w:t>
      </w:r>
      <w:r>
        <w:rPr>
          <w:rFonts w:hint="eastAsia" w:ascii="宋体" w:hAnsi="宋体" w:eastAsia="宋体" w:cs="Times New Roman"/>
          <w:color w:val="000000"/>
          <w:kern w:val="0"/>
          <w:sz w:val="24"/>
          <w:szCs w:val="24"/>
          <w:lang w:eastAsia="zh-CN"/>
        </w:rPr>
        <w:t>三</w:t>
      </w:r>
      <w:r>
        <w:rPr>
          <w:rFonts w:hint="eastAsia" w:ascii="宋体" w:hAnsi="宋体" w:eastAsia="宋体" w:cs="Times New Roman"/>
          <w:color w:val="000000"/>
          <w:kern w:val="0"/>
          <w:sz w:val="24"/>
          <w:szCs w:val="24"/>
        </w:rPr>
        <w:t>）响应文件的递交</w:t>
      </w:r>
    </w:p>
    <w:p w14:paraId="17A1699D">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1. 响应文件的密封</w:t>
      </w:r>
    </w:p>
    <w:p w14:paraId="737BC9C9">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rPr>
        <w:t>1.1响应文件的正本、副本均应密封送达递交响应文件地点</w:t>
      </w:r>
      <w:r>
        <w:rPr>
          <w:rFonts w:hint="eastAsia" w:ascii="宋体" w:hAnsi="宋体" w:eastAsia="宋体" w:cs="Times New Roman"/>
          <w:color w:val="000000"/>
          <w:kern w:val="0"/>
          <w:sz w:val="24"/>
          <w:szCs w:val="24"/>
          <w:highlight w:val="none"/>
        </w:rPr>
        <w:t>，应在封套上注明项目名称、</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名称。若正本、副本分别进行密封的，还应在封套上注明“正本”、“副本”字样。</w:t>
      </w:r>
    </w:p>
    <w:p w14:paraId="77515F96">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1.2封套的封口处应加盖</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公章或由法定代表人授权代表签字。</w:t>
      </w:r>
    </w:p>
    <w:p w14:paraId="3507E849">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2.响应文件必须由</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指派代表现场递交，不接受邮寄等其它方式递交。</w:t>
      </w:r>
    </w:p>
    <w:p w14:paraId="448200F1">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3.如果未按上述规定进行密封，</w:t>
      </w:r>
      <w:r>
        <w:rPr>
          <w:rFonts w:hint="eastAsia" w:ascii="宋体" w:hAnsi="宋体" w:eastAsia="宋体" w:cs="Times New Roman"/>
          <w:color w:val="000000"/>
          <w:kern w:val="0"/>
          <w:sz w:val="24"/>
          <w:szCs w:val="24"/>
          <w:highlight w:val="none"/>
          <w:lang w:eastAsia="zh-CN"/>
        </w:rPr>
        <w:t>竞选</w:t>
      </w:r>
      <w:r>
        <w:rPr>
          <w:rFonts w:hint="eastAsia" w:ascii="宋体" w:hAnsi="宋体" w:eastAsia="宋体" w:cs="Times New Roman"/>
          <w:color w:val="000000"/>
          <w:kern w:val="0"/>
          <w:sz w:val="24"/>
          <w:szCs w:val="24"/>
          <w:highlight w:val="none"/>
        </w:rPr>
        <w:t>代理机构对响应文件误投、丢失或提前拆封不负责任。</w:t>
      </w:r>
    </w:p>
    <w:p w14:paraId="403BD202">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w:t>
      </w:r>
      <w:r>
        <w:rPr>
          <w:rFonts w:hint="eastAsia" w:ascii="宋体" w:hAnsi="宋体" w:eastAsia="宋体" w:cs="Times New Roman"/>
          <w:color w:val="000000"/>
          <w:kern w:val="0"/>
          <w:sz w:val="24"/>
          <w:szCs w:val="24"/>
          <w:highlight w:val="none"/>
          <w:lang w:eastAsia="zh-CN"/>
        </w:rPr>
        <w:t>四</w:t>
      </w:r>
      <w:r>
        <w:rPr>
          <w:rFonts w:hint="eastAsia" w:ascii="宋体" w:hAnsi="宋体" w:eastAsia="宋体" w:cs="Times New Roman"/>
          <w:color w:val="000000"/>
          <w:kern w:val="0"/>
          <w:sz w:val="24"/>
          <w:szCs w:val="24"/>
          <w:highlight w:val="none"/>
        </w:rPr>
        <w:t>）</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参与人员</w:t>
      </w:r>
    </w:p>
    <w:p w14:paraId="6F1D831E">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各个</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应当派1-2名代表参与</w:t>
      </w:r>
      <w:r>
        <w:rPr>
          <w:rFonts w:hint="eastAsia" w:ascii="宋体" w:hAnsi="宋体" w:eastAsia="宋体" w:cs="Times New Roman"/>
          <w:color w:val="000000"/>
          <w:kern w:val="0"/>
          <w:sz w:val="24"/>
          <w:szCs w:val="24"/>
          <w:highlight w:val="none"/>
          <w:lang w:eastAsia="zh-CN"/>
        </w:rPr>
        <w:t>竞选</w:t>
      </w:r>
      <w:r>
        <w:rPr>
          <w:rFonts w:hint="eastAsia" w:ascii="宋体" w:hAnsi="宋体" w:eastAsia="宋体" w:cs="Times New Roman"/>
          <w:color w:val="000000"/>
          <w:kern w:val="0"/>
          <w:sz w:val="24"/>
          <w:szCs w:val="24"/>
          <w:highlight w:val="none"/>
        </w:rPr>
        <w:t>，至少1人应为法定代表人或具有法定代表人授权委托书的授权代表。</w:t>
      </w:r>
    </w:p>
    <w:p w14:paraId="0F8507F9">
      <w:pPr>
        <w:pStyle w:val="5"/>
        <w:spacing w:line="400" w:lineRule="exact"/>
        <w:ind w:firstLine="482" w:firstLineChars="200"/>
        <w:rPr>
          <w:rFonts w:hint="eastAsia" w:ascii="宋体" w:hAnsi="宋体" w:eastAsia="宋体" w:cs="Times New Roman"/>
          <w:b/>
          <w:color w:val="000000"/>
          <w:sz w:val="24"/>
          <w:highlight w:val="none"/>
          <w:lang w:eastAsia="zh-CN"/>
        </w:rPr>
      </w:pPr>
      <w:bookmarkStart w:id="75" w:name="_Toc15265"/>
      <w:bookmarkStart w:id="76" w:name="_Toc13006"/>
      <w:r>
        <w:rPr>
          <w:rFonts w:hint="eastAsia" w:ascii="宋体" w:hAnsi="宋体" w:eastAsia="宋体" w:cs="Times New Roman"/>
          <w:b/>
          <w:color w:val="000000"/>
          <w:sz w:val="24"/>
          <w:highlight w:val="none"/>
          <w:lang w:eastAsia="zh-CN"/>
        </w:rPr>
        <w:t>五</w:t>
      </w:r>
      <w:r>
        <w:rPr>
          <w:rFonts w:hint="eastAsia" w:ascii="宋体" w:hAnsi="宋体" w:eastAsia="宋体" w:cs="Times New Roman"/>
          <w:b/>
          <w:color w:val="000000"/>
          <w:sz w:val="24"/>
          <w:highlight w:val="none"/>
        </w:rPr>
        <w:t>、</w:t>
      </w:r>
      <w:r>
        <w:rPr>
          <w:rFonts w:hint="eastAsia" w:eastAsia="宋体" w:cs="Times New Roman"/>
          <w:b/>
          <w:color w:val="000000"/>
          <w:sz w:val="24"/>
          <w:highlight w:val="none"/>
          <w:lang w:eastAsia="zh-CN"/>
        </w:rPr>
        <w:t>中选人</w:t>
      </w:r>
      <w:r>
        <w:rPr>
          <w:rFonts w:hint="eastAsia" w:ascii="宋体" w:hAnsi="宋体" w:eastAsia="宋体" w:cs="Times New Roman"/>
          <w:b/>
          <w:color w:val="000000"/>
          <w:sz w:val="24"/>
          <w:highlight w:val="none"/>
        </w:rPr>
        <w:t>的确认和</w:t>
      </w:r>
      <w:bookmarkEnd w:id="75"/>
      <w:r>
        <w:rPr>
          <w:rFonts w:hint="eastAsia" w:ascii="宋体" w:hAnsi="宋体" w:eastAsia="宋体" w:cs="Times New Roman"/>
          <w:b/>
          <w:color w:val="000000"/>
          <w:sz w:val="24"/>
          <w:highlight w:val="none"/>
          <w:lang w:eastAsia="zh-CN"/>
        </w:rPr>
        <w:t>放弃处罚说明</w:t>
      </w:r>
      <w:bookmarkEnd w:id="76"/>
    </w:p>
    <w:p w14:paraId="48725AB5">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（一）</w:t>
      </w:r>
      <w:r>
        <w:rPr>
          <w:rFonts w:hint="eastAsia" w:ascii="宋体" w:hAnsi="宋体" w:eastAsia="宋体" w:cs="Times New Roman"/>
          <w:color w:val="000000"/>
          <w:kern w:val="0"/>
          <w:sz w:val="24"/>
          <w:szCs w:val="24"/>
          <w:highlight w:val="none"/>
          <w:lang w:eastAsia="zh-CN"/>
        </w:rPr>
        <w:t>中选人</w:t>
      </w:r>
      <w:r>
        <w:rPr>
          <w:rFonts w:hint="eastAsia" w:ascii="宋体" w:hAnsi="宋体" w:eastAsia="宋体" w:cs="Times New Roman"/>
          <w:color w:val="000000"/>
          <w:kern w:val="0"/>
          <w:sz w:val="24"/>
          <w:szCs w:val="24"/>
          <w:highlight w:val="none"/>
        </w:rPr>
        <w:t>的确认</w:t>
      </w:r>
    </w:p>
    <w:p w14:paraId="79E59EEB">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lang w:eastAsia="zh-CN"/>
        </w:rPr>
        <w:t>竞选</w:t>
      </w:r>
      <w:r>
        <w:rPr>
          <w:rFonts w:hint="eastAsia" w:ascii="宋体" w:hAnsi="宋体" w:eastAsia="宋体" w:cs="Times New Roman"/>
          <w:color w:val="000000"/>
          <w:kern w:val="0"/>
          <w:sz w:val="24"/>
          <w:szCs w:val="24"/>
          <w:highlight w:val="none"/>
        </w:rPr>
        <w:t>代理机构应当在评审结束后2个工作日内将评审报告送</w:t>
      </w:r>
      <w:r>
        <w:rPr>
          <w:rFonts w:hint="eastAsia" w:ascii="宋体" w:hAnsi="宋体" w:eastAsia="宋体" w:cs="Times New Roman"/>
          <w:color w:val="000000"/>
          <w:kern w:val="0"/>
          <w:sz w:val="24"/>
          <w:szCs w:val="24"/>
          <w:highlight w:val="none"/>
          <w:lang w:eastAsia="zh-CN"/>
        </w:rPr>
        <w:t>竞选组织人</w:t>
      </w:r>
      <w:r>
        <w:rPr>
          <w:rFonts w:hint="eastAsia" w:ascii="宋体" w:hAnsi="宋体" w:eastAsia="宋体" w:cs="Times New Roman"/>
          <w:color w:val="000000"/>
          <w:kern w:val="0"/>
          <w:sz w:val="24"/>
          <w:szCs w:val="24"/>
          <w:highlight w:val="none"/>
        </w:rPr>
        <w:t>确认。</w:t>
      </w:r>
      <w:r>
        <w:rPr>
          <w:rFonts w:hint="eastAsia" w:ascii="宋体" w:hAnsi="宋体" w:eastAsia="宋体" w:cs="Times New Roman"/>
          <w:color w:val="000000"/>
          <w:kern w:val="0"/>
          <w:sz w:val="24"/>
          <w:szCs w:val="24"/>
          <w:highlight w:val="none"/>
          <w:lang w:eastAsia="zh-CN"/>
        </w:rPr>
        <w:t>竞选组织人</w:t>
      </w:r>
      <w:r>
        <w:rPr>
          <w:rFonts w:hint="eastAsia" w:ascii="宋体" w:hAnsi="宋体" w:eastAsia="宋体" w:cs="Times New Roman"/>
          <w:color w:val="000000"/>
          <w:kern w:val="0"/>
          <w:sz w:val="24"/>
          <w:szCs w:val="24"/>
          <w:highlight w:val="none"/>
        </w:rPr>
        <w:t>应当在收到评审报告后5个工作日内，</w:t>
      </w:r>
      <w:r>
        <w:rPr>
          <w:rFonts w:hint="eastAsia" w:ascii="宋体" w:hAnsi="宋体" w:eastAsia="宋体" w:cs="Times New Roman"/>
          <w:color w:val="000000"/>
          <w:sz w:val="24"/>
          <w:szCs w:val="24"/>
          <w:highlight w:val="none"/>
        </w:rPr>
        <w:t>按</w:t>
      </w:r>
      <w:r>
        <w:rPr>
          <w:rFonts w:hint="eastAsia" w:ascii="宋体" w:hAnsi="宋体" w:eastAsia="宋体" w:cs="Times New Roman"/>
          <w:color w:val="000000"/>
          <w:sz w:val="24"/>
          <w:szCs w:val="24"/>
          <w:highlight w:val="none"/>
          <w:lang w:eastAsia="zh-CN"/>
        </w:rPr>
        <w:t>综合</w:t>
      </w:r>
      <w:r>
        <w:rPr>
          <w:rFonts w:hint="eastAsia" w:ascii="宋体" w:hAnsi="宋体" w:eastAsia="宋体" w:cs="Times New Roman"/>
          <w:color w:val="000000"/>
          <w:sz w:val="24"/>
          <w:szCs w:val="24"/>
          <w:highlight w:val="none"/>
        </w:rPr>
        <w:t>得分由高到低的排列顺序</w:t>
      </w:r>
      <w:r>
        <w:rPr>
          <w:rFonts w:hint="eastAsia" w:ascii="宋体" w:hAnsi="宋体" w:eastAsia="宋体" w:cs="Times New Roman"/>
          <w:color w:val="000000"/>
          <w:sz w:val="24"/>
          <w:szCs w:val="24"/>
          <w:highlight w:val="none"/>
          <w:lang w:eastAsia="zh-CN"/>
        </w:rPr>
        <w:t>在</w:t>
      </w:r>
      <w:r>
        <w:rPr>
          <w:rFonts w:hint="eastAsia" w:ascii="宋体" w:hAnsi="宋体" w:eastAsia="宋体" w:cs="Times New Roman"/>
          <w:color w:val="000000"/>
          <w:sz w:val="24"/>
          <w:szCs w:val="24"/>
          <w:highlight w:val="none"/>
          <w:lang w:val="en-US" w:eastAsia="zh-CN"/>
        </w:rPr>
        <w:t>65分及以上的竞选人为中选人。</w:t>
      </w:r>
      <w:r>
        <w:rPr>
          <w:rFonts w:hint="eastAsia" w:ascii="宋体" w:hAnsi="宋体" w:eastAsia="宋体" w:cs="Times New Roman"/>
          <w:color w:val="000000"/>
          <w:kern w:val="0"/>
          <w:sz w:val="24"/>
          <w:szCs w:val="24"/>
          <w:highlight w:val="none"/>
        </w:rPr>
        <w:t>也可以书面授权</w:t>
      </w:r>
      <w:r>
        <w:rPr>
          <w:rFonts w:hint="eastAsia" w:ascii="宋体" w:hAnsi="宋体" w:eastAsia="宋体" w:cs="Times New Roman"/>
          <w:color w:val="000000"/>
          <w:kern w:val="0"/>
          <w:sz w:val="24"/>
          <w:szCs w:val="24"/>
          <w:highlight w:val="none"/>
          <w:lang w:eastAsia="zh-CN"/>
        </w:rPr>
        <w:t>评审委员会</w:t>
      </w:r>
      <w:r>
        <w:rPr>
          <w:rFonts w:hint="eastAsia" w:ascii="宋体" w:hAnsi="宋体" w:eastAsia="宋体" w:cs="Times New Roman"/>
          <w:color w:val="000000"/>
          <w:kern w:val="0"/>
          <w:sz w:val="24"/>
          <w:szCs w:val="24"/>
          <w:highlight w:val="none"/>
        </w:rPr>
        <w:t>直接确定</w:t>
      </w:r>
      <w:r>
        <w:rPr>
          <w:rFonts w:hint="eastAsia" w:ascii="宋体" w:hAnsi="宋体" w:eastAsia="宋体" w:cs="Times New Roman"/>
          <w:color w:val="000000"/>
          <w:kern w:val="0"/>
          <w:sz w:val="24"/>
          <w:szCs w:val="24"/>
          <w:highlight w:val="none"/>
          <w:lang w:eastAsia="zh-CN"/>
        </w:rPr>
        <w:t>中选人</w:t>
      </w:r>
      <w:r>
        <w:rPr>
          <w:rFonts w:hint="eastAsia" w:ascii="宋体" w:hAnsi="宋体" w:eastAsia="宋体" w:cs="Times New Roman"/>
          <w:color w:val="000000"/>
          <w:kern w:val="0"/>
          <w:sz w:val="24"/>
          <w:szCs w:val="24"/>
          <w:highlight w:val="none"/>
        </w:rPr>
        <w:t>。</w:t>
      </w:r>
      <w:r>
        <w:rPr>
          <w:rFonts w:hint="eastAsia" w:ascii="宋体" w:hAnsi="宋体" w:eastAsia="宋体" w:cs="Times New Roman"/>
          <w:color w:val="000000"/>
          <w:kern w:val="0"/>
          <w:sz w:val="24"/>
          <w:szCs w:val="24"/>
          <w:highlight w:val="none"/>
          <w:lang w:eastAsia="zh-CN"/>
        </w:rPr>
        <w:t>竞选组织人</w:t>
      </w:r>
      <w:r>
        <w:rPr>
          <w:rFonts w:hint="eastAsia" w:ascii="宋体" w:hAnsi="宋体" w:eastAsia="宋体" w:cs="Times New Roman"/>
          <w:color w:val="000000"/>
          <w:kern w:val="0"/>
          <w:sz w:val="24"/>
          <w:szCs w:val="24"/>
          <w:highlight w:val="none"/>
        </w:rPr>
        <w:t>逾期未确定</w:t>
      </w:r>
      <w:r>
        <w:rPr>
          <w:rFonts w:hint="eastAsia" w:ascii="宋体" w:hAnsi="宋体" w:eastAsia="宋体" w:cs="Times New Roman"/>
          <w:color w:val="000000"/>
          <w:kern w:val="0"/>
          <w:sz w:val="24"/>
          <w:szCs w:val="24"/>
          <w:highlight w:val="none"/>
          <w:lang w:eastAsia="zh-CN"/>
        </w:rPr>
        <w:t>中选人</w:t>
      </w:r>
      <w:r>
        <w:rPr>
          <w:rFonts w:hint="eastAsia" w:ascii="宋体" w:hAnsi="宋体" w:eastAsia="宋体" w:cs="Times New Roman"/>
          <w:color w:val="000000"/>
          <w:kern w:val="0"/>
          <w:sz w:val="24"/>
          <w:szCs w:val="24"/>
          <w:highlight w:val="none"/>
        </w:rPr>
        <w:t>且不提出异议的，视为确定评审报告提出的排序</w:t>
      </w:r>
      <w:r>
        <w:rPr>
          <w:rFonts w:hint="eastAsia" w:ascii="宋体" w:hAnsi="宋体" w:eastAsia="宋体" w:cs="Times New Roman"/>
          <w:color w:val="000000"/>
          <w:kern w:val="0"/>
          <w:sz w:val="24"/>
          <w:szCs w:val="24"/>
          <w:highlight w:val="none"/>
          <w:lang w:eastAsia="zh-CN"/>
        </w:rPr>
        <w:t>综合得分在</w:t>
      </w:r>
      <w:r>
        <w:rPr>
          <w:rFonts w:hint="eastAsia" w:ascii="宋体" w:hAnsi="宋体" w:eastAsia="宋体" w:cs="Times New Roman"/>
          <w:color w:val="000000"/>
          <w:kern w:val="0"/>
          <w:sz w:val="24"/>
          <w:szCs w:val="24"/>
          <w:highlight w:val="none"/>
          <w:lang w:val="en-US" w:eastAsia="zh-CN"/>
        </w:rPr>
        <w:t>65分及以上的</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为</w:t>
      </w:r>
      <w:r>
        <w:rPr>
          <w:rFonts w:hint="eastAsia" w:ascii="宋体" w:hAnsi="宋体" w:eastAsia="宋体" w:cs="Times New Roman"/>
          <w:color w:val="000000"/>
          <w:kern w:val="0"/>
          <w:sz w:val="24"/>
          <w:szCs w:val="24"/>
          <w:highlight w:val="none"/>
          <w:lang w:eastAsia="zh-CN"/>
        </w:rPr>
        <w:t>中选人</w:t>
      </w:r>
      <w:r>
        <w:rPr>
          <w:rFonts w:hint="eastAsia" w:ascii="宋体" w:hAnsi="宋体" w:eastAsia="宋体" w:cs="Times New Roman"/>
          <w:color w:val="000000"/>
          <w:kern w:val="0"/>
          <w:sz w:val="24"/>
          <w:szCs w:val="24"/>
          <w:highlight w:val="none"/>
        </w:rPr>
        <w:t>。</w:t>
      </w:r>
    </w:p>
    <w:p w14:paraId="7C5FEF5A">
      <w:pPr>
        <w:snapToGrid w:val="0"/>
        <w:spacing w:line="400" w:lineRule="exact"/>
        <w:ind w:firstLine="480"/>
        <w:rPr>
          <w:rFonts w:hint="eastAsia" w:ascii="宋体" w:hAnsi="宋体" w:eastAsia="宋体" w:cs="Times New Roman"/>
          <w:color w:val="000000"/>
          <w:kern w:val="0"/>
          <w:sz w:val="24"/>
          <w:szCs w:val="24"/>
          <w:highlight w:val="none"/>
          <w:lang w:eastAsia="zh-CN"/>
        </w:rPr>
      </w:pPr>
      <w:r>
        <w:rPr>
          <w:rFonts w:hint="eastAsia" w:ascii="宋体" w:hAnsi="宋体" w:eastAsia="宋体" w:cs="Times New Roman"/>
          <w:color w:val="000000"/>
          <w:kern w:val="0"/>
          <w:sz w:val="24"/>
          <w:szCs w:val="24"/>
          <w:highlight w:val="none"/>
        </w:rPr>
        <w:t>（二）</w:t>
      </w:r>
      <w:r>
        <w:rPr>
          <w:rFonts w:hint="eastAsia" w:ascii="宋体" w:hAnsi="宋体" w:eastAsia="宋体" w:cs="Times New Roman"/>
          <w:color w:val="000000"/>
          <w:kern w:val="0"/>
          <w:sz w:val="24"/>
          <w:szCs w:val="24"/>
          <w:highlight w:val="none"/>
          <w:lang w:eastAsia="zh-CN"/>
        </w:rPr>
        <w:t>中选人</w:t>
      </w:r>
      <w:r>
        <w:rPr>
          <w:rFonts w:hint="eastAsia" w:ascii="宋体" w:hAnsi="宋体" w:eastAsia="宋体" w:cs="Times New Roman"/>
          <w:color w:val="000000"/>
          <w:kern w:val="0"/>
          <w:sz w:val="24"/>
          <w:szCs w:val="24"/>
          <w:highlight w:val="none"/>
        </w:rPr>
        <w:t>的</w:t>
      </w:r>
      <w:r>
        <w:rPr>
          <w:rFonts w:hint="eastAsia" w:ascii="宋体" w:hAnsi="宋体" w:eastAsia="宋体" w:cs="Times New Roman"/>
          <w:color w:val="000000"/>
          <w:kern w:val="0"/>
          <w:sz w:val="24"/>
          <w:szCs w:val="24"/>
          <w:highlight w:val="none"/>
          <w:lang w:eastAsia="zh-CN"/>
        </w:rPr>
        <w:t>放弃处罚说明</w:t>
      </w:r>
    </w:p>
    <w:p w14:paraId="7A8E3D6F">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lang w:eastAsia="zh-CN"/>
        </w:rPr>
        <w:t>中选人</w:t>
      </w:r>
      <w:r>
        <w:rPr>
          <w:rFonts w:hint="eastAsia" w:ascii="宋体" w:hAnsi="宋体" w:eastAsia="宋体" w:cs="Times New Roman"/>
          <w:color w:val="000000"/>
          <w:kern w:val="0"/>
          <w:sz w:val="24"/>
          <w:szCs w:val="24"/>
          <w:highlight w:val="none"/>
        </w:rPr>
        <w:t>无充分理由放弃成交的，</w:t>
      </w:r>
      <w:r>
        <w:rPr>
          <w:rFonts w:hint="eastAsia" w:ascii="宋体" w:hAnsi="宋体" w:eastAsia="宋体" w:cs="Times New Roman"/>
          <w:color w:val="000000"/>
          <w:kern w:val="0"/>
          <w:sz w:val="24"/>
          <w:szCs w:val="24"/>
          <w:highlight w:val="none"/>
          <w:lang w:eastAsia="zh-CN"/>
        </w:rPr>
        <w:t>竞选组织人</w:t>
      </w:r>
      <w:r>
        <w:rPr>
          <w:rFonts w:hint="eastAsia" w:ascii="宋体" w:hAnsi="宋体" w:eastAsia="宋体" w:cs="Times New Roman"/>
          <w:color w:val="000000"/>
          <w:kern w:val="0"/>
          <w:sz w:val="24"/>
          <w:szCs w:val="24"/>
          <w:highlight w:val="none"/>
        </w:rPr>
        <w:t>将会同</w:t>
      </w:r>
      <w:r>
        <w:rPr>
          <w:rFonts w:hint="eastAsia" w:ascii="宋体" w:hAnsi="宋体" w:eastAsia="宋体" w:cs="Times New Roman"/>
          <w:color w:val="000000"/>
          <w:kern w:val="0"/>
          <w:sz w:val="24"/>
          <w:szCs w:val="24"/>
          <w:highlight w:val="none"/>
          <w:lang w:eastAsia="zh-CN"/>
        </w:rPr>
        <w:t>竞选</w:t>
      </w:r>
      <w:r>
        <w:rPr>
          <w:rFonts w:hint="eastAsia" w:ascii="宋体" w:hAnsi="宋体" w:eastAsia="宋体" w:cs="Times New Roman"/>
          <w:color w:val="000000"/>
          <w:kern w:val="0"/>
          <w:sz w:val="24"/>
          <w:szCs w:val="24"/>
          <w:highlight w:val="none"/>
        </w:rPr>
        <w:t>代理机构把相关情况报财政部门</w:t>
      </w:r>
      <w:r>
        <w:rPr>
          <w:rFonts w:hint="eastAsia" w:ascii="宋体" w:hAnsi="宋体" w:eastAsia="宋体" w:cs="Times New Roman"/>
          <w:color w:val="000000"/>
          <w:kern w:val="0"/>
          <w:sz w:val="24"/>
          <w:szCs w:val="24"/>
          <w:highlight w:val="none"/>
          <w:lang w:eastAsia="zh-CN"/>
        </w:rPr>
        <w:t>、市场监管部门</w:t>
      </w:r>
      <w:r>
        <w:rPr>
          <w:rFonts w:hint="eastAsia" w:ascii="宋体" w:hAnsi="宋体" w:eastAsia="宋体" w:cs="Times New Roman"/>
          <w:color w:val="000000"/>
          <w:kern w:val="0"/>
          <w:sz w:val="24"/>
          <w:szCs w:val="24"/>
          <w:highlight w:val="none"/>
        </w:rPr>
        <w:t>，财政部门</w:t>
      </w:r>
      <w:r>
        <w:rPr>
          <w:rFonts w:hint="eastAsia" w:ascii="宋体" w:hAnsi="宋体" w:eastAsia="宋体" w:cs="Times New Roman"/>
          <w:color w:val="000000"/>
          <w:kern w:val="0"/>
          <w:sz w:val="24"/>
          <w:szCs w:val="24"/>
          <w:highlight w:val="none"/>
          <w:lang w:eastAsia="zh-CN"/>
        </w:rPr>
        <w:t>、市场监管部门</w:t>
      </w:r>
      <w:r>
        <w:rPr>
          <w:rFonts w:hint="eastAsia" w:ascii="宋体" w:hAnsi="宋体" w:eastAsia="宋体" w:cs="Times New Roman"/>
          <w:color w:val="000000"/>
          <w:kern w:val="0"/>
          <w:sz w:val="24"/>
          <w:szCs w:val="24"/>
          <w:highlight w:val="none"/>
        </w:rPr>
        <w:t>将根据相关法律法规的规定对违规</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进行处罚。</w:t>
      </w:r>
    </w:p>
    <w:p w14:paraId="1256F845">
      <w:pPr>
        <w:pStyle w:val="5"/>
        <w:spacing w:line="400" w:lineRule="exact"/>
        <w:ind w:firstLine="482" w:firstLineChars="200"/>
        <w:rPr>
          <w:rFonts w:hint="eastAsia" w:ascii="宋体" w:hAnsi="宋体" w:eastAsia="宋体" w:cs="Times New Roman"/>
          <w:b/>
          <w:color w:val="000000"/>
          <w:sz w:val="24"/>
          <w:highlight w:val="none"/>
          <w:lang w:eastAsia="zh-CN"/>
        </w:rPr>
      </w:pPr>
      <w:bookmarkStart w:id="77" w:name="_Toc8238"/>
      <w:bookmarkStart w:id="78" w:name="_Toc3612"/>
      <w:r>
        <w:rPr>
          <w:rFonts w:hint="eastAsia" w:ascii="宋体" w:hAnsi="宋体" w:eastAsia="宋体" w:cs="Times New Roman"/>
          <w:b/>
          <w:color w:val="000000"/>
          <w:sz w:val="24"/>
          <w:highlight w:val="none"/>
          <w:lang w:eastAsia="zh-CN"/>
        </w:rPr>
        <w:t>六、</w:t>
      </w:r>
      <w:bookmarkEnd w:id="77"/>
      <w:bookmarkStart w:id="79" w:name="_Toc102227321"/>
      <w:bookmarkStart w:id="80" w:name="_Toc342913395"/>
      <w:bookmarkStart w:id="81" w:name="_Toc18679"/>
      <w:r>
        <w:rPr>
          <w:rFonts w:hint="eastAsia" w:ascii="宋体" w:hAnsi="宋体" w:eastAsia="宋体" w:cs="Times New Roman"/>
          <w:b/>
          <w:color w:val="000000"/>
          <w:sz w:val="24"/>
          <w:highlight w:val="none"/>
          <w:lang w:eastAsia="zh-CN"/>
        </w:rPr>
        <w:t>中选通知</w:t>
      </w:r>
      <w:bookmarkEnd w:id="78"/>
      <w:bookmarkEnd w:id="79"/>
      <w:bookmarkEnd w:id="80"/>
      <w:bookmarkEnd w:id="81"/>
    </w:p>
    <w:p w14:paraId="4E2711F1">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（一）</w:t>
      </w:r>
      <w:r>
        <w:rPr>
          <w:rFonts w:hint="eastAsia" w:ascii="宋体" w:hAnsi="宋体" w:eastAsia="宋体" w:cs="Times New Roman"/>
          <w:color w:val="000000"/>
          <w:kern w:val="0"/>
          <w:sz w:val="24"/>
          <w:szCs w:val="24"/>
          <w:highlight w:val="none"/>
          <w:lang w:eastAsia="zh-CN"/>
        </w:rPr>
        <w:t>竞选组织人</w:t>
      </w:r>
      <w:r>
        <w:rPr>
          <w:rFonts w:hint="eastAsia" w:ascii="宋体" w:hAnsi="宋体" w:eastAsia="宋体" w:cs="Times New Roman"/>
          <w:color w:val="000000"/>
          <w:kern w:val="0"/>
          <w:sz w:val="24"/>
          <w:szCs w:val="24"/>
          <w:highlight w:val="none"/>
        </w:rPr>
        <w:t>依法确定</w:t>
      </w:r>
      <w:r>
        <w:rPr>
          <w:rFonts w:hint="eastAsia" w:ascii="宋体" w:hAnsi="宋体" w:eastAsia="宋体" w:cs="Times New Roman"/>
          <w:color w:val="000000"/>
          <w:kern w:val="0"/>
          <w:sz w:val="24"/>
          <w:szCs w:val="24"/>
          <w:highlight w:val="none"/>
          <w:lang w:eastAsia="zh-CN"/>
        </w:rPr>
        <w:t>中选人</w:t>
      </w:r>
      <w:r>
        <w:rPr>
          <w:rFonts w:hint="eastAsia" w:ascii="宋体" w:hAnsi="宋体" w:eastAsia="宋体" w:cs="Times New Roman"/>
          <w:color w:val="000000"/>
          <w:kern w:val="0"/>
          <w:sz w:val="24"/>
          <w:szCs w:val="24"/>
          <w:highlight w:val="none"/>
        </w:rPr>
        <w:t>后，</w:t>
      </w:r>
      <w:r>
        <w:rPr>
          <w:rFonts w:hint="eastAsia" w:ascii="宋体" w:hAnsi="宋体" w:eastAsia="宋体" w:cs="Times New Roman"/>
          <w:color w:val="000000"/>
          <w:kern w:val="0"/>
          <w:sz w:val="24"/>
          <w:szCs w:val="24"/>
          <w:highlight w:val="none"/>
          <w:lang w:eastAsia="zh-CN"/>
        </w:rPr>
        <w:t>竞选</w:t>
      </w:r>
      <w:r>
        <w:rPr>
          <w:rFonts w:hint="eastAsia" w:ascii="宋体" w:hAnsi="宋体" w:eastAsia="宋体" w:cs="Times New Roman"/>
          <w:color w:val="000000"/>
          <w:kern w:val="0"/>
          <w:sz w:val="24"/>
          <w:szCs w:val="24"/>
          <w:highlight w:val="none"/>
        </w:rPr>
        <w:t>代理机构以书面形式发出</w:t>
      </w:r>
      <w:r>
        <w:rPr>
          <w:rFonts w:hint="eastAsia" w:ascii="宋体" w:hAnsi="宋体" w:eastAsia="宋体" w:cs="Times New Roman"/>
          <w:color w:val="000000"/>
          <w:kern w:val="0"/>
          <w:sz w:val="24"/>
          <w:szCs w:val="24"/>
          <w:highlight w:val="none"/>
          <w:lang w:eastAsia="zh-CN"/>
        </w:rPr>
        <w:t>中选</w:t>
      </w:r>
      <w:r>
        <w:rPr>
          <w:rFonts w:hint="eastAsia" w:ascii="宋体" w:hAnsi="宋体" w:eastAsia="宋体" w:cs="Times New Roman"/>
          <w:color w:val="000000"/>
          <w:kern w:val="0"/>
          <w:sz w:val="24"/>
          <w:szCs w:val="24"/>
          <w:highlight w:val="none"/>
        </w:rPr>
        <w:t>通知书。</w:t>
      </w:r>
    </w:p>
    <w:p w14:paraId="1171548C">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（二）</w:t>
      </w:r>
      <w:r>
        <w:rPr>
          <w:rFonts w:hint="eastAsia" w:ascii="宋体" w:hAnsi="宋体" w:eastAsia="宋体" w:cs="Times New Roman"/>
          <w:color w:val="000000"/>
          <w:kern w:val="0"/>
          <w:sz w:val="24"/>
          <w:szCs w:val="24"/>
          <w:highlight w:val="none"/>
          <w:lang w:eastAsia="zh-CN"/>
        </w:rPr>
        <w:t>中选</w:t>
      </w:r>
      <w:r>
        <w:rPr>
          <w:rFonts w:hint="eastAsia" w:ascii="宋体" w:hAnsi="宋体" w:eastAsia="宋体" w:cs="Times New Roman"/>
          <w:color w:val="000000"/>
          <w:kern w:val="0"/>
          <w:sz w:val="24"/>
          <w:szCs w:val="24"/>
          <w:highlight w:val="none"/>
        </w:rPr>
        <w:t>通知书发出后，</w:t>
      </w:r>
      <w:r>
        <w:rPr>
          <w:rFonts w:hint="eastAsia" w:ascii="宋体" w:hAnsi="宋体" w:eastAsia="宋体" w:cs="Times New Roman"/>
          <w:color w:val="000000"/>
          <w:kern w:val="0"/>
          <w:sz w:val="24"/>
          <w:szCs w:val="24"/>
          <w:highlight w:val="none"/>
          <w:lang w:eastAsia="zh-CN"/>
        </w:rPr>
        <w:t>竞选组织人</w:t>
      </w:r>
      <w:r>
        <w:rPr>
          <w:rFonts w:hint="eastAsia" w:ascii="宋体" w:hAnsi="宋体" w:eastAsia="宋体" w:cs="Times New Roman"/>
          <w:color w:val="000000"/>
          <w:kern w:val="0"/>
          <w:sz w:val="24"/>
          <w:szCs w:val="24"/>
          <w:highlight w:val="none"/>
        </w:rPr>
        <w:t>改变</w:t>
      </w:r>
      <w:r>
        <w:rPr>
          <w:rFonts w:hint="eastAsia" w:ascii="宋体" w:hAnsi="宋体" w:eastAsia="宋体" w:cs="Times New Roman"/>
          <w:color w:val="000000"/>
          <w:kern w:val="0"/>
          <w:sz w:val="24"/>
          <w:szCs w:val="24"/>
          <w:highlight w:val="none"/>
          <w:lang w:eastAsia="zh-CN"/>
        </w:rPr>
        <w:t>中选</w:t>
      </w:r>
      <w:r>
        <w:rPr>
          <w:rFonts w:hint="eastAsia" w:ascii="宋体" w:hAnsi="宋体" w:eastAsia="宋体" w:cs="Times New Roman"/>
          <w:color w:val="000000"/>
          <w:kern w:val="0"/>
          <w:sz w:val="24"/>
          <w:szCs w:val="24"/>
          <w:highlight w:val="none"/>
        </w:rPr>
        <w:t>结果，或者</w:t>
      </w:r>
      <w:r>
        <w:rPr>
          <w:rFonts w:hint="eastAsia" w:ascii="宋体" w:hAnsi="宋体" w:eastAsia="宋体" w:cs="Times New Roman"/>
          <w:color w:val="000000"/>
          <w:kern w:val="0"/>
          <w:sz w:val="24"/>
          <w:szCs w:val="24"/>
          <w:highlight w:val="none"/>
          <w:lang w:eastAsia="zh-CN"/>
        </w:rPr>
        <w:t>中选人</w:t>
      </w:r>
      <w:r>
        <w:rPr>
          <w:rFonts w:hint="eastAsia" w:ascii="宋体" w:hAnsi="宋体" w:eastAsia="宋体" w:cs="Times New Roman"/>
          <w:color w:val="000000"/>
          <w:kern w:val="0"/>
          <w:sz w:val="24"/>
          <w:szCs w:val="24"/>
          <w:highlight w:val="none"/>
        </w:rPr>
        <w:t>放弃成交，应当承担相应的法律责任。</w:t>
      </w:r>
    </w:p>
    <w:p w14:paraId="3FA9545F">
      <w:pPr>
        <w:pStyle w:val="5"/>
        <w:spacing w:line="400" w:lineRule="exact"/>
        <w:ind w:firstLine="482" w:firstLineChars="200"/>
        <w:rPr>
          <w:rFonts w:hint="eastAsia" w:ascii="宋体" w:hAnsi="宋体" w:eastAsia="宋体" w:cs="Times New Roman"/>
          <w:b/>
          <w:color w:val="000000"/>
          <w:sz w:val="24"/>
          <w:highlight w:val="none"/>
          <w:lang w:eastAsia="zh-CN"/>
        </w:rPr>
      </w:pPr>
      <w:bookmarkStart w:id="82" w:name="_Toc26387"/>
      <w:bookmarkStart w:id="83" w:name="_Toc26301"/>
      <w:r>
        <w:rPr>
          <w:rFonts w:hint="eastAsia" w:ascii="宋体" w:hAnsi="宋体" w:eastAsia="宋体" w:cs="Times New Roman"/>
          <w:b/>
          <w:color w:val="000000"/>
          <w:sz w:val="24"/>
          <w:highlight w:val="none"/>
          <w:lang w:eastAsia="zh-CN"/>
        </w:rPr>
        <w:t>七、关于质疑和投诉</w:t>
      </w:r>
      <w:bookmarkEnd w:id="82"/>
      <w:bookmarkEnd w:id="83"/>
    </w:p>
    <w:p w14:paraId="2A8F24D3">
      <w:pPr>
        <w:snapToGrid w:val="0"/>
        <w:spacing w:line="400" w:lineRule="exact"/>
        <w:ind w:firstLine="480"/>
        <w:rPr>
          <w:rFonts w:hint="eastAsia" w:ascii="宋体" w:hAnsi="宋体" w:eastAsia="宋体" w:cs="Times New Roman"/>
          <w:color w:val="000000"/>
          <w:kern w:val="0"/>
          <w:sz w:val="24"/>
          <w:szCs w:val="24"/>
          <w:highlight w:val="none"/>
        </w:rPr>
      </w:pPr>
      <w:bookmarkStart w:id="84" w:name="_Toc102227322"/>
      <w:bookmarkStart w:id="85" w:name="_Toc342913396"/>
      <w:r>
        <w:rPr>
          <w:rFonts w:hint="eastAsia" w:ascii="宋体" w:hAnsi="宋体" w:eastAsia="宋体" w:cs="Times New Roman"/>
          <w:color w:val="000000"/>
          <w:kern w:val="0"/>
          <w:sz w:val="24"/>
          <w:szCs w:val="24"/>
          <w:highlight w:val="none"/>
          <w:lang w:eastAsia="zh-CN"/>
        </w:rPr>
        <w:t>（</w:t>
      </w:r>
      <w:r>
        <w:rPr>
          <w:rFonts w:hint="eastAsia" w:ascii="宋体" w:hAnsi="宋体" w:eastAsia="宋体" w:cs="Times New Roman"/>
          <w:color w:val="000000"/>
          <w:kern w:val="0"/>
          <w:sz w:val="24"/>
          <w:szCs w:val="24"/>
          <w:highlight w:val="none"/>
          <w:lang w:val="en-US" w:eastAsia="zh-CN"/>
        </w:rPr>
        <w:t>一</w:t>
      </w:r>
      <w:r>
        <w:rPr>
          <w:rFonts w:hint="eastAsia" w:ascii="宋体" w:hAnsi="宋体" w:eastAsia="宋体" w:cs="Times New Roman"/>
          <w:color w:val="000000"/>
          <w:kern w:val="0"/>
          <w:sz w:val="24"/>
          <w:szCs w:val="24"/>
          <w:highlight w:val="none"/>
          <w:lang w:eastAsia="zh-CN"/>
        </w:rPr>
        <w:t>）竞选组织人</w:t>
      </w:r>
      <w:r>
        <w:rPr>
          <w:rFonts w:hint="eastAsia" w:ascii="宋体" w:hAnsi="宋体" w:eastAsia="宋体" w:cs="Times New Roman"/>
          <w:color w:val="000000"/>
          <w:kern w:val="0"/>
          <w:sz w:val="24"/>
          <w:szCs w:val="24"/>
          <w:highlight w:val="none"/>
        </w:rPr>
        <w:t>或者</w:t>
      </w:r>
      <w:r>
        <w:rPr>
          <w:rFonts w:hint="eastAsia" w:ascii="宋体" w:hAnsi="宋体" w:eastAsia="宋体" w:cs="Times New Roman"/>
          <w:color w:val="000000"/>
          <w:kern w:val="0"/>
          <w:sz w:val="24"/>
          <w:szCs w:val="24"/>
          <w:highlight w:val="none"/>
          <w:lang w:eastAsia="zh-CN"/>
        </w:rPr>
        <w:t>竞选</w:t>
      </w:r>
      <w:r>
        <w:rPr>
          <w:rFonts w:hint="eastAsia" w:ascii="宋体" w:hAnsi="宋体" w:eastAsia="宋体" w:cs="Times New Roman"/>
          <w:color w:val="000000"/>
          <w:kern w:val="0"/>
          <w:sz w:val="24"/>
          <w:szCs w:val="24"/>
          <w:highlight w:val="none"/>
        </w:rPr>
        <w:t>代理机构应当在3个工作日内对</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依法提出的询问作出答复</w:t>
      </w:r>
      <w:r>
        <w:rPr>
          <w:rFonts w:hint="eastAsia" w:ascii="宋体" w:hAnsi="宋体" w:cs="Times New Roman"/>
          <w:color w:val="000000"/>
          <w:kern w:val="0"/>
          <w:sz w:val="24"/>
          <w:szCs w:val="24"/>
          <w:highlight w:val="none"/>
          <w:lang w:eastAsia="zh-CN"/>
        </w:rPr>
        <w:t>，</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询问</w:t>
      </w:r>
      <w:r>
        <w:rPr>
          <w:rFonts w:hint="eastAsia" w:ascii="宋体" w:hAnsi="宋体" w:cs="Times New Roman"/>
          <w:color w:val="000000"/>
          <w:kern w:val="0"/>
          <w:sz w:val="24"/>
          <w:szCs w:val="24"/>
          <w:highlight w:val="none"/>
          <w:lang w:eastAsia="zh-CN"/>
        </w:rPr>
        <w:t>应</w:t>
      </w:r>
      <w:r>
        <w:rPr>
          <w:rFonts w:hint="eastAsia" w:ascii="宋体" w:hAnsi="宋体" w:eastAsia="宋体" w:cs="Times New Roman"/>
          <w:color w:val="000000"/>
          <w:kern w:val="0"/>
          <w:sz w:val="24"/>
          <w:szCs w:val="24"/>
          <w:highlight w:val="none"/>
        </w:rPr>
        <w:t>是书面形式。</w:t>
      </w:r>
    </w:p>
    <w:p w14:paraId="55F2B39D">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（二）质疑</w:t>
      </w:r>
    </w:p>
    <w:p w14:paraId="7B41DA01">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sz w:val="24"/>
          <w:highlight w:val="none"/>
          <w:lang w:eastAsia="zh-CN"/>
        </w:rPr>
        <w:t>按照</w:t>
      </w:r>
      <w:r>
        <w:rPr>
          <w:rFonts w:hint="eastAsia" w:ascii="宋体" w:hAnsi="宋体" w:cs="Times New Roman"/>
          <w:color w:val="000000"/>
          <w:sz w:val="24"/>
          <w:highlight w:val="none"/>
          <w:lang w:eastAsia="zh-CN"/>
        </w:rPr>
        <w:t>《</w:t>
      </w:r>
      <w:r>
        <w:rPr>
          <w:rFonts w:hint="eastAsia" w:ascii="宋体" w:hAnsi="宋体" w:eastAsia="宋体" w:cs="Times New Roman"/>
          <w:color w:val="000000"/>
          <w:sz w:val="24"/>
          <w:highlight w:val="none"/>
          <w:lang w:eastAsia="zh-CN"/>
        </w:rPr>
        <w:t>中华人民共和国固体废物污染环境防治法》《城市生活垃圾管理办法》《重庆市生活垃圾管理条例》《重庆市市容环境卫生管理条例》等相关法律法规</w:t>
      </w:r>
      <w:r>
        <w:rPr>
          <w:rFonts w:hint="eastAsia" w:ascii="宋体" w:hAnsi="宋体" w:eastAsia="宋体" w:cs="Times New Roman"/>
          <w:color w:val="000000"/>
          <w:kern w:val="0"/>
          <w:sz w:val="24"/>
          <w:szCs w:val="24"/>
          <w:highlight w:val="none"/>
        </w:rPr>
        <w:t>。</w:t>
      </w:r>
      <w:r>
        <w:rPr>
          <w:rFonts w:hint="eastAsia" w:ascii="宋体" w:hAnsi="宋体" w:eastAsia="宋体" w:cs="Times New Roman"/>
          <w:color w:val="000000"/>
          <w:kern w:val="0"/>
          <w:sz w:val="24"/>
          <w:szCs w:val="24"/>
          <w:highlight w:val="none"/>
          <w:lang w:eastAsia="zh-CN"/>
        </w:rPr>
        <w:t>竞选人</w:t>
      </w:r>
      <w:r>
        <w:rPr>
          <w:rFonts w:hint="eastAsia" w:ascii="宋体" w:hAnsi="宋体" w:eastAsia="宋体" w:cs="Times New Roman"/>
          <w:color w:val="000000"/>
          <w:kern w:val="0"/>
          <w:sz w:val="24"/>
          <w:szCs w:val="24"/>
          <w:highlight w:val="none"/>
        </w:rPr>
        <w:t>必须一次性提出针对</w:t>
      </w:r>
      <w:r>
        <w:rPr>
          <w:rFonts w:hint="eastAsia" w:ascii="宋体" w:hAnsi="宋体" w:cs="Times New Roman"/>
          <w:color w:val="000000"/>
          <w:kern w:val="0"/>
          <w:sz w:val="24"/>
          <w:szCs w:val="24"/>
          <w:highlight w:val="none"/>
          <w:lang w:eastAsia="zh-CN"/>
        </w:rPr>
        <w:t>本</w:t>
      </w:r>
      <w:r>
        <w:rPr>
          <w:rFonts w:hint="eastAsia" w:ascii="宋体" w:hAnsi="宋体" w:eastAsia="宋体" w:cs="Times New Roman"/>
          <w:color w:val="000000"/>
          <w:kern w:val="0"/>
          <w:sz w:val="24"/>
          <w:szCs w:val="24"/>
          <w:highlight w:val="none"/>
          <w:lang w:eastAsia="zh-CN"/>
        </w:rPr>
        <w:t>竞选</w:t>
      </w:r>
      <w:r>
        <w:rPr>
          <w:rFonts w:hint="eastAsia" w:ascii="宋体" w:hAnsi="宋体" w:cs="Times New Roman"/>
          <w:color w:val="000000"/>
          <w:kern w:val="0"/>
          <w:sz w:val="24"/>
          <w:szCs w:val="24"/>
          <w:highlight w:val="none"/>
          <w:lang w:eastAsia="zh-CN"/>
        </w:rPr>
        <w:t>文件</w:t>
      </w:r>
      <w:r>
        <w:rPr>
          <w:rFonts w:hint="eastAsia" w:ascii="宋体" w:hAnsi="宋体" w:eastAsia="宋体" w:cs="Times New Roman"/>
          <w:color w:val="000000"/>
          <w:kern w:val="0"/>
          <w:sz w:val="24"/>
          <w:szCs w:val="24"/>
          <w:highlight w:val="none"/>
        </w:rPr>
        <w:t>的质疑。</w:t>
      </w:r>
    </w:p>
    <w:p w14:paraId="7CA8CFA9">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kern w:val="0"/>
          <w:sz w:val="24"/>
          <w:szCs w:val="24"/>
          <w:highlight w:val="none"/>
        </w:rPr>
        <w:t>（三）投诉</w:t>
      </w:r>
    </w:p>
    <w:p w14:paraId="51DECB22">
      <w:pPr>
        <w:snapToGrid w:val="0"/>
        <w:spacing w:line="400" w:lineRule="exact"/>
        <w:ind w:firstLine="480"/>
        <w:rPr>
          <w:rFonts w:hint="eastAsia" w:ascii="宋体" w:hAnsi="宋体" w:eastAsia="宋体" w:cs="Times New Roman"/>
          <w:color w:val="000000"/>
          <w:kern w:val="0"/>
          <w:sz w:val="24"/>
          <w:szCs w:val="24"/>
          <w:highlight w:val="none"/>
        </w:rPr>
      </w:pPr>
      <w:r>
        <w:rPr>
          <w:rFonts w:hint="eastAsia" w:ascii="宋体" w:hAnsi="宋体" w:eastAsia="宋体" w:cs="Times New Roman"/>
          <w:color w:val="000000"/>
          <w:sz w:val="24"/>
          <w:highlight w:val="none"/>
          <w:lang w:eastAsia="zh-CN"/>
        </w:rPr>
        <w:t>按照相关法律法规执行。</w:t>
      </w:r>
    </w:p>
    <w:p w14:paraId="41E35FF0">
      <w:pPr>
        <w:pStyle w:val="5"/>
        <w:spacing w:line="400" w:lineRule="exact"/>
        <w:ind w:firstLine="482" w:firstLineChars="200"/>
        <w:rPr>
          <w:rFonts w:hint="eastAsia" w:ascii="宋体" w:hAnsi="宋体" w:eastAsia="宋体" w:cs="Times New Roman"/>
          <w:b/>
          <w:color w:val="000000"/>
          <w:sz w:val="24"/>
          <w:highlight w:val="none"/>
          <w:lang w:eastAsia="zh-CN"/>
        </w:rPr>
      </w:pPr>
      <w:bookmarkStart w:id="86" w:name="_Toc11768"/>
      <w:bookmarkStart w:id="87" w:name="_Toc12986"/>
      <w:r>
        <w:rPr>
          <w:rFonts w:hint="eastAsia" w:ascii="宋体" w:hAnsi="宋体" w:eastAsia="宋体" w:cs="Times New Roman"/>
          <w:b/>
          <w:color w:val="000000"/>
          <w:sz w:val="24"/>
          <w:highlight w:val="none"/>
          <w:lang w:eastAsia="zh-CN"/>
        </w:rPr>
        <w:t>八、签订</w:t>
      </w:r>
      <w:bookmarkEnd w:id="84"/>
      <w:bookmarkEnd w:id="85"/>
      <w:bookmarkEnd w:id="86"/>
      <w:bookmarkEnd w:id="87"/>
      <w:r>
        <w:rPr>
          <w:rFonts w:hint="eastAsia" w:eastAsia="宋体" w:cs="Times New Roman"/>
          <w:b/>
          <w:color w:val="000000"/>
          <w:sz w:val="24"/>
          <w:highlight w:val="none"/>
          <w:lang w:eastAsia="zh-CN"/>
        </w:rPr>
        <w:t xml:space="preserve">协议 </w:t>
      </w:r>
    </w:p>
    <w:p w14:paraId="3D0FC3AD">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highlight w:val="none"/>
        </w:rPr>
        <w:t>（一）</w:t>
      </w:r>
      <w:r>
        <w:rPr>
          <w:rFonts w:hint="eastAsia" w:ascii="宋体" w:hAnsi="宋体" w:eastAsia="宋体" w:cs="Times New Roman"/>
          <w:color w:val="000000"/>
          <w:kern w:val="0"/>
          <w:sz w:val="24"/>
          <w:szCs w:val="24"/>
          <w:highlight w:val="none"/>
          <w:lang w:eastAsia="zh-CN"/>
        </w:rPr>
        <w:t>竞选组织人</w:t>
      </w:r>
      <w:r>
        <w:rPr>
          <w:rFonts w:hint="eastAsia" w:ascii="宋体" w:hAnsi="宋体" w:eastAsia="宋体" w:cs="Times New Roman"/>
          <w:color w:val="000000"/>
          <w:kern w:val="0"/>
          <w:sz w:val="24"/>
          <w:szCs w:val="24"/>
          <w:highlight w:val="none"/>
        </w:rPr>
        <w:t>应当自</w:t>
      </w:r>
      <w:r>
        <w:rPr>
          <w:rFonts w:hint="eastAsia" w:ascii="宋体" w:hAnsi="宋体" w:eastAsia="宋体" w:cs="Times New Roman"/>
          <w:color w:val="000000"/>
          <w:kern w:val="0"/>
          <w:sz w:val="24"/>
          <w:szCs w:val="24"/>
          <w:highlight w:val="none"/>
          <w:lang w:eastAsia="zh-CN"/>
        </w:rPr>
        <w:t>中选</w:t>
      </w:r>
      <w:r>
        <w:rPr>
          <w:rFonts w:hint="eastAsia" w:ascii="宋体" w:hAnsi="宋体" w:eastAsia="宋体" w:cs="Times New Roman"/>
          <w:color w:val="000000"/>
          <w:kern w:val="0"/>
          <w:sz w:val="24"/>
          <w:szCs w:val="24"/>
          <w:highlight w:val="none"/>
        </w:rPr>
        <w:t>通知书发出之日起</w:t>
      </w:r>
      <w:r>
        <w:rPr>
          <w:rFonts w:hint="eastAsia" w:ascii="宋体" w:hAnsi="宋体"/>
          <w:bCs/>
          <w:color w:val="000000"/>
          <w:sz w:val="24"/>
          <w:szCs w:val="24"/>
          <w:highlight w:val="none"/>
        </w:rPr>
        <w:t>20个日历日</w:t>
      </w:r>
      <w:r>
        <w:rPr>
          <w:rFonts w:hint="eastAsia" w:ascii="宋体" w:hAnsi="宋体" w:eastAsia="宋体" w:cs="Times New Roman"/>
          <w:color w:val="000000"/>
          <w:kern w:val="0"/>
          <w:sz w:val="24"/>
          <w:szCs w:val="24"/>
          <w:highlight w:val="none"/>
        </w:rPr>
        <w:t>内，按照</w:t>
      </w:r>
      <w:r>
        <w:rPr>
          <w:rFonts w:hint="eastAsia" w:ascii="宋体" w:hAnsi="宋体" w:eastAsia="宋体" w:cs="Times New Roman"/>
          <w:color w:val="000000"/>
          <w:kern w:val="0"/>
          <w:sz w:val="24"/>
          <w:szCs w:val="24"/>
          <w:highlight w:val="none"/>
          <w:lang w:eastAsia="zh-CN"/>
        </w:rPr>
        <w:t>竞选</w:t>
      </w:r>
      <w:r>
        <w:rPr>
          <w:rFonts w:hint="eastAsia" w:ascii="宋体" w:hAnsi="宋体" w:eastAsia="宋体" w:cs="Times New Roman"/>
          <w:color w:val="000000"/>
          <w:kern w:val="0"/>
          <w:sz w:val="24"/>
          <w:szCs w:val="24"/>
          <w:highlight w:val="none"/>
        </w:rPr>
        <w:t>文件和</w:t>
      </w:r>
      <w:r>
        <w:rPr>
          <w:rFonts w:hint="eastAsia" w:ascii="宋体" w:hAnsi="宋体" w:eastAsia="宋体" w:cs="Times New Roman"/>
          <w:color w:val="000000"/>
          <w:kern w:val="0"/>
          <w:sz w:val="24"/>
          <w:szCs w:val="24"/>
          <w:highlight w:val="none"/>
          <w:lang w:eastAsia="zh-CN"/>
        </w:rPr>
        <w:t>中选人</w:t>
      </w:r>
      <w:r>
        <w:rPr>
          <w:rFonts w:hint="eastAsia" w:ascii="宋体" w:hAnsi="宋体" w:eastAsia="宋体" w:cs="Times New Roman"/>
          <w:color w:val="000000"/>
          <w:kern w:val="0"/>
          <w:sz w:val="24"/>
          <w:szCs w:val="24"/>
          <w:highlight w:val="none"/>
        </w:rPr>
        <w:t>响应文件</w:t>
      </w:r>
      <w:r>
        <w:rPr>
          <w:rFonts w:hint="eastAsia" w:ascii="宋体" w:hAnsi="宋体" w:eastAsia="宋体" w:cs="Times New Roman"/>
          <w:color w:val="000000"/>
          <w:kern w:val="0"/>
          <w:sz w:val="24"/>
          <w:szCs w:val="24"/>
        </w:rPr>
        <w:t>的约定，与</w:t>
      </w:r>
      <w:r>
        <w:rPr>
          <w:rFonts w:hint="eastAsia" w:ascii="宋体" w:hAnsi="宋体" w:eastAsia="宋体" w:cs="Times New Roman"/>
          <w:color w:val="000000"/>
          <w:kern w:val="0"/>
          <w:sz w:val="24"/>
          <w:szCs w:val="24"/>
          <w:lang w:eastAsia="zh-CN"/>
        </w:rPr>
        <w:t>中选人</w:t>
      </w:r>
      <w:r>
        <w:rPr>
          <w:rFonts w:hint="eastAsia" w:ascii="宋体" w:hAnsi="宋体" w:eastAsia="宋体" w:cs="Times New Roman"/>
          <w:color w:val="000000"/>
          <w:kern w:val="0"/>
          <w:sz w:val="24"/>
          <w:szCs w:val="24"/>
        </w:rPr>
        <w:t>签订书面</w:t>
      </w:r>
      <w:r>
        <w:rPr>
          <w:rFonts w:hint="eastAsia" w:ascii="宋体" w:hAnsi="宋体" w:eastAsia="宋体" w:cs="Times New Roman"/>
          <w:color w:val="000000"/>
          <w:kern w:val="0"/>
          <w:sz w:val="24"/>
          <w:szCs w:val="24"/>
          <w:lang w:eastAsia="zh-CN"/>
        </w:rPr>
        <w:t>协议，</w:t>
      </w:r>
      <w:r>
        <w:rPr>
          <w:rFonts w:hint="eastAsia" w:ascii="宋体" w:hAnsi="宋体"/>
          <w:bCs/>
          <w:color w:val="000000"/>
          <w:sz w:val="24"/>
          <w:szCs w:val="24"/>
        </w:rPr>
        <w:t>无正当理由不得拒绝或拖延协议签订，协议经双方签章后生效。</w:t>
      </w:r>
      <w:r>
        <w:rPr>
          <w:rFonts w:hint="eastAsia" w:ascii="宋体" w:hAnsi="宋体" w:eastAsia="宋体" w:cs="Times New Roman"/>
          <w:color w:val="000000"/>
          <w:kern w:val="0"/>
          <w:sz w:val="24"/>
          <w:szCs w:val="24"/>
        </w:rPr>
        <w:t>所签订的</w:t>
      </w:r>
      <w:r>
        <w:rPr>
          <w:rFonts w:hint="eastAsia" w:ascii="宋体" w:hAnsi="宋体" w:eastAsia="宋体" w:cs="Times New Roman"/>
          <w:color w:val="000000"/>
          <w:kern w:val="0"/>
          <w:sz w:val="24"/>
          <w:szCs w:val="24"/>
          <w:lang w:eastAsia="zh-CN"/>
        </w:rPr>
        <w:t>协议</w:t>
      </w:r>
      <w:r>
        <w:rPr>
          <w:rFonts w:hint="eastAsia" w:ascii="宋体" w:hAnsi="宋体" w:eastAsia="宋体" w:cs="Times New Roman"/>
          <w:color w:val="000000"/>
          <w:kern w:val="0"/>
          <w:sz w:val="24"/>
          <w:szCs w:val="24"/>
        </w:rPr>
        <w:t>不得对</w:t>
      </w:r>
      <w:r>
        <w:rPr>
          <w:rFonts w:hint="eastAsia" w:ascii="宋体" w:hAnsi="宋体" w:eastAsia="宋体" w:cs="Times New Roman"/>
          <w:color w:val="000000"/>
          <w:kern w:val="0"/>
          <w:sz w:val="24"/>
          <w:szCs w:val="24"/>
          <w:lang w:eastAsia="zh-CN"/>
        </w:rPr>
        <w:t>竞选</w:t>
      </w:r>
      <w:r>
        <w:rPr>
          <w:rFonts w:hint="eastAsia" w:ascii="宋体" w:hAnsi="宋体" w:eastAsia="宋体" w:cs="Times New Roman"/>
          <w:color w:val="000000"/>
          <w:kern w:val="0"/>
          <w:sz w:val="24"/>
          <w:szCs w:val="24"/>
        </w:rPr>
        <w:t>文件和</w:t>
      </w:r>
      <w:r>
        <w:rPr>
          <w:rFonts w:hint="eastAsia" w:ascii="宋体" w:hAnsi="宋体" w:eastAsia="宋体" w:cs="Times New Roman"/>
          <w:color w:val="000000"/>
          <w:kern w:val="0"/>
          <w:sz w:val="24"/>
          <w:szCs w:val="24"/>
          <w:lang w:eastAsia="zh-CN"/>
        </w:rPr>
        <w:t>中选人</w:t>
      </w:r>
      <w:r>
        <w:rPr>
          <w:rFonts w:hint="eastAsia" w:ascii="宋体" w:hAnsi="宋体" w:eastAsia="宋体" w:cs="Times New Roman"/>
          <w:color w:val="000000"/>
          <w:kern w:val="0"/>
          <w:sz w:val="24"/>
          <w:szCs w:val="24"/>
        </w:rPr>
        <w:t>的响应文件作实质性修改。</w:t>
      </w:r>
    </w:p>
    <w:p w14:paraId="2EBC96CF">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（二）</w:t>
      </w:r>
      <w:r>
        <w:rPr>
          <w:rFonts w:hint="eastAsia" w:ascii="宋体" w:hAnsi="宋体" w:eastAsia="宋体" w:cs="Times New Roman"/>
          <w:color w:val="000000"/>
          <w:kern w:val="0"/>
          <w:sz w:val="24"/>
          <w:szCs w:val="24"/>
          <w:lang w:eastAsia="zh-CN"/>
        </w:rPr>
        <w:t>竞选</w:t>
      </w:r>
      <w:r>
        <w:rPr>
          <w:rFonts w:hint="eastAsia" w:ascii="宋体" w:hAnsi="宋体" w:eastAsia="宋体" w:cs="Times New Roman"/>
          <w:color w:val="000000"/>
          <w:kern w:val="0"/>
          <w:sz w:val="24"/>
          <w:szCs w:val="24"/>
        </w:rPr>
        <w:t>文件、</w:t>
      </w:r>
      <w:r>
        <w:rPr>
          <w:rFonts w:hint="eastAsia" w:ascii="宋体" w:hAnsi="宋体" w:eastAsia="宋体" w:cs="Times New Roman"/>
          <w:color w:val="000000"/>
          <w:kern w:val="0"/>
          <w:sz w:val="24"/>
          <w:szCs w:val="24"/>
          <w:lang w:eastAsia="zh-CN"/>
        </w:rPr>
        <w:t>中选人</w:t>
      </w:r>
      <w:r>
        <w:rPr>
          <w:rFonts w:hint="eastAsia" w:ascii="宋体" w:hAnsi="宋体" w:eastAsia="宋体" w:cs="Times New Roman"/>
          <w:color w:val="000000"/>
          <w:kern w:val="0"/>
          <w:sz w:val="24"/>
          <w:szCs w:val="24"/>
        </w:rPr>
        <w:t>的响应文件及澄清文件等，均为签订</w:t>
      </w:r>
      <w:r>
        <w:rPr>
          <w:rFonts w:hint="eastAsia" w:ascii="宋体" w:hAnsi="宋体" w:eastAsia="宋体" w:cs="Times New Roman"/>
          <w:color w:val="000000"/>
          <w:kern w:val="0"/>
          <w:sz w:val="24"/>
          <w:szCs w:val="24"/>
          <w:lang w:eastAsia="zh-CN"/>
        </w:rPr>
        <w:t>协议</w:t>
      </w:r>
      <w:r>
        <w:rPr>
          <w:rFonts w:hint="eastAsia" w:ascii="宋体" w:hAnsi="宋体" w:eastAsia="宋体" w:cs="Times New Roman"/>
          <w:color w:val="000000"/>
          <w:kern w:val="0"/>
          <w:sz w:val="24"/>
          <w:szCs w:val="24"/>
        </w:rPr>
        <w:t>的依据。</w:t>
      </w:r>
    </w:p>
    <w:p w14:paraId="3D3893CD">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w:t>
      </w:r>
      <w:r>
        <w:rPr>
          <w:rFonts w:hint="eastAsia" w:ascii="宋体" w:hAnsi="宋体" w:eastAsia="宋体" w:cs="Times New Roman"/>
          <w:color w:val="000000"/>
          <w:kern w:val="0"/>
          <w:sz w:val="24"/>
          <w:szCs w:val="24"/>
          <w:lang w:eastAsia="zh-CN"/>
        </w:rPr>
        <w:t>三</w:t>
      </w:r>
      <w:r>
        <w:rPr>
          <w:rFonts w:hint="eastAsia" w:ascii="宋体" w:hAnsi="宋体" w:eastAsia="宋体" w:cs="Times New Roman"/>
          <w:color w:val="000000"/>
          <w:kern w:val="0"/>
          <w:sz w:val="24"/>
          <w:szCs w:val="24"/>
        </w:rPr>
        <w:t>）</w:t>
      </w:r>
      <w:r>
        <w:rPr>
          <w:rFonts w:hint="eastAsia" w:ascii="宋体" w:hAnsi="宋体" w:eastAsia="宋体" w:cs="Times New Roman"/>
          <w:color w:val="000000"/>
          <w:kern w:val="0"/>
          <w:sz w:val="24"/>
          <w:szCs w:val="24"/>
          <w:lang w:eastAsia="zh-CN"/>
        </w:rPr>
        <w:t>协议</w:t>
      </w:r>
      <w:r>
        <w:rPr>
          <w:rFonts w:hint="eastAsia" w:ascii="宋体" w:hAnsi="宋体" w:eastAsia="宋体" w:cs="Times New Roman"/>
          <w:color w:val="000000"/>
          <w:kern w:val="0"/>
          <w:sz w:val="24"/>
          <w:szCs w:val="24"/>
        </w:rPr>
        <w:t>生效条款由供需双方约定，法律、行政法规规定应当办理批准、登记等手续后生效的</w:t>
      </w:r>
      <w:r>
        <w:rPr>
          <w:rFonts w:hint="eastAsia" w:ascii="宋体" w:hAnsi="宋体" w:eastAsia="宋体" w:cs="Times New Roman"/>
          <w:color w:val="000000"/>
          <w:kern w:val="0"/>
          <w:sz w:val="24"/>
          <w:szCs w:val="24"/>
          <w:lang w:eastAsia="zh-CN"/>
        </w:rPr>
        <w:t>协议</w:t>
      </w:r>
      <w:r>
        <w:rPr>
          <w:rFonts w:hint="eastAsia" w:ascii="宋体" w:hAnsi="宋体" w:eastAsia="宋体" w:cs="Times New Roman"/>
          <w:color w:val="000000"/>
          <w:kern w:val="0"/>
          <w:sz w:val="24"/>
          <w:szCs w:val="24"/>
        </w:rPr>
        <w:t>，依照其规定。</w:t>
      </w:r>
    </w:p>
    <w:p w14:paraId="6F59EE5C">
      <w:pPr>
        <w:snapToGrid w:val="0"/>
        <w:spacing w:line="400" w:lineRule="exact"/>
        <w:ind w:firstLine="480"/>
        <w:rPr>
          <w:rFonts w:hint="eastAsia" w:ascii="宋体" w:hAnsi="宋体" w:eastAsia="宋体" w:cs="Times New Roman"/>
          <w:color w:val="000000"/>
          <w:kern w:val="0"/>
          <w:sz w:val="24"/>
          <w:szCs w:val="24"/>
        </w:rPr>
      </w:pPr>
      <w:r>
        <w:rPr>
          <w:rFonts w:hint="eastAsia" w:ascii="宋体" w:hAnsi="宋体" w:eastAsia="宋体" w:cs="Times New Roman"/>
          <w:color w:val="000000"/>
          <w:kern w:val="0"/>
          <w:sz w:val="24"/>
          <w:szCs w:val="24"/>
        </w:rPr>
        <w:t>（五）</w:t>
      </w:r>
      <w:r>
        <w:rPr>
          <w:rFonts w:hint="eastAsia" w:ascii="宋体" w:hAnsi="宋体" w:eastAsia="宋体" w:cs="Times New Roman"/>
          <w:color w:val="000000"/>
          <w:kern w:val="0"/>
          <w:sz w:val="24"/>
          <w:szCs w:val="24"/>
          <w:lang w:eastAsia="zh-CN"/>
        </w:rPr>
        <w:t>协议</w:t>
      </w:r>
      <w:r>
        <w:rPr>
          <w:rFonts w:hint="eastAsia" w:ascii="宋体" w:hAnsi="宋体" w:eastAsia="宋体" w:cs="Times New Roman"/>
          <w:color w:val="000000"/>
          <w:kern w:val="0"/>
          <w:sz w:val="24"/>
          <w:szCs w:val="24"/>
        </w:rPr>
        <w:t>原则上应按照《第</w:t>
      </w:r>
      <w:r>
        <w:rPr>
          <w:rFonts w:hint="eastAsia" w:ascii="宋体" w:hAnsi="宋体" w:eastAsia="宋体" w:cs="Times New Roman"/>
          <w:color w:val="000000"/>
          <w:kern w:val="0"/>
          <w:sz w:val="24"/>
          <w:szCs w:val="24"/>
          <w:lang w:eastAsia="zh-CN"/>
        </w:rPr>
        <w:t>六</w:t>
      </w:r>
      <w:r>
        <w:rPr>
          <w:rFonts w:hint="eastAsia" w:ascii="宋体" w:hAnsi="宋体" w:eastAsia="宋体" w:cs="Times New Roman"/>
          <w:color w:val="000000"/>
          <w:kern w:val="0"/>
          <w:sz w:val="24"/>
          <w:szCs w:val="24"/>
        </w:rPr>
        <w:t xml:space="preserve">篇  </w:t>
      </w:r>
      <w:r>
        <w:rPr>
          <w:rFonts w:hint="eastAsia" w:ascii="宋体" w:hAnsi="宋体" w:eastAsia="宋体" w:cs="Times New Roman"/>
          <w:color w:val="000000"/>
          <w:kern w:val="0"/>
          <w:sz w:val="24"/>
          <w:szCs w:val="24"/>
          <w:lang w:eastAsia="zh-CN"/>
        </w:rPr>
        <w:t>竞选协议</w:t>
      </w:r>
      <w:r>
        <w:rPr>
          <w:rFonts w:hint="eastAsia" w:ascii="宋体" w:hAnsi="宋体" w:eastAsia="宋体" w:cs="Times New Roman"/>
          <w:color w:val="000000"/>
          <w:kern w:val="0"/>
          <w:sz w:val="24"/>
          <w:szCs w:val="24"/>
        </w:rPr>
        <w:t>文本》签订，相关单位要求适用</w:t>
      </w:r>
      <w:r>
        <w:rPr>
          <w:rFonts w:hint="eastAsia" w:ascii="宋体" w:hAnsi="宋体" w:eastAsia="宋体" w:cs="Times New Roman"/>
          <w:color w:val="000000"/>
          <w:kern w:val="0"/>
          <w:sz w:val="24"/>
          <w:szCs w:val="24"/>
          <w:lang w:eastAsia="zh-CN"/>
        </w:rPr>
        <w:t>协议</w:t>
      </w:r>
      <w:r>
        <w:rPr>
          <w:rFonts w:hint="eastAsia" w:ascii="宋体" w:hAnsi="宋体" w:eastAsia="宋体" w:cs="Times New Roman"/>
          <w:color w:val="000000"/>
          <w:kern w:val="0"/>
          <w:sz w:val="24"/>
          <w:szCs w:val="24"/>
        </w:rPr>
        <w:t>通用格式版本的，应按其要求另行签订其他</w:t>
      </w:r>
      <w:r>
        <w:rPr>
          <w:rFonts w:hint="eastAsia" w:ascii="宋体" w:hAnsi="宋体" w:eastAsia="宋体" w:cs="Times New Roman"/>
          <w:color w:val="000000"/>
          <w:kern w:val="0"/>
          <w:sz w:val="24"/>
          <w:szCs w:val="24"/>
          <w:lang w:eastAsia="zh-CN"/>
        </w:rPr>
        <w:t>协议</w:t>
      </w:r>
      <w:r>
        <w:rPr>
          <w:rFonts w:hint="eastAsia" w:ascii="宋体" w:hAnsi="宋体" w:eastAsia="宋体" w:cs="Times New Roman"/>
          <w:color w:val="000000"/>
          <w:kern w:val="0"/>
          <w:sz w:val="24"/>
          <w:szCs w:val="24"/>
        </w:rPr>
        <w:t>。</w:t>
      </w:r>
    </w:p>
    <w:p w14:paraId="671DC37B">
      <w:pPr>
        <w:snapToGrid w:val="0"/>
        <w:spacing w:line="400" w:lineRule="exact"/>
        <w:ind w:firstLine="480"/>
        <w:rPr>
          <w:rFonts w:hint="eastAsia" w:ascii="宋体" w:hAnsi="宋体" w:eastAsia="宋体" w:cs="Times New Roman"/>
          <w:color w:val="000000"/>
          <w:kern w:val="0"/>
          <w:sz w:val="24"/>
          <w:szCs w:val="24"/>
        </w:rPr>
      </w:pPr>
    </w:p>
    <w:p w14:paraId="4FF9F701">
      <w:pPr>
        <w:pStyle w:val="17"/>
        <w:ind w:firstLine="0"/>
        <w:rPr>
          <w:rFonts w:hint="eastAsia"/>
          <w:color w:val="000000"/>
        </w:rPr>
      </w:pPr>
      <w:r>
        <w:rPr>
          <w:rFonts w:hint="eastAsia" w:ascii="宋体" w:hAnsi="宋体"/>
          <w:b/>
          <w:color w:val="000000"/>
        </w:rPr>
        <w:br w:type="page"/>
      </w:r>
      <w:bookmarkStart w:id="88" w:name="_Toc22937"/>
    </w:p>
    <w:p w14:paraId="79E6044A">
      <w:pPr>
        <w:pStyle w:val="4"/>
        <w:spacing w:before="0" w:beforeLines="0" w:after="0" w:afterLines="0" w:line="360" w:lineRule="auto"/>
        <w:rPr>
          <w:rFonts w:hint="eastAsia" w:ascii="宋体" w:hAnsi="宋体" w:eastAsia="宋体"/>
          <w:b/>
          <w:color w:val="000000"/>
          <w:highlight w:val="none"/>
        </w:rPr>
      </w:pPr>
      <w:bookmarkStart w:id="89" w:name="_Toc193108370"/>
      <w:bookmarkStart w:id="90" w:name="_Toc27802"/>
      <w:r>
        <w:rPr>
          <w:rFonts w:hint="eastAsia" w:ascii="宋体" w:hAnsi="宋体" w:eastAsia="宋体"/>
          <w:b/>
          <w:color w:val="000000"/>
        </w:rPr>
        <w:t>第</w:t>
      </w:r>
      <w:r>
        <w:rPr>
          <w:rFonts w:hint="eastAsia" w:ascii="宋体" w:hAnsi="宋体" w:eastAsia="宋体"/>
          <w:b/>
          <w:color w:val="000000"/>
          <w:lang w:eastAsia="zh-CN"/>
        </w:rPr>
        <w:t>六</w:t>
      </w:r>
      <w:r>
        <w:rPr>
          <w:rFonts w:hint="eastAsia" w:ascii="宋体" w:hAnsi="宋体" w:eastAsia="宋体"/>
          <w:b/>
          <w:color w:val="000000"/>
        </w:rPr>
        <w:t>篇</w:t>
      </w:r>
      <w:r>
        <w:rPr>
          <w:rFonts w:hint="eastAsia" w:ascii="宋体" w:hAnsi="宋体" w:eastAsia="宋体"/>
          <w:b/>
          <w:color w:val="000000"/>
          <w:highlight w:val="none"/>
        </w:rPr>
        <w:t xml:space="preserve">  </w:t>
      </w:r>
      <w:r>
        <w:rPr>
          <w:rFonts w:hint="eastAsia" w:ascii="宋体" w:hAnsi="宋体" w:eastAsia="宋体"/>
          <w:b/>
          <w:color w:val="000000"/>
          <w:highlight w:val="none"/>
          <w:lang w:eastAsia="zh-CN"/>
        </w:rPr>
        <w:t>竞选入围协议</w:t>
      </w:r>
      <w:r>
        <w:rPr>
          <w:rFonts w:hint="eastAsia" w:ascii="宋体" w:hAnsi="宋体" w:eastAsia="宋体"/>
          <w:b/>
          <w:color w:val="000000"/>
          <w:highlight w:val="none"/>
        </w:rPr>
        <w:t>文本</w:t>
      </w:r>
      <w:bookmarkEnd w:id="89"/>
      <w:bookmarkEnd w:id="90"/>
    </w:p>
    <w:bookmarkEnd w:id="88"/>
    <w:p w14:paraId="7B50A9A4">
      <w:pPr>
        <w:jc w:val="center"/>
        <w:rPr>
          <w:rFonts w:hint="eastAsia" w:ascii="方正小标宋_GBK" w:hAnsi="方正小标宋_GBK" w:eastAsia="方正小标宋_GBK" w:cs="方正小标宋_GBK"/>
          <w:spacing w:val="5"/>
          <w:sz w:val="44"/>
          <w:szCs w:val="44"/>
          <w:highlight w:val="none"/>
          <w:lang w:eastAsia="zh-CN"/>
        </w:rPr>
      </w:pPr>
      <w:bookmarkStart w:id="91" w:name="_Toc24471"/>
      <w:bookmarkStart w:id="92" w:name="_Toc15769"/>
      <w:bookmarkStart w:id="93" w:name="_Toc105687231"/>
      <w:r>
        <w:rPr>
          <w:rFonts w:hint="eastAsia" w:ascii="方正小标宋_GBK" w:hAnsi="方正小标宋_GBK" w:eastAsia="方正小标宋_GBK" w:cs="方正小标宋_GBK"/>
          <w:spacing w:val="5"/>
          <w:sz w:val="44"/>
          <w:szCs w:val="44"/>
          <w:highlight w:val="none"/>
        </w:rPr>
        <w:t>九龙坡区</w:t>
      </w:r>
      <w:r>
        <w:rPr>
          <w:rFonts w:hint="eastAsia" w:ascii="方正小标宋_GBK" w:hAnsi="方正小标宋_GBK" w:eastAsia="方正小标宋_GBK" w:cs="方正小标宋_GBK"/>
          <w:spacing w:val="5"/>
          <w:sz w:val="44"/>
          <w:szCs w:val="44"/>
          <w:highlight w:val="none"/>
          <w:lang w:eastAsia="zh-CN"/>
        </w:rPr>
        <w:t>废弃食用油脂</w:t>
      </w:r>
      <w:r>
        <w:rPr>
          <w:rFonts w:hint="eastAsia" w:ascii="方正小标宋_GBK" w:hAnsi="方正小标宋_GBK" w:eastAsia="方正小标宋_GBK" w:cs="方正小标宋_GBK"/>
          <w:spacing w:val="5"/>
          <w:sz w:val="44"/>
          <w:szCs w:val="44"/>
          <w:highlight w:val="none"/>
        </w:rPr>
        <w:t>收运</w:t>
      </w:r>
      <w:r>
        <w:rPr>
          <w:rFonts w:hint="eastAsia" w:ascii="方正小标宋_GBK" w:hAnsi="方正小标宋_GBK" w:eastAsia="方正小标宋_GBK" w:cs="方正小标宋_GBK"/>
          <w:spacing w:val="5"/>
          <w:sz w:val="44"/>
          <w:szCs w:val="44"/>
          <w:highlight w:val="none"/>
          <w:lang w:eastAsia="zh-CN"/>
        </w:rPr>
        <w:t>竞选入围协议</w:t>
      </w:r>
    </w:p>
    <w:p w14:paraId="51145988">
      <w:pPr>
        <w:jc w:val="center"/>
        <w:rPr>
          <w:rFonts w:hint="eastAsia" w:ascii="方正小标宋_GBK" w:hAnsi="方正小标宋_GBK" w:eastAsia="方正小标宋_GBK" w:cs="方正小标宋_GBK"/>
          <w:spacing w:val="5"/>
          <w:sz w:val="44"/>
          <w:szCs w:val="44"/>
          <w:highlight w:val="none"/>
          <w:lang w:eastAsia="zh-CN"/>
        </w:rPr>
      </w:pPr>
      <w:r>
        <w:rPr>
          <w:rFonts w:hint="eastAsia" w:ascii="方正小标宋_GBK" w:hAnsi="方正小标宋_GBK" w:eastAsia="方正小标宋_GBK" w:cs="方正小标宋_GBK"/>
          <w:spacing w:val="5"/>
          <w:sz w:val="44"/>
          <w:szCs w:val="44"/>
          <w:highlight w:val="none"/>
          <w:lang w:eastAsia="zh-CN"/>
        </w:rPr>
        <w:t>（</w:t>
      </w:r>
      <w:r>
        <w:rPr>
          <w:rFonts w:hint="eastAsia" w:ascii="方正小标宋_GBK" w:hAnsi="方正小标宋_GBK" w:eastAsia="方正小标宋_GBK" w:cs="方正小标宋_GBK"/>
          <w:spacing w:val="5"/>
          <w:sz w:val="44"/>
          <w:szCs w:val="44"/>
          <w:highlight w:val="none"/>
          <w:lang w:val="en-US" w:eastAsia="zh-CN"/>
        </w:rPr>
        <w:t>2025年版</w:t>
      </w:r>
      <w:r>
        <w:rPr>
          <w:rFonts w:hint="eastAsia" w:ascii="方正小标宋_GBK" w:hAnsi="方正小标宋_GBK" w:eastAsia="方正小标宋_GBK" w:cs="方正小标宋_GBK"/>
          <w:spacing w:val="5"/>
          <w:sz w:val="44"/>
          <w:szCs w:val="44"/>
          <w:highlight w:val="none"/>
          <w:lang w:eastAsia="zh-CN"/>
        </w:rPr>
        <w:t>）</w:t>
      </w:r>
    </w:p>
    <w:p w14:paraId="177E2F1C">
      <w:pPr>
        <w:keepNext w:val="0"/>
        <w:keepLines w:val="0"/>
        <w:pageBreakBefore w:val="0"/>
        <w:widowControl w:val="0"/>
        <w:kinsoku/>
        <w:wordWrap/>
        <w:overflowPunct/>
        <w:topLinePunct w:val="0"/>
        <w:autoSpaceDE/>
        <w:autoSpaceDN/>
        <w:bidi w:val="0"/>
        <w:adjustRightInd/>
        <w:snapToGrid/>
        <w:spacing w:line="580" w:lineRule="exact"/>
        <w:jc w:val="center"/>
        <w:rPr>
          <w:rFonts w:hint="eastAsia" w:ascii="方正小标宋_GBK" w:hAnsi="方正小标宋_GBK" w:eastAsia="方正小标宋_GBK" w:cs="方正小标宋_GBK"/>
          <w:spacing w:val="5"/>
          <w:sz w:val="44"/>
          <w:szCs w:val="44"/>
          <w:highlight w:val="none"/>
          <w:lang w:eastAsia="zh-CN"/>
        </w:rPr>
      </w:pPr>
    </w:p>
    <w:p w14:paraId="1F0C5974">
      <w:pPr>
        <w:keepNext w:val="0"/>
        <w:keepLines w:val="0"/>
        <w:pageBreakBefore w:val="0"/>
        <w:widowControl w:val="0"/>
        <w:kinsoku/>
        <w:wordWrap/>
        <w:overflowPunct/>
        <w:topLinePunct w:val="0"/>
        <w:autoSpaceDE/>
        <w:autoSpaceDN/>
        <w:bidi w:val="0"/>
        <w:adjustRightInd/>
        <w:snapToGrid/>
        <w:spacing w:line="580" w:lineRule="exact"/>
        <w:textAlignment w:val="baseline"/>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甲方：重庆市九龙坡区城市管理局      （以下简称甲方）</w:t>
      </w:r>
    </w:p>
    <w:p w14:paraId="543443B3">
      <w:pPr>
        <w:keepNext w:val="0"/>
        <w:keepLines w:val="0"/>
        <w:pageBreakBefore w:val="0"/>
        <w:widowControl w:val="0"/>
        <w:kinsoku/>
        <w:wordWrap/>
        <w:overflowPunct/>
        <w:topLinePunct w:val="0"/>
        <w:autoSpaceDE/>
        <w:autoSpaceDN/>
        <w:bidi w:val="0"/>
        <w:adjustRightInd/>
        <w:snapToGrid/>
        <w:spacing w:line="580" w:lineRule="exact"/>
        <w:textAlignment w:val="baseline"/>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地址：重庆市九龙坡区直港大道建设大厦</w:t>
      </w:r>
    </w:p>
    <w:p w14:paraId="65CF63BA">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_GBK" w:hAnsi="方正仿宋_GBK" w:eastAsia="方正仿宋_GBK" w:cs="方正仿宋_GBK"/>
          <w:color w:val="auto"/>
          <w:sz w:val="32"/>
          <w:szCs w:val="32"/>
          <w:highlight w:val="none"/>
          <w:u w:val="none"/>
        </w:rPr>
      </w:pPr>
      <w:r>
        <w:rPr>
          <w:rFonts w:hint="eastAsia" w:ascii="方正仿宋_GBK" w:hAnsi="方正仿宋_GBK" w:eastAsia="方正仿宋_GBK" w:cs="方正仿宋_GBK"/>
          <w:color w:val="auto"/>
          <w:sz w:val="32"/>
          <w:szCs w:val="32"/>
          <w:highlight w:val="none"/>
          <w:u w:val="none"/>
        </w:rPr>
        <w:t>统一社会信用代码：11500107009293305G</w:t>
      </w:r>
    </w:p>
    <w:p w14:paraId="7534919F">
      <w:pPr>
        <w:keepNext w:val="0"/>
        <w:keepLines w:val="0"/>
        <w:pageBreakBefore w:val="0"/>
        <w:widowControl w:val="0"/>
        <w:kinsoku/>
        <w:wordWrap/>
        <w:overflowPunct/>
        <w:topLinePunct w:val="0"/>
        <w:autoSpaceDE/>
        <w:autoSpaceDN/>
        <w:bidi w:val="0"/>
        <w:adjustRightInd/>
        <w:snapToGrid/>
        <w:spacing w:line="580" w:lineRule="exact"/>
        <w:textAlignment w:val="baseline"/>
        <w:rPr>
          <w:rFonts w:hint="eastAsia" w:ascii="方正仿宋_GBK" w:hAnsi="方正仿宋_GBK" w:eastAsia="方正仿宋_GBK" w:cs="方正仿宋_GBK"/>
          <w:sz w:val="32"/>
          <w:szCs w:val="32"/>
          <w:highlight w:val="none"/>
        </w:rPr>
      </w:pPr>
    </w:p>
    <w:p w14:paraId="64619381">
      <w:pPr>
        <w:keepNext w:val="0"/>
        <w:keepLines w:val="0"/>
        <w:pageBreakBefore w:val="0"/>
        <w:widowControl w:val="0"/>
        <w:kinsoku/>
        <w:wordWrap/>
        <w:overflowPunct/>
        <w:topLinePunct w:val="0"/>
        <w:autoSpaceDE/>
        <w:autoSpaceDN/>
        <w:bidi w:val="0"/>
        <w:adjustRightInd/>
        <w:snapToGrid/>
        <w:spacing w:line="580" w:lineRule="exact"/>
        <w:textAlignment w:val="baseline"/>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乙方：                              （以下简称乙方）</w:t>
      </w:r>
    </w:p>
    <w:p w14:paraId="51391C50">
      <w:pPr>
        <w:pStyle w:val="2"/>
        <w:keepNext w:val="0"/>
        <w:keepLines w:val="0"/>
        <w:pageBreakBefore w:val="0"/>
        <w:widowControl w:val="0"/>
        <w:kinsoku/>
        <w:wordWrap/>
        <w:overflowPunct/>
        <w:topLinePunct w:val="0"/>
        <w:autoSpaceDE/>
        <w:autoSpaceDN/>
        <w:bidi w:val="0"/>
        <w:adjustRightInd/>
        <w:snapToGrid/>
        <w:spacing w:line="580" w:lineRule="exact"/>
        <w:textAlignment w:val="baseline"/>
        <w:rPr>
          <w:rFonts w:hint="eastAsia" w:ascii="方正仿宋_GBK" w:hAnsi="方正仿宋_GBK" w:eastAsia="方正仿宋_GBK" w:cs="方正仿宋_GBK"/>
          <w:kern w:val="2"/>
          <w:sz w:val="32"/>
          <w:szCs w:val="32"/>
          <w:highlight w:val="none"/>
          <w:lang w:val="en-US" w:eastAsia="zh-CN" w:bidi="ar-SA"/>
        </w:rPr>
      </w:pPr>
      <w:r>
        <w:rPr>
          <w:rFonts w:hint="eastAsia" w:ascii="方正仿宋_GBK" w:hAnsi="方正仿宋_GBK" w:eastAsia="方正仿宋_GBK" w:cs="方正仿宋_GBK"/>
          <w:kern w:val="2"/>
          <w:sz w:val="32"/>
          <w:szCs w:val="32"/>
          <w:highlight w:val="none"/>
          <w:lang w:val="en-US" w:eastAsia="zh-CN" w:bidi="ar-SA"/>
        </w:rPr>
        <w:t>地址：</w:t>
      </w:r>
    </w:p>
    <w:p w14:paraId="538A58ED">
      <w:pPr>
        <w:pStyle w:val="2"/>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_GBK" w:hAnsi="方正仿宋_GBK" w:eastAsia="方正仿宋_GBK" w:cs="方正仿宋_GBK"/>
          <w:color w:val="auto"/>
          <w:sz w:val="32"/>
          <w:szCs w:val="32"/>
          <w:highlight w:val="none"/>
          <w:u w:val="none"/>
        </w:rPr>
      </w:pPr>
      <w:r>
        <w:rPr>
          <w:rFonts w:hint="eastAsia" w:ascii="方正仿宋_GBK" w:hAnsi="方正仿宋_GBK" w:eastAsia="方正仿宋_GBK" w:cs="方正仿宋_GBK"/>
          <w:color w:val="auto"/>
          <w:sz w:val="32"/>
          <w:szCs w:val="32"/>
          <w:highlight w:val="none"/>
          <w:u w:val="none"/>
        </w:rPr>
        <w:t>统一社会信用代码：</w:t>
      </w:r>
    </w:p>
    <w:p w14:paraId="27A8B7D1">
      <w:pPr>
        <w:pStyle w:val="3"/>
        <w:keepNext w:val="0"/>
        <w:keepLines w:val="0"/>
        <w:pageBreakBefore w:val="0"/>
        <w:widowControl w:val="0"/>
        <w:kinsoku/>
        <w:wordWrap/>
        <w:overflowPunct/>
        <w:topLinePunct w:val="0"/>
        <w:autoSpaceDE/>
        <w:autoSpaceDN/>
        <w:bidi w:val="0"/>
        <w:spacing w:line="580" w:lineRule="exact"/>
        <w:rPr>
          <w:rFonts w:hint="default"/>
          <w:highlight w:val="none"/>
          <w:lang w:val="en-US" w:eastAsia="zh-CN"/>
        </w:rPr>
      </w:pPr>
    </w:p>
    <w:p w14:paraId="0F0A6CC7">
      <w:pPr>
        <w:keepNext w:val="0"/>
        <w:keepLines w:val="0"/>
        <w:pageBreakBefore w:val="0"/>
        <w:widowControl w:val="0"/>
        <w:kinsoku/>
        <w:wordWrap/>
        <w:overflowPunct/>
        <w:topLinePunct w:val="0"/>
        <w:autoSpaceDE/>
        <w:autoSpaceDN/>
        <w:bidi w:val="0"/>
        <w:spacing w:line="600" w:lineRule="exact"/>
        <w:ind w:firstLine="640" w:firstLineChars="200"/>
        <w:textAlignment w:val="baseline"/>
        <w:rPr>
          <w:rFonts w:hint="eastAsia"/>
          <w:sz w:val="32"/>
          <w:szCs w:val="32"/>
          <w:highlight w:val="none"/>
        </w:rPr>
      </w:pPr>
      <w:r>
        <w:rPr>
          <w:rFonts w:hint="eastAsia" w:ascii="方正仿宋_GBK" w:hAnsi="方正仿宋_GBK" w:eastAsia="方正仿宋_GBK" w:cs="方正仿宋_GBK"/>
          <w:sz w:val="32"/>
          <w:szCs w:val="32"/>
          <w:highlight w:val="none"/>
        </w:rPr>
        <w:t>为净化城市市容环境，保障食品卫生安全，根据《中华人民共和国民法典》</w:t>
      </w:r>
      <w:r>
        <w:rPr>
          <w:rFonts w:hint="eastAsia" w:ascii="方正仿宋_GBK" w:hAnsi="方正仿宋_GBK" w:eastAsia="方正仿宋_GBK" w:cs="方正仿宋_GBK"/>
          <w:b w:val="0"/>
          <w:bCs w:val="0"/>
          <w:snapToGrid w:val="0"/>
          <w:kern w:val="0"/>
          <w:sz w:val="32"/>
          <w:szCs w:val="32"/>
          <w:highlight w:val="none"/>
          <w:lang w:val="en-US" w:eastAsia="zh-CN"/>
        </w:rPr>
        <w:t>《重庆市生活垃圾管理条例》《重庆市废弃食用油脂管理规定》</w:t>
      </w:r>
      <w:r>
        <w:rPr>
          <w:rFonts w:hint="eastAsia" w:ascii="方正仿宋_GBK" w:hAnsi="方正仿宋_GBK" w:eastAsia="方正仿宋_GBK" w:cs="方正仿宋_GBK"/>
          <w:b w:val="0"/>
          <w:bCs w:val="0"/>
          <w:snapToGrid w:val="0"/>
          <w:kern w:val="0"/>
          <w:sz w:val="32"/>
          <w:szCs w:val="32"/>
          <w:highlight w:val="none"/>
          <w:lang w:val="en-US" w:eastAsia="zh-Hans"/>
        </w:rPr>
        <w:t>及</w:t>
      </w:r>
      <w:r>
        <w:rPr>
          <w:rFonts w:hint="eastAsia" w:ascii="方正仿宋_GBK" w:hAnsi="方正仿宋_GBK" w:eastAsia="方正仿宋_GBK" w:cs="方正仿宋_GBK"/>
          <w:b w:val="0"/>
          <w:bCs w:val="0"/>
          <w:snapToGrid w:val="0"/>
          <w:kern w:val="0"/>
          <w:sz w:val="32"/>
          <w:szCs w:val="32"/>
          <w:highlight w:val="none"/>
          <w:lang w:val="en-US" w:eastAsia="zh-CN"/>
        </w:rPr>
        <w:t>相关</w:t>
      </w:r>
      <w:r>
        <w:rPr>
          <w:rFonts w:hint="eastAsia" w:ascii="方正仿宋_GBK" w:hAnsi="方正仿宋_GBK" w:eastAsia="方正仿宋_GBK" w:cs="方正仿宋_GBK"/>
          <w:b w:val="0"/>
          <w:bCs w:val="0"/>
          <w:snapToGrid w:val="0"/>
          <w:kern w:val="0"/>
          <w:sz w:val="32"/>
          <w:szCs w:val="32"/>
          <w:highlight w:val="none"/>
          <w:lang w:val="en-US" w:eastAsia="zh-Hans"/>
        </w:rPr>
        <w:t>法律法规</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bCs/>
          <w:color w:val="auto"/>
          <w:sz w:val="32"/>
          <w:szCs w:val="32"/>
          <w:highlight w:val="none"/>
        </w:rPr>
        <w:t>甲</w:t>
      </w:r>
      <w:r>
        <w:rPr>
          <w:rFonts w:hint="eastAsia" w:ascii="方正仿宋_GBK" w:hAnsi="方正仿宋_GBK" w:eastAsia="方正仿宋_GBK" w:cs="方正仿宋_GBK"/>
          <w:bCs/>
          <w:color w:val="auto"/>
          <w:sz w:val="32"/>
          <w:szCs w:val="32"/>
          <w:highlight w:val="none"/>
          <w:lang w:eastAsia="zh-CN"/>
        </w:rPr>
        <w:t>方通过九龙坡区城市管理局等网站公示公开程序，确定</w:t>
      </w:r>
      <w:r>
        <w:rPr>
          <w:rFonts w:hint="eastAsia" w:ascii="方正仿宋_GBK" w:hAnsi="方正仿宋_GBK" w:eastAsia="方正仿宋_GBK" w:cs="方正仿宋_GBK"/>
          <w:bCs/>
          <w:color w:val="auto"/>
          <w:sz w:val="32"/>
          <w:szCs w:val="32"/>
          <w:highlight w:val="none"/>
        </w:rPr>
        <w:t>乙方</w:t>
      </w:r>
      <w:r>
        <w:rPr>
          <w:rFonts w:hint="eastAsia" w:ascii="方正仿宋_GBK" w:hAnsi="方正仿宋_GBK" w:eastAsia="方正仿宋_GBK" w:cs="方正仿宋_GBK"/>
          <w:bCs/>
          <w:color w:val="auto"/>
          <w:sz w:val="32"/>
          <w:szCs w:val="32"/>
          <w:highlight w:val="none"/>
          <w:lang w:eastAsia="zh-CN"/>
        </w:rPr>
        <w:t>为九龙坡区废弃食用油脂收运竞选入围单位之一（不是唯一单位）。</w:t>
      </w:r>
      <w:r>
        <w:rPr>
          <w:rFonts w:hint="eastAsia" w:ascii="方正仿宋_GBK" w:hAnsi="方正仿宋_GBK" w:eastAsia="方正仿宋_GBK" w:cs="方正仿宋_GBK"/>
          <w:bCs/>
          <w:color w:val="auto"/>
          <w:sz w:val="32"/>
          <w:szCs w:val="32"/>
          <w:highlight w:val="none"/>
        </w:rPr>
        <w:t>本着诚实守信、共同发展的原则，经</w:t>
      </w:r>
      <w:r>
        <w:rPr>
          <w:rFonts w:hint="eastAsia" w:ascii="方正仿宋_GBK" w:hAnsi="方正仿宋_GBK" w:eastAsia="方正仿宋_GBK" w:cs="方正仿宋_GBK"/>
          <w:bCs/>
          <w:color w:val="auto"/>
          <w:sz w:val="32"/>
          <w:szCs w:val="32"/>
          <w:highlight w:val="none"/>
          <w:lang w:eastAsia="zh-CN"/>
        </w:rPr>
        <w:t>甲、乙双方</w:t>
      </w:r>
      <w:r>
        <w:rPr>
          <w:rFonts w:hint="eastAsia" w:ascii="方正仿宋_GBK" w:hAnsi="方正仿宋_GBK" w:eastAsia="方正仿宋_GBK" w:cs="方正仿宋_GBK"/>
          <w:bCs/>
          <w:color w:val="auto"/>
          <w:sz w:val="32"/>
          <w:szCs w:val="32"/>
          <w:highlight w:val="none"/>
        </w:rPr>
        <w:t>友好协商，就九龙坡区</w:t>
      </w:r>
      <w:r>
        <w:rPr>
          <w:rFonts w:hint="eastAsia" w:ascii="方正仿宋_GBK" w:hAnsi="方正仿宋_GBK" w:eastAsia="方正仿宋_GBK" w:cs="方正仿宋_GBK"/>
          <w:bCs/>
          <w:color w:val="auto"/>
          <w:sz w:val="32"/>
          <w:szCs w:val="32"/>
          <w:highlight w:val="none"/>
          <w:lang w:eastAsia="zh-CN"/>
        </w:rPr>
        <w:t>废弃食用油脂</w:t>
      </w:r>
      <w:r>
        <w:rPr>
          <w:rFonts w:hint="eastAsia" w:ascii="方正仿宋_GBK" w:hAnsi="方正仿宋_GBK" w:eastAsia="方正仿宋_GBK" w:cs="方正仿宋_GBK"/>
          <w:bCs/>
          <w:color w:val="auto"/>
          <w:sz w:val="32"/>
          <w:szCs w:val="32"/>
          <w:highlight w:val="none"/>
        </w:rPr>
        <w:t>收运</w:t>
      </w:r>
      <w:r>
        <w:rPr>
          <w:rFonts w:hint="eastAsia" w:ascii="方正仿宋_GBK" w:hAnsi="方正仿宋_GBK" w:eastAsia="方正仿宋_GBK" w:cs="方正仿宋_GBK"/>
          <w:bCs/>
          <w:color w:val="auto"/>
          <w:sz w:val="32"/>
          <w:szCs w:val="32"/>
          <w:highlight w:val="none"/>
          <w:lang w:eastAsia="zh-CN"/>
        </w:rPr>
        <w:t>服务</w:t>
      </w:r>
      <w:r>
        <w:rPr>
          <w:rFonts w:hint="eastAsia" w:ascii="方正仿宋_GBK" w:hAnsi="方正仿宋_GBK" w:eastAsia="方正仿宋_GBK" w:cs="方正仿宋_GBK"/>
          <w:bCs/>
          <w:color w:val="auto"/>
          <w:sz w:val="32"/>
          <w:szCs w:val="32"/>
          <w:highlight w:val="none"/>
        </w:rPr>
        <w:t>相</w:t>
      </w:r>
      <w:r>
        <w:rPr>
          <w:rFonts w:hint="eastAsia" w:ascii="方正仿宋_GBK" w:hAnsi="方正仿宋_GBK" w:eastAsia="方正仿宋_GBK" w:cs="方正仿宋_GBK"/>
          <w:sz w:val="32"/>
          <w:szCs w:val="32"/>
          <w:highlight w:val="none"/>
        </w:rPr>
        <w:t>关事宜，订立本</w:t>
      </w:r>
      <w:r>
        <w:rPr>
          <w:rFonts w:hint="eastAsia" w:ascii="方正仿宋_GBK" w:hAnsi="方正仿宋_GBK" w:eastAsia="方正仿宋_GBK" w:cs="方正仿宋_GBK"/>
          <w:sz w:val="32"/>
          <w:szCs w:val="32"/>
          <w:highlight w:val="none"/>
          <w:lang w:eastAsia="zh-CN"/>
        </w:rPr>
        <w:t xml:space="preserve">协议 </w:t>
      </w:r>
      <w:r>
        <w:rPr>
          <w:rFonts w:hint="eastAsia" w:ascii="方正仿宋_GBK" w:hAnsi="方正仿宋_GBK" w:eastAsia="方正仿宋_GBK" w:cs="方正仿宋_GBK"/>
          <w:sz w:val="32"/>
          <w:szCs w:val="32"/>
          <w:highlight w:val="none"/>
        </w:rPr>
        <w:t>，供双方共同遵守。</w:t>
      </w:r>
      <w:r>
        <w:rPr>
          <w:rFonts w:hint="eastAsia" w:ascii="方正仿宋_GBK" w:hAnsi="方正仿宋_GBK" w:eastAsia="方正仿宋_GBK" w:cs="方正仿宋_GBK"/>
          <w:sz w:val="32"/>
          <w:szCs w:val="32"/>
          <w:highlight w:val="none"/>
          <w:lang w:eastAsia="zh-CN"/>
        </w:rPr>
        <w:t>协议</w:t>
      </w:r>
      <w:r>
        <w:rPr>
          <w:rFonts w:hint="eastAsia" w:ascii="方正仿宋_GBK" w:hAnsi="方正仿宋_GBK" w:eastAsia="方正仿宋_GBK" w:cs="方正仿宋_GBK"/>
          <w:sz w:val="32"/>
          <w:szCs w:val="32"/>
          <w:highlight w:val="none"/>
        </w:rPr>
        <w:t>内容如下：</w:t>
      </w:r>
    </w:p>
    <w:p w14:paraId="281EBA5E">
      <w:pPr>
        <w:pStyle w:val="2"/>
        <w:keepNext w:val="0"/>
        <w:keepLines w:val="0"/>
        <w:pageBreakBefore w:val="0"/>
        <w:widowControl w:val="0"/>
        <w:wordWrap/>
        <w:overflowPunct/>
        <w:topLinePunct w:val="0"/>
        <w:bidi w:val="0"/>
        <w:spacing w:line="600" w:lineRule="exact"/>
        <w:ind w:firstLine="640"/>
        <w:rPr>
          <w:rFonts w:hint="eastAsia" w:ascii="方正楷体_GBK" w:hAnsi="方正楷体_GBK" w:eastAsia="方正楷体_GBK" w:cs="方正楷体_GBK"/>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一、项目概况</w:t>
      </w:r>
    </w:p>
    <w:p w14:paraId="5DCF5728">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（一）本项目具体内容为：在九龙坡区城市规划区域内（不包含高新区代管区域）</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rPr>
        <w:t>从事</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收运服务工作。</w:t>
      </w:r>
      <w:r>
        <w:rPr>
          <w:rFonts w:hint="eastAsia" w:ascii="方正仿宋_GBK" w:hAnsi="方正仿宋_GBK" w:eastAsia="方正仿宋_GBK" w:cs="方正仿宋_GBK"/>
          <w:sz w:val="32"/>
          <w:szCs w:val="32"/>
          <w:highlight w:val="none"/>
          <w:lang w:eastAsia="zh-CN"/>
        </w:rPr>
        <w:t>涉及</w:t>
      </w:r>
      <w:r>
        <w:rPr>
          <w:rFonts w:hint="eastAsia" w:ascii="方正仿宋_GBK" w:hAnsi="方正仿宋_GBK" w:eastAsia="方正仿宋_GBK" w:cs="方正仿宋_GBK"/>
          <w:sz w:val="32"/>
          <w:szCs w:val="32"/>
          <w:highlight w:val="none"/>
          <w:lang w:val="en-US" w:eastAsia="zh-CN"/>
        </w:rPr>
        <w:t>13个镇街，分别为</w:t>
      </w:r>
      <w:r>
        <w:rPr>
          <w:rFonts w:hint="eastAsia" w:eastAsia="方正仿宋_GBK"/>
          <w:color w:val="000000"/>
          <w:sz w:val="32"/>
          <w:szCs w:val="32"/>
          <w:highlight w:val="none"/>
        </w:rPr>
        <w:t>杨家坪街道、谢家湾街道、石坪桥街道、黄桷坪街道、石桥铺街道、二郎街道、渝州路街道、中梁山街道、九龙</w:t>
      </w:r>
      <w:r>
        <w:rPr>
          <w:rFonts w:hint="eastAsia" w:eastAsia="方正仿宋_GBK"/>
          <w:color w:val="000000"/>
          <w:sz w:val="32"/>
          <w:szCs w:val="32"/>
          <w:highlight w:val="none"/>
          <w:lang w:eastAsia="zh-CN"/>
        </w:rPr>
        <w:t>街道</w:t>
      </w:r>
      <w:r>
        <w:rPr>
          <w:rFonts w:hint="eastAsia" w:eastAsia="方正仿宋_GBK"/>
          <w:color w:val="000000"/>
          <w:sz w:val="32"/>
          <w:szCs w:val="32"/>
          <w:highlight w:val="none"/>
        </w:rPr>
        <w:t>、华岩镇、陶家镇、铜罐驿镇、西彭镇。</w:t>
      </w:r>
    </w:p>
    <w:p w14:paraId="7E0E7272">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eastAsia="方正仿宋_GBK"/>
          <w:highlight w:val="none"/>
          <w:lang w:val="en-US" w:eastAsia="zh-CN"/>
        </w:rPr>
      </w:pPr>
      <w:r>
        <w:rPr>
          <w:rFonts w:hint="eastAsia" w:ascii="方正仿宋_GBK" w:hAnsi="方正仿宋_GBK" w:eastAsia="方正仿宋_GBK" w:cs="方正仿宋_GBK"/>
          <w:sz w:val="32"/>
          <w:szCs w:val="32"/>
          <w:highlight w:val="none"/>
        </w:rPr>
        <w:t>（二）本项目所涉及的</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收运服务，是指从餐饮业经营者、食堂供餐单位等</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产生单位（以下简称产生者）处，收集煎炸废油、火锅废油以及在排水管道、检查井和隔油池设施中捞取的油水混合物，运输到取得</w:t>
      </w:r>
      <w:r>
        <w:rPr>
          <w:rFonts w:hint="eastAsia" w:ascii="方正仿宋_GBK" w:hAnsi="方正仿宋_GBK" w:eastAsia="方正仿宋_GBK" w:cs="方正仿宋_GBK"/>
          <w:sz w:val="32"/>
          <w:szCs w:val="32"/>
          <w:highlight w:val="none"/>
          <w:lang w:eastAsia="zh-CN"/>
        </w:rPr>
        <w:t>重庆市城市管理局“生活垃圾（废弃食用油脂）处置特许经营权”</w:t>
      </w:r>
      <w:r>
        <w:rPr>
          <w:rFonts w:hint="eastAsia" w:ascii="方正仿宋_GBK" w:hAnsi="方正仿宋_GBK" w:eastAsia="方正仿宋_GBK" w:cs="方正仿宋_GBK"/>
          <w:sz w:val="32"/>
          <w:szCs w:val="32"/>
          <w:highlight w:val="none"/>
        </w:rPr>
        <w:t>的企业进行处理的服务行为。</w:t>
      </w:r>
    </w:p>
    <w:p w14:paraId="413929E3">
      <w:pPr>
        <w:pStyle w:val="2"/>
        <w:keepNext w:val="0"/>
        <w:keepLines w:val="0"/>
        <w:pageBreakBefore w:val="0"/>
        <w:widowControl w:val="0"/>
        <w:wordWrap/>
        <w:overflowPunct/>
        <w:topLinePunct w:val="0"/>
        <w:bidi w:val="0"/>
        <w:spacing w:line="600" w:lineRule="exact"/>
        <w:ind w:firstLine="640"/>
        <w:rPr>
          <w:rFonts w:hint="eastAsia" w:ascii="方正楷体_GBK" w:hAnsi="方正楷体_GBK" w:eastAsia="方正楷体_GBK" w:cs="方正楷体_GBK"/>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二、服务时限</w:t>
      </w:r>
    </w:p>
    <w:p w14:paraId="42D956DF">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sz w:val="32"/>
          <w:szCs w:val="32"/>
          <w:highlight w:val="none"/>
          <w:lang w:eastAsia="zh-CN"/>
        </w:rPr>
        <w:t>（一）本项目</w:t>
      </w:r>
      <w:r>
        <w:rPr>
          <w:rFonts w:hint="eastAsia" w:ascii="方正仿宋_GBK" w:hAnsi="方正仿宋_GBK" w:eastAsia="方正仿宋_GBK" w:cs="方正仿宋_GBK"/>
          <w:sz w:val="32"/>
          <w:szCs w:val="32"/>
          <w:highlight w:val="none"/>
        </w:rPr>
        <w:t>服务期限</w:t>
      </w:r>
      <w:r>
        <w:rPr>
          <w:rFonts w:hint="eastAsia" w:ascii="方正仿宋_GBK" w:hAnsi="方正仿宋_GBK" w:eastAsia="方正仿宋_GBK" w:cs="方正仿宋_GBK"/>
          <w:sz w:val="32"/>
          <w:szCs w:val="32"/>
          <w:highlight w:val="none"/>
          <w:lang w:eastAsia="zh-CN"/>
        </w:rPr>
        <w:t>最长</w:t>
      </w:r>
      <w:r>
        <w:rPr>
          <w:rFonts w:hint="eastAsia" w:ascii="方正仿宋_GBK" w:hAnsi="方正仿宋_GBK" w:eastAsia="方正仿宋_GBK" w:cs="方正仿宋_GBK"/>
          <w:sz w:val="32"/>
          <w:szCs w:val="32"/>
          <w:highlight w:val="none"/>
        </w:rPr>
        <w:t>为3年（36个月），</w:t>
      </w:r>
      <w:r>
        <w:rPr>
          <w:rFonts w:hint="eastAsia" w:ascii="方正仿宋_GBK" w:hAnsi="方正仿宋_GBK" w:eastAsia="方正仿宋_GBK" w:cs="方正仿宋_GBK"/>
          <w:sz w:val="32"/>
          <w:szCs w:val="32"/>
          <w:highlight w:val="none"/>
          <w:lang w:eastAsia="zh-CN"/>
        </w:rPr>
        <w:t>协议</w:t>
      </w:r>
      <w:r>
        <w:rPr>
          <w:rFonts w:hint="eastAsia" w:ascii="方正仿宋_GBK" w:hAnsi="方正仿宋_GBK" w:eastAsia="方正仿宋_GBK" w:cs="方正仿宋_GBK"/>
          <w:sz w:val="32"/>
          <w:szCs w:val="32"/>
          <w:highlight w:val="none"/>
        </w:rPr>
        <w:t>一年一签</w:t>
      </w:r>
      <w:r>
        <w:rPr>
          <w:rFonts w:hint="eastAsia" w:ascii="方正仿宋_GBK" w:hAnsi="方正仿宋_GBK" w:eastAsia="方正仿宋_GBK" w:cs="方正仿宋_GBK"/>
          <w:sz w:val="32"/>
          <w:szCs w:val="32"/>
          <w:highlight w:val="none"/>
          <w:lang w:eastAsia="zh-CN"/>
        </w:rPr>
        <w:t>。本协议服务期为</w:t>
      </w:r>
      <w:r>
        <w:rPr>
          <w:rFonts w:hint="eastAsia" w:ascii="方正仿宋_GBK" w:hAnsi="方正仿宋_GBK" w:eastAsia="方正仿宋_GBK" w:cs="方正仿宋_GBK"/>
          <w:sz w:val="32"/>
          <w:szCs w:val="32"/>
          <w:highlight w:val="none"/>
          <w:u w:val="single"/>
          <w:lang w:val="en-US" w:eastAsia="zh-CN"/>
        </w:rPr>
        <w:t>202X</w:t>
      </w:r>
      <w:r>
        <w:rPr>
          <w:rFonts w:hint="eastAsia" w:ascii="方正仿宋_GBK" w:hAnsi="方正仿宋_GBK" w:eastAsia="方正仿宋_GBK" w:cs="方正仿宋_GBK"/>
          <w:sz w:val="32"/>
          <w:szCs w:val="32"/>
          <w:highlight w:val="none"/>
          <w:u w:val="single"/>
          <w:lang w:eastAsia="zh-CN"/>
        </w:rPr>
        <w:t>年</w:t>
      </w:r>
      <w:r>
        <w:rPr>
          <w:rFonts w:hint="eastAsia" w:ascii="方正仿宋_GBK" w:hAnsi="方正仿宋_GBK" w:eastAsia="方正仿宋_GBK" w:cs="方正仿宋_GBK"/>
          <w:sz w:val="32"/>
          <w:szCs w:val="32"/>
          <w:highlight w:val="none"/>
          <w:u w:val="single"/>
          <w:lang w:val="en-US" w:eastAsia="zh-CN"/>
        </w:rPr>
        <w:t>XX</w:t>
      </w:r>
      <w:r>
        <w:rPr>
          <w:rFonts w:hint="eastAsia" w:ascii="方正仿宋_GBK" w:hAnsi="方正仿宋_GBK" w:eastAsia="方正仿宋_GBK" w:cs="方正仿宋_GBK"/>
          <w:sz w:val="32"/>
          <w:szCs w:val="32"/>
          <w:highlight w:val="none"/>
          <w:u w:val="single"/>
          <w:lang w:eastAsia="zh-CN"/>
        </w:rPr>
        <w:t>月</w:t>
      </w:r>
      <w:r>
        <w:rPr>
          <w:rFonts w:hint="eastAsia" w:ascii="方正仿宋_GBK" w:hAnsi="方正仿宋_GBK" w:eastAsia="方正仿宋_GBK" w:cs="方正仿宋_GBK"/>
          <w:sz w:val="32"/>
          <w:szCs w:val="32"/>
          <w:highlight w:val="none"/>
          <w:u w:val="single"/>
          <w:lang w:val="en-US" w:eastAsia="zh-CN"/>
        </w:rPr>
        <w:t>XX</w:t>
      </w:r>
      <w:r>
        <w:rPr>
          <w:rFonts w:hint="eastAsia" w:ascii="方正仿宋_GBK" w:hAnsi="方正仿宋_GBK" w:eastAsia="方正仿宋_GBK" w:cs="方正仿宋_GBK"/>
          <w:sz w:val="32"/>
          <w:szCs w:val="32"/>
          <w:highlight w:val="none"/>
          <w:u w:val="single"/>
          <w:lang w:eastAsia="zh-CN"/>
        </w:rPr>
        <w:t>日起至</w:t>
      </w:r>
      <w:r>
        <w:rPr>
          <w:rFonts w:hint="eastAsia" w:ascii="方正仿宋_GBK" w:hAnsi="方正仿宋_GBK" w:eastAsia="方正仿宋_GBK" w:cs="方正仿宋_GBK"/>
          <w:sz w:val="32"/>
          <w:szCs w:val="32"/>
          <w:highlight w:val="none"/>
          <w:u w:val="single"/>
          <w:lang w:val="en-US" w:eastAsia="zh-CN"/>
        </w:rPr>
        <w:t>202X</w:t>
      </w:r>
      <w:r>
        <w:rPr>
          <w:rFonts w:hint="eastAsia" w:ascii="方正仿宋_GBK" w:hAnsi="方正仿宋_GBK" w:eastAsia="方正仿宋_GBK" w:cs="方正仿宋_GBK"/>
          <w:sz w:val="32"/>
          <w:szCs w:val="32"/>
          <w:highlight w:val="none"/>
          <w:u w:val="single"/>
          <w:lang w:eastAsia="zh-CN"/>
        </w:rPr>
        <w:t>年</w:t>
      </w:r>
      <w:r>
        <w:rPr>
          <w:rFonts w:hint="eastAsia" w:ascii="方正仿宋_GBK" w:hAnsi="方正仿宋_GBK" w:eastAsia="方正仿宋_GBK" w:cs="方正仿宋_GBK"/>
          <w:sz w:val="32"/>
          <w:szCs w:val="32"/>
          <w:highlight w:val="none"/>
          <w:u w:val="single"/>
          <w:lang w:val="en-US" w:eastAsia="zh-CN"/>
        </w:rPr>
        <w:t>XX</w:t>
      </w:r>
      <w:r>
        <w:rPr>
          <w:rFonts w:hint="eastAsia" w:ascii="方正仿宋_GBK" w:hAnsi="方正仿宋_GBK" w:eastAsia="方正仿宋_GBK" w:cs="方正仿宋_GBK"/>
          <w:sz w:val="32"/>
          <w:szCs w:val="32"/>
          <w:highlight w:val="none"/>
          <w:u w:val="single"/>
          <w:lang w:eastAsia="zh-CN"/>
        </w:rPr>
        <w:t>月</w:t>
      </w:r>
      <w:r>
        <w:rPr>
          <w:rFonts w:hint="eastAsia" w:ascii="方正仿宋_GBK" w:hAnsi="方正仿宋_GBK" w:eastAsia="方正仿宋_GBK" w:cs="方正仿宋_GBK"/>
          <w:sz w:val="32"/>
          <w:szCs w:val="32"/>
          <w:highlight w:val="none"/>
          <w:u w:val="single"/>
          <w:lang w:val="en-US" w:eastAsia="zh-CN"/>
        </w:rPr>
        <w:t>XX</w:t>
      </w:r>
      <w:r>
        <w:rPr>
          <w:rFonts w:hint="eastAsia" w:ascii="方正仿宋_GBK" w:hAnsi="方正仿宋_GBK" w:eastAsia="方正仿宋_GBK" w:cs="方正仿宋_GBK"/>
          <w:sz w:val="32"/>
          <w:szCs w:val="32"/>
          <w:highlight w:val="none"/>
          <w:u w:val="single"/>
          <w:lang w:eastAsia="zh-CN"/>
        </w:rPr>
        <w:t>日止</w:t>
      </w:r>
      <w:r>
        <w:rPr>
          <w:rFonts w:hint="eastAsia" w:ascii="方正仿宋_GBK" w:hAnsi="方正仿宋_GBK" w:eastAsia="方正仿宋_GBK" w:cs="方正仿宋_GBK"/>
          <w:sz w:val="32"/>
          <w:szCs w:val="32"/>
          <w:highlight w:val="none"/>
          <w:lang w:eastAsia="zh-CN"/>
        </w:rPr>
        <w:t>，经年度验收评价为合格后，续签协议。年度考核不合格的，甲方有权启动退出机制。</w:t>
      </w:r>
    </w:p>
    <w:p w14:paraId="7E494726">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sz w:val="32"/>
          <w:szCs w:val="32"/>
          <w:highlight w:val="none"/>
          <w:lang w:eastAsia="zh-CN"/>
        </w:rPr>
        <w:t>（二）本次竞选服务期内，至少保持 2 家及以上中选人同步提供收运服务；若因考核不合格、主动退出、违规清退等原因导致中选人数量不足 2家，甲方将有权重新组织竞选，无需等待年度考核周期。重新组织的中选人确定并入场时，本轮剩余原中选人的服务同步结束。重新竞选期间，原中选人不得拒绝提供收运服务。</w:t>
      </w:r>
    </w:p>
    <w:p w14:paraId="568965DF">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eastAsia="zh-CN"/>
        </w:rPr>
        <w:t>（三）因上级政策变化或其他不可抗力原因，乙方应充分理解并无条件配合甲方退出本项目。</w:t>
      </w:r>
    </w:p>
    <w:p w14:paraId="0FA8707D">
      <w:pPr>
        <w:keepNext w:val="0"/>
        <w:keepLines w:val="0"/>
        <w:pageBreakBefore w:val="0"/>
        <w:widowControl w:val="0"/>
        <w:numPr>
          <w:ilvl w:val="0"/>
          <w:numId w:val="18"/>
        </w:numPr>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楷体_GBK" w:hAnsi="方正楷体_GBK" w:eastAsia="方正楷体_GBK" w:cs="方正楷体_GBK"/>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协议性质</w:t>
      </w:r>
    </w:p>
    <w:p w14:paraId="46027464">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本协议旨在甲方确认乙方作业资格认定，甲乙双方不产生经济往来关系。</w:t>
      </w:r>
    </w:p>
    <w:p w14:paraId="6C9E02A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600" w:lineRule="exact"/>
        <w:ind w:firstLine="640" w:firstLineChars="200"/>
        <w:textAlignment w:val="baseline"/>
        <w:rPr>
          <w:rFonts w:hint="default"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乙方凭自身财力和营销方式在九龙坡区内自行选择废弃食用油脂产生单位，甲方仅对乙方实施城市环境卫生行业监督、检查、指导等规范性管理工作。</w:t>
      </w:r>
    </w:p>
    <w:p w14:paraId="7C745239">
      <w:pPr>
        <w:pStyle w:val="2"/>
        <w:keepNext w:val="0"/>
        <w:keepLines w:val="0"/>
        <w:pageBreakBefore w:val="0"/>
        <w:widowControl w:val="0"/>
        <w:wordWrap/>
        <w:overflowPunct/>
        <w:topLinePunct w:val="0"/>
        <w:bidi w:val="0"/>
        <w:spacing w:line="600" w:lineRule="exact"/>
        <w:ind w:firstLine="640" w:firstLineChars="200"/>
        <w:rPr>
          <w:rFonts w:hint="eastAsia" w:ascii="方正楷体_GBK" w:hAnsi="方正楷体_GBK" w:eastAsia="方正楷体_GBK" w:cs="方正楷体_GBK"/>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四、甲方权利与义务</w:t>
      </w:r>
    </w:p>
    <w:p w14:paraId="31D70BA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600" w:lineRule="exact"/>
        <w:textAlignment w:val="baseline"/>
        <w:rPr>
          <w:rFonts w:hint="eastAsia"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lang w:val="zh-CN"/>
        </w:rPr>
        <w:t>　　（一）根据工作需要委托下属单位或第三方负责本协议的具体管理、考核等事宜，管理标准、考核办法由甲方按政府相关部门要求而更新调整。</w:t>
      </w:r>
    </w:p>
    <w:p w14:paraId="1F524187">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lang w:val="zh-CN"/>
        </w:rPr>
        <w:t>（二）委托下属单位或第三方对乙方作业车辆及人员在线情况，进行实时监管核查督办。</w:t>
      </w:r>
    </w:p>
    <w:p w14:paraId="673F4CA3">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lang w:val="zh-CN"/>
        </w:rPr>
        <w:t>（四）委托下属单位或第三方对乙方每月工作进行考核打分，按照每月考核结果运用到年度验收评价中。</w:t>
      </w:r>
    </w:p>
    <w:p w14:paraId="01AE976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600" w:lineRule="exact"/>
        <w:ind w:firstLine="640"/>
        <w:textAlignment w:val="baseline"/>
        <w:rPr>
          <w:rFonts w:hint="eastAsia"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lang w:val="zh-CN"/>
        </w:rPr>
        <w:t>（五）根据突发事件需要调配乙方处理九龙坡区域内的突发性餐厨废弃油脂临时收运工作任务。</w:t>
      </w:r>
    </w:p>
    <w:p w14:paraId="2FC586E8">
      <w:pPr>
        <w:keepNext w:val="0"/>
        <w:keepLines w:val="0"/>
        <w:pageBreakBefore w:val="0"/>
        <w:widowControl w:val="0"/>
        <w:numPr>
          <w:ilvl w:val="0"/>
          <w:numId w:val="0"/>
        </w:numPr>
        <w:kinsoku/>
        <w:wordWrap/>
        <w:overflowPunct/>
        <w:topLinePunct w:val="0"/>
        <w:autoSpaceDE w:val="0"/>
        <w:autoSpaceDN w:val="0"/>
        <w:bidi w:val="0"/>
        <w:adjustRightInd w:val="0"/>
        <w:snapToGrid w:val="0"/>
        <w:spacing w:line="600" w:lineRule="exact"/>
        <w:ind w:firstLine="640"/>
        <w:textAlignment w:val="baseline"/>
        <w:rPr>
          <w:rFonts w:hint="eastAsia"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lang w:val="zh-CN"/>
        </w:rPr>
        <w:t>（六）指导乙方合法合规开展本协议区域内</w:t>
      </w:r>
      <w:r>
        <w:rPr>
          <w:rFonts w:hint="eastAsia" w:eastAsia="方正仿宋_GBK"/>
          <w:color w:val="000000"/>
          <w:sz w:val="32"/>
          <w:szCs w:val="32"/>
          <w:highlight w:val="none"/>
          <w:lang w:eastAsia="zh-CN"/>
        </w:rPr>
        <w:t>废弃食用油脂</w:t>
      </w:r>
      <w:r>
        <w:rPr>
          <w:rFonts w:hint="eastAsia" w:eastAsia="方正仿宋_GBK"/>
          <w:color w:val="000000"/>
          <w:sz w:val="32"/>
          <w:szCs w:val="32"/>
          <w:highlight w:val="none"/>
        </w:rPr>
        <w:t>收运</w:t>
      </w:r>
      <w:r>
        <w:rPr>
          <w:rFonts w:hint="eastAsia" w:eastAsia="方正仿宋_GBK"/>
          <w:color w:val="000000"/>
          <w:sz w:val="32"/>
          <w:szCs w:val="32"/>
          <w:highlight w:val="none"/>
          <w:lang w:eastAsia="zh-CN"/>
        </w:rPr>
        <w:t>工作。</w:t>
      </w:r>
    </w:p>
    <w:p w14:paraId="0DD6698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lang w:val="zh-CN"/>
        </w:rPr>
        <w:t>（七）保守乙方商业秘密，不向其同业竞争者泄露。</w:t>
      </w:r>
    </w:p>
    <w:p w14:paraId="56455FD3">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楷体_GBK" w:hAnsi="方正楷体_GBK" w:eastAsia="方正楷体_GBK" w:cs="方正楷体_GBK"/>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五、乙方权利与义务</w:t>
      </w:r>
    </w:p>
    <w:p w14:paraId="11560D10">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楷体_GBK" w:hAnsi="方正楷体_GBK" w:eastAsia="方正楷体_GBK" w:cs="方正楷体_GBK"/>
          <w:sz w:val="32"/>
          <w:szCs w:val="32"/>
          <w:highlight w:val="none"/>
        </w:rPr>
      </w:pPr>
      <w:r>
        <w:rPr>
          <w:rFonts w:hint="eastAsia" w:ascii="方正楷体_GBK" w:hAnsi="方正楷体_GBK" w:eastAsia="方正楷体_GBK" w:cs="方正楷体_GBK"/>
          <w:kern w:val="2"/>
          <w:sz w:val="32"/>
          <w:szCs w:val="32"/>
          <w:highlight w:val="none"/>
          <w:lang w:val="en-US" w:eastAsia="zh-CN" w:bidi="ar-SA"/>
        </w:rPr>
        <w:t>（一）</w:t>
      </w:r>
      <w:r>
        <w:rPr>
          <w:rFonts w:hint="eastAsia" w:ascii="方正楷体_GBK" w:hAnsi="方正楷体_GBK" w:eastAsia="方正楷体_GBK" w:cs="方正楷体_GBK"/>
          <w:sz w:val="32"/>
          <w:szCs w:val="32"/>
          <w:highlight w:val="none"/>
        </w:rPr>
        <w:t>行政许可</w:t>
      </w:r>
    </w:p>
    <w:p w14:paraId="731051C7">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楷体_GBK" w:hAnsi="方正楷体_GBK" w:eastAsia="方正仿宋_GBK" w:cs="方正楷体_GBK"/>
          <w:kern w:val="2"/>
          <w:sz w:val="32"/>
          <w:szCs w:val="32"/>
          <w:highlight w:val="none"/>
          <w:lang w:val="en-US" w:eastAsia="zh-CN" w:bidi="ar-SA"/>
        </w:rPr>
      </w:pPr>
      <w:r>
        <w:rPr>
          <w:rFonts w:hint="eastAsia" w:ascii="方正仿宋_GBK" w:hAnsi="方正仿宋_GBK" w:eastAsia="方正仿宋_GBK" w:cs="方正仿宋_GBK"/>
          <w:sz w:val="32"/>
          <w:szCs w:val="32"/>
          <w:highlight w:val="none"/>
        </w:rPr>
        <w:t>在中选通知书发出（公示）后</w:t>
      </w:r>
      <w:r>
        <w:rPr>
          <w:rFonts w:hint="eastAsia" w:ascii="方正仿宋_GBK" w:hAnsi="方正仿宋_GBK" w:eastAsia="方正仿宋_GBK" w:cs="方正仿宋_GBK"/>
          <w:sz w:val="32"/>
          <w:szCs w:val="32"/>
          <w:highlight w:val="none"/>
          <w:lang w:val="en-US" w:eastAsia="zh-CN"/>
        </w:rPr>
        <w:t>20个工作日</w:t>
      </w:r>
      <w:r>
        <w:rPr>
          <w:rFonts w:hint="eastAsia" w:ascii="方正仿宋_GBK" w:hAnsi="方正仿宋_GBK" w:eastAsia="方正仿宋_GBK" w:cs="方正仿宋_GBK"/>
          <w:sz w:val="32"/>
          <w:szCs w:val="32"/>
          <w:highlight w:val="none"/>
        </w:rPr>
        <w:t>内，取得本</w:t>
      </w:r>
      <w:r>
        <w:rPr>
          <w:rFonts w:hint="eastAsia" w:ascii="方正仿宋_GBK" w:hAnsi="方正仿宋_GBK" w:eastAsia="方正仿宋_GBK" w:cs="方正仿宋_GBK"/>
          <w:sz w:val="32"/>
          <w:szCs w:val="32"/>
          <w:highlight w:val="none"/>
          <w:lang w:eastAsia="zh-CN"/>
        </w:rPr>
        <w:t>次竞选项目</w:t>
      </w:r>
      <w:r>
        <w:rPr>
          <w:rFonts w:hint="eastAsia" w:ascii="方正仿宋_GBK" w:hAnsi="方正仿宋_GBK" w:eastAsia="方正仿宋_GBK" w:cs="方正仿宋_GBK"/>
          <w:sz w:val="32"/>
          <w:szCs w:val="32"/>
          <w:highlight w:val="none"/>
        </w:rPr>
        <w:t>的重庆市城市生活垃圾（</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）经营性收集、运输</w:t>
      </w:r>
      <w:r>
        <w:rPr>
          <w:rFonts w:hint="eastAsia" w:ascii="方正仿宋_GBK" w:hAnsi="方正仿宋_GBK" w:eastAsia="方正仿宋_GBK" w:cs="方正仿宋_GBK"/>
          <w:sz w:val="32"/>
          <w:szCs w:val="32"/>
          <w:highlight w:val="none"/>
          <w:lang w:eastAsia="zh-CN"/>
        </w:rPr>
        <w:t>作业</w:t>
      </w:r>
      <w:r>
        <w:rPr>
          <w:rFonts w:hint="eastAsia" w:ascii="方正仿宋_GBK" w:hAnsi="方正仿宋_GBK" w:eastAsia="方正仿宋_GBK" w:cs="方正仿宋_GBK"/>
          <w:sz w:val="32"/>
          <w:szCs w:val="32"/>
          <w:highlight w:val="none"/>
        </w:rPr>
        <w:t>行政许可，并向</w:t>
      </w:r>
      <w:r>
        <w:rPr>
          <w:rFonts w:hint="eastAsia" w:ascii="方正仿宋_GBK" w:hAnsi="方正仿宋_GBK" w:eastAsia="方正仿宋_GBK" w:cs="方正仿宋_GBK"/>
          <w:sz w:val="32"/>
          <w:szCs w:val="32"/>
          <w:highlight w:val="none"/>
          <w:lang w:eastAsia="zh-CN"/>
        </w:rPr>
        <w:t>甲方</w:t>
      </w:r>
      <w:r>
        <w:rPr>
          <w:rFonts w:hint="eastAsia" w:ascii="方正仿宋_GBK" w:hAnsi="方正仿宋_GBK" w:eastAsia="方正仿宋_GBK" w:cs="方正仿宋_GBK"/>
          <w:sz w:val="32"/>
          <w:szCs w:val="32"/>
          <w:highlight w:val="none"/>
        </w:rPr>
        <w:t>报备</w:t>
      </w:r>
      <w:r>
        <w:rPr>
          <w:rFonts w:hint="eastAsia" w:ascii="方正仿宋_GBK" w:hAnsi="方正仿宋_GBK" w:eastAsia="方正仿宋_GBK" w:cs="方正仿宋_GBK"/>
          <w:sz w:val="32"/>
          <w:szCs w:val="32"/>
          <w:highlight w:val="none"/>
          <w:lang w:eastAsia="zh-CN"/>
        </w:rPr>
        <w:t>。</w:t>
      </w:r>
    </w:p>
    <w:p w14:paraId="3B30692C">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楷体_GBK" w:hAnsi="方正楷体_GBK" w:eastAsia="方正楷体_GBK" w:cs="方正楷体_GBK"/>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（二）服务内容</w:t>
      </w:r>
    </w:p>
    <w:p w14:paraId="78100472">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1.负责与</w:t>
      </w:r>
      <w:r>
        <w:rPr>
          <w:rFonts w:hint="eastAsia" w:ascii="方正仿宋_GBK" w:hAnsi="方正仿宋_GBK" w:eastAsia="方正仿宋_GBK" w:cs="方正仿宋_GBK"/>
          <w:sz w:val="32"/>
          <w:szCs w:val="32"/>
          <w:highlight w:val="none"/>
          <w:lang w:eastAsia="zh-CN"/>
        </w:rPr>
        <w:t>九龙坡区行政区域</w:t>
      </w:r>
      <w:r>
        <w:rPr>
          <w:rFonts w:hint="eastAsia" w:ascii="方正仿宋_GBK" w:hAnsi="方正仿宋_GBK" w:eastAsia="方正仿宋_GBK" w:cs="方正仿宋_GBK"/>
          <w:sz w:val="32"/>
          <w:szCs w:val="32"/>
          <w:highlight w:val="none"/>
        </w:rPr>
        <w:t>内</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产生者或单位（以下简称产生者）协商签定</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收运协议。</w:t>
      </w:r>
    </w:p>
    <w:p w14:paraId="0B5EA4CC">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2.负责无偿向取得收集权限的</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产生者提供具有市、区明确的</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收运统一标识的专业收集容器。不得强制或变相将专用收集容器出售给产生者。</w:t>
      </w:r>
    </w:p>
    <w:p w14:paraId="19B5A14C">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3.根据企业自身财力和市场行情，按照重庆市环卫协会会同重庆市餐饮协会等机构共同发布的收运指导价格，</w:t>
      </w:r>
      <w:r>
        <w:rPr>
          <w:rFonts w:hint="eastAsia" w:ascii="方正仿宋_GBK" w:hAnsi="方正仿宋_GBK" w:eastAsia="方正仿宋_GBK" w:cs="方正仿宋_GBK"/>
          <w:sz w:val="32"/>
          <w:szCs w:val="32"/>
          <w:highlight w:val="none"/>
          <w:lang w:val="en-US" w:eastAsia="zh-CN"/>
        </w:rPr>
        <w:t>202X</w:t>
      </w:r>
      <w:r>
        <w:rPr>
          <w:rFonts w:hint="eastAsia" w:ascii="方正仿宋_GBK" w:hAnsi="方正仿宋_GBK" w:eastAsia="方正仿宋_GBK" w:cs="方正仿宋_GBK"/>
          <w:sz w:val="32"/>
          <w:szCs w:val="32"/>
          <w:highlight w:val="none"/>
        </w:rPr>
        <w:t>年度</w:t>
      </w:r>
      <w:r>
        <w:rPr>
          <w:rFonts w:hint="eastAsia" w:ascii="方正仿宋_GBK" w:hAnsi="方正仿宋_GBK" w:eastAsia="方正仿宋_GBK" w:cs="方正仿宋_GBK"/>
          <w:sz w:val="32"/>
          <w:szCs w:val="32"/>
          <w:highlight w:val="none"/>
          <w:lang w:eastAsia="zh-CN"/>
        </w:rPr>
        <w:t>乙</w:t>
      </w:r>
      <w:r>
        <w:rPr>
          <w:rFonts w:hint="eastAsia" w:ascii="方正仿宋_GBK" w:hAnsi="方正仿宋_GBK" w:eastAsia="方正仿宋_GBK" w:cs="方正仿宋_GBK"/>
          <w:sz w:val="32"/>
          <w:szCs w:val="32"/>
          <w:highlight w:val="none"/>
          <w:lang w:val="en-US" w:eastAsia="zh-CN"/>
        </w:rPr>
        <w:t>方</w:t>
      </w:r>
      <w:r>
        <w:rPr>
          <w:rFonts w:hint="eastAsia" w:ascii="方正仿宋_GBK" w:hAnsi="方正仿宋_GBK" w:eastAsia="方正仿宋_GBK" w:cs="方正仿宋_GBK"/>
          <w:sz w:val="32"/>
          <w:szCs w:val="32"/>
          <w:highlight w:val="none"/>
          <w:lang w:eastAsia="zh-CN"/>
        </w:rPr>
        <w:t>在九龙坡区域内</w:t>
      </w:r>
      <w:r>
        <w:rPr>
          <w:rFonts w:hint="eastAsia" w:ascii="方正仿宋_GBK" w:hAnsi="方正仿宋_GBK" w:eastAsia="方正仿宋_GBK" w:cs="方正仿宋_GBK"/>
          <w:sz w:val="32"/>
          <w:szCs w:val="32"/>
          <w:highlight w:val="none"/>
        </w:rPr>
        <w:t>统一收运价格</w:t>
      </w:r>
      <w:r>
        <w:rPr>
          <w:rFonts w:hint="eastAsia" w:ascii="方正仿宋_GBK" w:hAnsi="方正仿宋_GBK" w:eastAsia="方正仿宋_GBK" w:cs="方正仿宋_GBK"/>
          <w:sz w:val="32"/>
          <w:szCs w:val="32"/>
          <w:highlight w:val="none"/>
          <w:lang w:eastAsia="zh-CN"/>
        </w:rPr>
        <w:t>为</w:t>
      </w:r>
      <w:r>
        <w:rPr>
          <w:rFonts w:hint="eastAsia" w:ascii="方正仿宋_GBK" w:hAnsi="方正仿宋_GBK" w:eastAsia="方正仿宋_GBK" w:cs="方正仿宋_GBK"/>
          <w:sz w:val="32"/>
          <w:szCs w:val="32"/>
          <w:highlight w:val="none"/>
          <w:u w:val="single"/>
          <w:lang w:val="en-US" w:eastAsia="zh-CN"/>
        </w:rPr>
        <w:t>XXXX元/公斤</w:t>
      </w:r>
      <w:r>
        <w:rPr>
          <w:rFonts w:hint="eastAsia" w:ascii="方正仿宋_GBK" w:hAnsi="方正仿宋_GBK" w:eastAsia="方正仿宋_GBK" w:cs="方正仿宋_GBK"/>
          <w:sz w:val="32"/>
          <w:szCs w:val="32"/>
          <w:highlight w:val="none"/>
        </w:rPr>
        <w:t>（以指导价格为基础，上下浮动不超过20%）</w:t>
      </w:r>
      <w:r>
        <w:rPr>
          <w:rFonts w:hint="eastAsia" w:ascii="方正仿宋_GBK" w:hAnsi="方正仿宋_GBK" w:eastAsia="方正仿宋_GBK" w:cs="方正仿宋_GBK"/>
          <w:sz w:val="32"/>
          <w:szCs w:val="32"/>
          <w:highlight w:val="none"/>
          <w:lang w:eastAsia="zh-CN"/>
        </w:rPr>
        <w:t>，此价格在本协议 期内有效，乙方不得擅自变更</w:t>
      </w:r>
      <w:r>
        <w:rPr>
          <w:rFonts w:hint="eastAsia" w:ascii="方正仿宋_GBK" w:hAnsi="方正仿宋_GBK" w:eastAsia="方正仿宋_GBK" w:cs="方正仿宋_GBK"/>
          <w:sz w:val="32"/>
          <w:szCs w:val="32"/>
          <w:highlight w:val="none"/>
        </w:rPr>
        <w:t>。</w:t>
      </w:r>
    </w:p>
    <w:p w14:paraId="5237398D">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4.在</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收集完成后，负责对</w:t>
      </w:r>
      <w:r>
        <w:rPr>
          <w:rFonts w:hint="eastAsia" w:ascii="方正仿宋_GBK" w:hAnsi="方正仿宋_GBK" w:eastAsia="方正仿宋_GBK" w:cs="方正仿宋_GBK"/>
          <w:sz w:val="32"/>
          <w:szCs w:val="32"/>
          <w:highlight w:val="none"/>
          <w:lang w:eastAsia="zh-CN"/>
        </w:rPr>
        <w:t>产生者的</w:t>
      </w:r>
      <w:r>
        <w:rPr>
          <w:rFonts w:hint="eastAsia" w:ascii="方正仿宋_GBK" w:hAnsi="方正仿宋_GBK" w:eastAsia="方正仿宋_GBK" w:cs="方正仿宋_GBK"/>
          <w:sz w:val="32"/>
          <w:szCs w:val="32"/>
          <w:highlight w:val="none"/>
        </w:rPr>
        <w:t>收集设施</w:t>
      </w:r>
      <w:r>
        <w:rPr>
          <w:rFonts w:hint="eastAsia" w:ascii="方正仿宋_GBK" w:hAnsi="方正仿宋_GBK" w:eastAsia="方正仿宋_GBK" w:cs="方正仿宋_GBK"/>
          <w:sz w:val="32"/>
          <w:szCs w:val="32"/>
          <w:highlight w:val="none"/>
          <w:lang w:eastAsia="zh-CN"/>
        </w:rPr>
        <w:t>设备</w:t>
      </w:r>
      <w:r>
        <w:rPr>
          <w:rFonts w:hint="eastAsia" w:ascii="方正仿宋_GBK" w:hAnsi="方正仿宋_GBK" w:eastAsia="方正仿宋_GBK" w:cs="方正仿宋_GBK"/>
          <w:sz w:val="32"/>
          <w:szCs w:val="32"/>
          <w:highlight w:val="none"/>
        </w:rPr>
        <w:t>及时</w:t>
      </w:r>
      <w:r>
        <w:rPr>
          <w:rFonts w:hint="eastAsia" w:ascii="方正仿宋_GBK" w:hAnsi="方正仿宋_GBK" w:eastAsia="方正仿宋_GBK" w:cs="方正仿宋_GBK"/>
          <w:sz w:val="32"/>
          <w:szCs w:val="32"/>
          <w:highlight w:val="none"/>
          <w:lang w:eastAsia="zh-CN"/>
        </w:rPr>
        <w:t>进行</w:t>
      </w:r>
      <w:r>
        <w:rPr>
          <w:rFonts w:hint="eastAsia" w:ascii="方正仿宋_GBK" w:hAnsi="方正仿宋_GBK" w:eastAsia="方正仿宋_GBK" w:cs="方正仿宋_GBK"/>
          <w:sz w:val="32"/>
          <w:szCs w:val="32"/>
          <w:highlight w:val="none"/>
        </w:rPr>
        <w:t>清洗保洁、</w:t>
      </w:r>
      <w:r>
        <w:rPr>
          <w:rFonts w:hint="eastAsia" w:ascii="方正仿宋_GBK" w:hAnsi="方正仿宋_GBK" w:eastAsia="方正仿宋_GBK" w:cs="方正仿宋_GBK"/>
          <w:sz w:val="32"/>
          <w:szCs w:val="32"/>
          <w:highlight w:val="none"/>
          <w:lang w:eastAsia="zh-CN"/>
        </w:rPr>
        <w:t>消毒防疫、</w:t>
      </w:r>
      <w:r>
        <w:rPr>
          <w:rFonts w:hint="eastAsia" w:ascii="方正仿宋_GBK" w:hAnsi="方正仿宋_GBK" w:eastAsia="方正仿宋_GBK" w:cs="方正仿宋_GBK"/>
          <w:sz w:val="32"/>
          <w:szCs w:val="32"/>
          <w:highlight w:val="none"/>
        </w:rPr>
        <w:t>复位复场。</w:t>
      </w:r>
    </w:p>
    <w:p w14:paraId="7937FB0D">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5.负责将</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收集运输</w:t>
      </w:r>
      <w:r>
        <w:rPr>
          <w:rFonts w:hint="eastAsia" w:ascii="方正仿宋_GBK" w:hAnsi="方正仿宋_GBK" w:eastAsia="方正仿宋_GBK" w:cs="方正仿宋_GBK"/>
          <w:sz w:val="32"/>
          <w:szCs w:val="32"/>
          <w:highlight w:val="none"/>
          <w:lang w:eastAsia="zh-CN"/>
        </w:rPr>
        <w:t>到取得重庆市城市管理局“生活垃圾（废弃食用油脂）处置特许经营权”的企业</w:t>
      </w:r>
      <w:r>
        <w:rPr>
          <w:rFonts w:hint="eastAsia" w:ascii="方正仿宋_GBK" w:hAnsi="方正仿宋_GBK" w:eastAsia="方正仿宋_GBK" w:cs="方正仿宋_GBK"/>
          <w:sz w:val="32"/>
          <w:szCs w:val="32"/>
          <w:highlight w:val="none"/>
        </w:rPr>
        <w:t>进行处理。</w:t>
      </w:r>
    </w:p>
    <w:p w14:paraId="26058EFA">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sz w:val="32"/>
          <w:szCs w:val="32"/>
          <w:highlight w:val="none"/>
        </w:rPr>
        <w:t>6.负责</w:t>
      </w:r>
      <w:r>
        <w:rPr>
          <w:rFonts w:hint="eastAsia" w:ascii="方正仿宋_GBK" w:hAnsi="方正仿宋_GBK" w:eastAsia="方正仿宋_GBK" w:cs="方正仿宋_GBK"/>
          <w:sz w:val="32"/>
          <w:szCs w:val="32"/>
          <w:highlight w:val="none"/>
          <w:lang w:eastAsia="zh-CN"/>
        </w:rPr>
        <w:t>本单位废弃食用油脂</w:t>
      </w:r>
      <w:r>
        <w:rPr>
          <w:rFonts w:hint="eastAsia" w:ascii="方正仿宋_GBK" w:hAnsi="方正仿宋_GBK" w:eastAsia="方正仿宋_GBK" w:cs="方正仿宋_GBK"/>
          <w:sz w:val="32"/>
          <w:szCs w:val="32"/>
          <w:highlight w:val="none"/>
        </w:rPr>
        <w:t>收集运输处置联单</w:t>
      </w:r>
      <w:r>
        <w:rPr>
          <w:rFonts w:hint="eastAsia" w:ascii="方正仿宋_GBK" w:hAnsi="方正仿宋_GBK" w:eastAsia="方正仿宋_GBK" w:cs="方正仿宋_GBK"/>
          <w:sz w:val="32"/>
          <w:szCs w:val="32"/>
          <w:highlight w:val="none"/>
          <w:lang w:eastAsia="zh-CN"/>
        </w:rPr>
        <w:t>制作、</w:t>
      </w:r>
      <w:r>
        <w:rPr>
          <w:rFonts w:hint="eastAsia" w:ascii="方正仿宋_GBK" w:hAnsi="方正仿宋_GBK" w:eastAsia="方正仿宋_GBK" w:cs="方正仿宋_GBK"/>
          <w:sz w:val="32"/>
          <w:szCs w:val="32"/>
          <w:highlight w:val="none"/>
        </w:rPr>
        <w:t>填报</w:t>
      </w:r>
      <w:r>
        <w:rPr>
          <w:rFonts w:hint="eastAsia" w:ascii="方正仿宋_GBK" w:hAnsi="方正仿宋_GBK" w:eastAsia="方正仿宋_GBK" w:cs="方正仿宋_GBK"/>
          <w:sz w:val="32"/>
          <w:szCs w:val="32"/>
          <w:highlight w:val="none"/>
          <w:lang w:eastAsia="zh-CN"/>
        </w:rPr>
        <w:t>、管理等</w:t>
      </w:r>
      <w:r>
        <w:rPr>
          <w:rFonts w:hint="eastAsia" w:ascii="方正仿宋_GBK" w:hAnsi="方正仿宋_GBK" w:eastAsia="方正仿宋_GBK" w:cs="方正仿宋_GBK"/>
          <w:sz w:val="32"/>
          <w:szCs w:val="32"/>
          <w:highlight w:val="none"/>
        </w:rPr>
        <w:t>工作</w:t>
      </w:r>
      <w:r>
        <w:rPr>
          <w:rFonts w:hint="eastAsia" w:ascii="方正仿宋_GBK" w:hAnsi="方正仿宋_GBK" w:eastAsia="方正仿宋_GBK" w:cs="方正仿宋_GBK"/>
          <w:sz w:val="32"/>
          <w:szCs w:val="32"/>
          <w:highlight w:val="none"/>
          <w:lang w:eastAsia="zh-CN"/>
        </w:rPr>
        <w:t>。</w:t>
      </w:r>
    </w:p>
    <w:p w14:paraId="37832E46">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7.负责完成</w:t>
      </w:r>
      <w:r>
        <w:rPr>
          <w:rFonts w:hint="eastAsia" w:ascii="方正仿宋_GBK" w:hAnsi="方正仿宋_GBK" w:eastAsia="方正仿宋_GBK" w:cs="方正仿宋_GBK"/>
          <w:sz w:val="32"/>
          <w:szCs w:val="32"/>
          <w:highlight w:val="none"/>
          <w:lang w:eastAsia="zh-CN"/>
        </w:rPr>
        <w:t>本单位废弃食用油脂</w:t>
      </w:r>
      <w:r>
        <w:rPr>
          <w:rFonts w:hint="eastAsia" w:ascii="方正仿宋_GBK" w:hAnsi="方正仿宋_GBK" w:eastAsia="方正仿宋_GBK" w:cs="方正仿宋_GBK"/>
          <w:sz w:val="32"/>
          <w:szCs w:val="32"/>
          <w:highlight w:val="none"/>
        </w:rPr>
        <w:t>数据、资料、图片、台账等印证材料的收集整理申报工作。</w:t>
      </w:r>
    </w:p>
    <w:p w14:paraId="59FAE1A4">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8.配合做好</w:t>
      </w:r>
      <w:r>
        <w:rPr>
          <w:rFonts w:hint="eastAsia" w:ascii="方正仿宋_GBK" w:hAnsi="方正仿宋_GBK" w:eastAsia="方正仿宋_GBK" w:cs="方正仿宋_GBK"/>
          <w:sz w:val="32"/>
          <w:szCs w:val="32"/>
          <w:highlight w:val="none"/>
          <w:lang w:eastAsia="zh-CN"/>
        </w:rPr>
        <w:t>九龙坡区废弃食用油脂</w:t>
      </w:r>
      <w:r>
        <w:rPr>
          <w:rFonts w:hint="eastAsia" w:ascii="方正仿宋_GBK" w:hAnsi="方正仿宋_GBK" w:eastAsia="方正仿宋_GBK" w:cs="方正仿宋_GBK"/>
          <w:sz w:val="32"/>
          <w:szCs w:val="32"/>
          <w:highlight w:val="none"/>
        </w:rPr>
        <w:t>收运宣传工作。</w:t>
      </w:r>
    </w:p>
    <w:p w14:paraId="401C25F1">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9.遇</w:t>
      </w:r>
      <w:r>
        <w:rPr>
          <w:rFonts w:hint="eastAsia" w:ascii="方正仿宋_GBK" w:hAnsi="方正仿宋_GBK" w:eastAsia="方正仿宋_GBK" w:cs="方正仿宋_GBK"/>
          <w:sz w:val="32"/>
          <w:szCs w:val="32"/>
          <w:highlight w:val="none"/>
          <w:lang w:eastAsia="zh-CN"/>
        </w:rPr>
        <w:t>九龙坡区</w:t>
      </w:r>
      <w:r>
        <w:rPr>
          <w:rFonts w:hint="eastAsia" w:ascii="方正仿宋_GBK" w:hAnsi="方正仿宋_GBK" w:eastAsia="方正仿宋_GBK" w:cs="方正仿宋_GBK"/>
          <w:sz w:val="32"/>
          <w:szCs w:val="32"/>
          <w:highlight w:val="none"/>
        </w:rPr>
        <w:t>内</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收运突发应急事件时，</w:t>
      </w:r>
      <w:r>
        <w:rPr>
          <w:rFonts w:hint="eastAsia" w:ascii="方正仿宋_GBK" w:hAnsi="方正仿宋_GBK" w:eastAsia="方正仿宋_GBK" w:cs="方正仿宋_GBK"/>
          <w:sz w:val="32"/>
          <w:szCs w:val="32"/>
          <w:highlight w:val="none"/>
          <w:lang w:eastAsia="zh-CN"/>
        </w:rPr>
        <w:t>必须</w:t>
      </w:r>
      <w:r>
        <w:rPr>
          <w:rFonts w:hint="eastAsia" w:ascii="方正仿宋_GBK" w:hAnsi="方正仿宋_GBK" w:eastAsia="方正仿宋_GBK" w:cs="方正仿宋_GBK"/>
          <w:sz w:val="32"/>
          <w:szCs w:val="32"/>
          <w:highlight w:val="none"/>
        </w:rPr>
        <w:t>服从管理部门的调配，进行应急收运处置服务。</w:t>
      </w:r>
    </w:p>
    <w:p w14:paraId="26543DA9">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楷体_GBK" w:hAnsi="方正楷体_GBK" w:eastAsia="方正楷体_GBK" w:cs="方正楷体_GBK"/>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（三）场地情况</w:t>
      </w:r>
    </w:p>
    <w:p w14:paraId="415E3618">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default" w:ascii="方正仿宋_GBK" w:hAnsi="方正仿宋_GBK" w:eastAsia="方正仿宋_GBK" w:cs="方正仿宋_GBK"/>
          <w:kern w:val="2"/>
          <w:sz w:val="32"/>
          <w:szCs w:val="32"/>
          <w:highlight w:val="none"/>
          <w:lang w:val="en-US" w:eastAsia="zh-CN" w:bidi="ar-SA"/>
        </w:rPr>
      </w:pPr>
      <w:r>
        <w:rPr>
          <w:rFonts w:hint="eastAsia" w:ascii="方正仿宋_GBK" w:hAnsi="方正仿宋_GBK" w:eastAsia="方正仿宋_GBK" w:cs="方正仿宋_GBK"/>
          <w:kern w:val="2"/>
          <w:sz w:val="32"/>
          <w:szCs w:val="32"/>
          <w:highlight w:val="none"/>
          <w:lang w:val="en-US" w:eastAsia="zh-CN" w:bidi="ar-SA"/>
        </w:rPr>
        <w:t>1.办公场地</w:t>
      </w:r>
      <w:r>
        <w:rPr>
          <w:rFonts w:hint="eastAsia" w:ascii="方正仿宋_GBK" w:hAnsi="方正仿宋_GBK" w:eastAsia="方正仿宋_GBK" w:cs="方正仿宋_GBK"/>
          <w:kern w:val="2"/>
          <w:sz w:val="32"/>
          <w:szCs w:val="32"/>
          <w:highlight w:val="none"/>
          <w:lang w:val="zh-CN" w:eastAsia="zh-CN" w:bidi="ar-SA"/>
        </w:rPr>
        <w:t>地址：</w:t>
      </w:r>
      <w:r>
        <w:rPr>
          <w:rFonts w:hint="eastAsia" w:ascii="方正仿宋_GBK" w:hAnsi="方正仿宋_GBK" w:eastAsia="方正仿宋_GBK" w:cs="方正仿宋_GBK"/>
          <w:kern w:val="2"/>
          <w:sz w:val="32"/>
          <w:szCs w:val="32"/>
          <w:highlight w:val="none"/>
          <w:u w:val="single"/>
          <w:lang w:val="zh-CN" w:eastAsia="zh-CN" w:bidi="ar-SA"/>
        </w:rPr>
        <w:t>XXXXXXXXXXXX</w:t>
      </w:r>
      <w:r>
        <w:rPr>
          <w:rFonts w:hint="eastAsia" w:ascii="方正仿宋_GBK" w:hAnsi="方正仿宋_GBK" w:eastAsia="方正仿宋_GBK" w:cs="方正仿宋_GBK"/>
          <w:kern w:val="2"/>
          <w:sz w:val="32"/>
          <w:szCs w:val="32"/>
          <w:highlight w:val="none"/>
          <w:lang w:val="zh-CN" w:eastAsia="zh-CN" w:bidi="ar-SA"/>
        </w:rPr>
        <w:t>，建筑面积为</w:t>
      </w:r>
      <w:r>
        <w:rPr>
          <w:rFonts w:hint="eastAsia" w:ascii="方正仿宋_GBK" w:hAnsi="方正仿宋_GBK" w:eastAsia="方正仿宋_GBK" w:cs="方正仿宋_GBK"/>
          <w:kern w:val="2"/>
          <w:sz w:val="32"/>
          <w:szCs w:val="32"/>
          <w:highlight w:val="none"/>
          <w:u w:val="single"/>
          <w:lang w:val="zh-CN" w:eastAsia="zh-CN" w:bidi="ar-SA"/>
        </w:rPr>
        <w:t>XXXX㎡。</w:t>
      </w:r>
    </w:p>
    <w:p w14:paraId="1F6CFE33">
      <w:pPr>
        <w:pStyle w:val="2"/>
        <w:keepNext w:val="0"/>
        <w:keepLines w:val="0"/>
        <w:pageBreakBefore w:val="0"/>
        <w:widowControl w:val="0"/>
        <w:numPr>
          <w:ilvl w:val="0"/>
          <w:numId w:val="0"/>
        </w:numPr>
        <w:wordWrap/>
        <w:overflowPunct/>
        <w:topLinePunct w:val="0"/>
        <w:bidi w:val="0"/>
        <w:spacing w:line="600" w:lineRule="exact"/>
        <w:ind w:firstLine="641"/>
        <w:rPr>
          <w:rFonts w:hint="eastAsia" w:ascii="方正仿宋_GBK" w:hAnsi="方正仿宋_GBK" w:eastAsia="方正仿宋_GBK" w:cs="方正仿宋_GBK"/>
          <w:kern w:val="2"/>
          <w:sz w:val="32"/>
          <w:szCs w:val="32"/>
          <w:highlight w:val="none"/>
          <w:lang w:val="zh-CN" w:eastAsia="zh-CN" w:bidi="ar-SA"/>
        </w:rPr>
      </w:pPr>
      <w:r>
        <w:rPr>
          <w:rFonts w:hint="eastAsia" w:ascii="方正仿宋_GBK" w:hAnsi="方正仿宋_GBK" w:eastAsia="方正仿宋_GBK" w:cs="方正仿宋_GBK"/>
          <w:kern w:val="2"/>
          <w:sz w:val="32"/>
          <w:szCs w:val="32"/>
          <w:highlight w:val="none"/>
          <w:lang w:val="en-US" w:eastAsia="zh-CN" w:bidi="ar-SA"/>
        </w:rPr>
        <w:t>2.专用车辆停放场所</w:t>
      </w:r>
      <w:r>
        <w:rPr>
          <w:rFonts w:hint="eastAsia" w:ascii="方正仿宋_GBK" w:hAnsi="方正仿宋_GBK" w:eastAsia="方正仿宋_GBK" w:cs="方正仿宋_GBK"/>
          <w:kern w:val="2"/>
          <w:sz w:val="32"/>
          <w:szCs w:val="32"/>
          <w:highlight w:val="none"/>
          <w:lang w:val="zh-CN" w:eastAsia="zh-CN" w:bidi="ar-SA"/>
        </w:rPr>
        <w:t>地址：</w:t>
      </w:r>
      <w:r>
        <w:rPr>
          <w:rFonts w:hint="eastAsia" w:ascii="方正仿宋_GBK" w:hAnsi="方正仿宋_GBK" w:eastAsia="方正仿宋_GBK" w:cs="方正仿宋_GBK"/>
          <w:kern w:val="2"/>
          <w:sz w:val="32"/>
          <w:szCs w:val="32"/>
          <w:highlight w:val="none"/>
          <w:u w:val="single"/>
          <w:lang w:val="zh-CN" w:eastAsia="zh-CN" w:bidi="ar-SA"/>
        </w:rPr>
        <w:t>XXXXXXXXXXXX</w:t>
      </w:r>
      <w:r>
        <w:rPr>
          <w:rFonts w:hint="eastAsia" w:ascii="方正仿宋_GBK" w:hAnsi="方正仿宋_GBK" w:eastAsia="方正仿宋_GBK" w:cs="方正仿宋_GBK"/>
          <w:kern w:val="2"/>
          <w:sz w:val="32"/>
          <w:szCs w:val="32"/>
          <w:highlight w:val="none"/>
          <w:lang w:val="zh-CN" w:eastAsia="zh-CN" w:bidi="ar-SA"/>
        </w:rPr>
        <w:t>，建筑面积为</w:t>
      </w:r>
      <w:r>
        <w:rPr>
          <w:rFonts w:hint="eastAsia" w:ascii="方正仿宋_GBK" w:hAnsi="方正仿宋_GBK" w:eastAsia="方正仿宋_GBK" w:cs="方正仿宋_GBK"/>
          <w:kern w:val="2"/>
          <w:sz w:val="32"/>
          <w:szCs w:val="32"/>
          <w:highlight w:val="none"/>
          <w:u w:val="single"/>
          <w:lang w:val="zh-CN" w:eastAsia="zh-CN" w:bidi="ar-SA"/>
        </w:rPr>
        <w:t>XXXX㎡</w:t>
      </w:r>
      <w:r>
        <w:rPr>
          <w:rFonts w:hint="eastAsia" w:ascii="方正仿宋_GBK" w:hAnsi="方正仿宋_GBK" w:eastAsia="方正仿宋_GBK" w:cs="方正仿宋_GBK"/>
          <w:kern w:val="2"/>
          <w:sz w:val="32"/>
          <w:szCs w:val="32"/>
          <w:highlight w:val="none"/>
          <w:lang w:val="zh-CN" w:eastAsia="zh-CN" w:bidi="ar-SA"/>
        </w:rPr>
        <w:t>。</w:t>
      </w:r>
    </w:p>
    <w:p w14:paraId="4ED9B016">
      <w:pPr>
        <w:pStyle w:val="2"/>
        <w:keepNext w:val="0"/>
        <w:keepLines w:val="0"/>
        <w:pageBreakBefore w:val="0"/>
        <w:widowControl w:val="0"/>
        <w:numPr>
          <w:ilvl w:val="0"/>
          <w:numId w:val="0"/>
        </w:numPr>
        <w:wordWrap/>
        <w:overflowPunct/>
        <w:topLinePunct w:val="0"/>
        <w:bidi w:val="0"/>
        <w:spacing w:line="600" w:lineRule="exact"/>
        <w:ind w:firstLine="641"/>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kern w:val="2"/>
          <w:sz w:val="32"/>
          <w:szCs w:val="32"/>
          <w:highlight w:val="none"/>
          <w:u w:val="none"/>
          <w:lang w:val="en-US" w:eastAsia="zh-CN" w:bidi="ar-SA"/>
        </w:rPr>
        <w:t>3.</w:t>
      </w:r>
      <w:r>
        <w:rPr>
          <w:rFonts w:hint="eastAsia" w:ascii="方正仿宋_GBK" w:hAnsi="方正仿宋_GBK" w:eastAsia="方正仿宋_GBK" w:cs="方正仿宋_GBK"/>
          <w:kern w:val="2"/>
          <w:sz w:val="32"/>
          <w:szCs w:val="32"/>
          <w:highlight w:val="none"/>
          <w:u w:val="single"/>
          <w:lang w:val="zh-CN" w:eastAsia="zh-CN" w:bidi="ar-SA"/>
        </w:rPr>
        <w:t>是（或不）</w:t>
      </w:r>
      <w:r>
        <w:rPr>
          <w:rFonts w:hint="eastAsia" w:ascii="方正仿宋_GBK" w:hAnsi="方正仿宋_GBK" w:eastAsia="方正仿宋_GBK" w:cs="方正仿宋_GBK"/>
          <w:kern w:val="2"/>
          <w:sz w:val="32"/>
          <w:szCs w:val="32"/>
          <w:highlight w:val="none"/>
          <w:lang w:val="zh-CN" w:eastAsia="zh-CN" w:bidi="ar-SA"/>
        </w:rPr>
        <w:t>具备</w:t>
      </w:r>
      <w:r>
        <w:rPr>
          <w:rFonts w:hint="eastAsia" w:ascii="方正仿宋_GBK" w:hAnsi="方正仿宋_GBK" w:eastAsia="方正仿宋_GBK" w:cs="方正仿宋_GBK"/>
          <w:sz w:val="32"/>
          <w:szCs w:val="32"/>
          <w:highlight w:val="none"/>
        </w:rPr>
        <w:t>洗车或</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收集容器清洗功能</w:t>
      </w:r>
      <w:r>
        <w:rPr>
          <w:rFonts w:hint="eastAsia" w:ascii="方正仿宋_GBK" w:hAnsi="方正仿宋_GBK" w:eastAsia="方正仿宋_GBK" w:cs="方正仿宋_GBK"/>
          <w:sz w:val="32"/>
          <w:szCs w:val="32"/>
          <w:highlight w:val="none"/>
          <w:lang w:eastAsia="zh-CN"/>
        </w:rPr>
        <w:t>，污水收集及排放证编号：</w:t>
      </w:r>
      <w:r>
        <w:rPr>
          <w:rFonts w:hint="eastAsia" w:ascii="方正仿宋_GBK" w:hAnsi="方正仿宋_GBK" w:eastAsia="方正仿宋_GBK" w:cs="方正仿宋_GBK"/>
          <w:sz w:val="32"/>
          <w:szCs w:val="32"/>
          <w:highlight w:val="none"/>
          <w:u w:val="single"/>
          <w:lang w:val="en-US" w:eastAsia="zh-CN"/>
        </w:rPr>
        <w:t>XXXXX（或无）</w:t>
      </w:r>
      <w:r>
        <w:rPr>
          <w:rFonts w:hint="eastAsia" w:ascii="方正仿宋_GBK" w:hAnsi="方正仿宋_GBK" w:eastAsia="方正仿宋_GBK" w:cs="方正仿宋_GBK"/>
          <w:sz w:val="32"/>
          <w:szCs w:val="32"/>
          <w:highlight w:val="none"/>
          <w:lang w:val="en-US" w:eastAsia="zh-CN"/>
        </w:rPr>
        <w:t>。</w:t>
      </w:r>
    </w:p>
    <w:p w14:paraId="107B2381">
      <w:pPr>
        <w:pStyle w:val="3"/>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方正仿宋_GBK" w:hAnsi="方正仿宋_GBK" w:eastAsia="方正仿宋_GBK" w:cs="方正仿宋_GBK"/>
          <w:kern w:val="2"/>
          <w:sz w:val="32"/>
          <w:szCs w:val="32"/>
          <w:highlight w:val="none"/>
          <w:lang w:val="en-US" w:eastAsia="zh-CN" w:bidi="ar-SA"/>
        </w:rPr>
      </w:pPr>
      <w:r>
        <w:rPr>
          <w:rFonts w:hint="eastAsia" w:ascii="方正仿宋_GBK" w:hAnsi="方正仿宋_GBK" w:eastAsia="方正仿宋_GBK" w:cs="方正仿宋_GBK"/>
          <w:kern w:val="2"/>
          <w:sz w:val="32"/>
          <w:szCs w:val="32"/>
          <w:highlight w:val="none"/>
          <w:lang w:val="en-US" w:eastAsia="zh-CN" w:bidi="ar-SA"/>
        </w:rPr>
        <w:t>4.委托第三方或在九龙坡行政区域外清洗车辆及收集容器的，在中选通知书发出（公示）后30个日历天内，向甲方报备相关资料 。</w:t>
      </w:r>
    </w:p>
    <w:p w14:paraId="0BB6026E">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方正楷体_GBK" w:hAnsi="方正楷体_GBK" w:eastAsia="方正楷体_GBK" w:cs="方正楷体_GBK"/>
          <w:sz w:val="32"/>
          <w:szCs w:val="32"/>
          <w:highlight w:val="none"/>
          <w:lang w:eastAsia="zh-CN"/>
        </w:rPr>
      </w:pPr>
      <w:r>
        <w:rPr>
          <w:rFonts w:hint="eastAsia" w:ascii="方正楷体_GBK" w:hAnsi="方正楷体_GBK" w:eastAsia="方正楷体_GBK" w:cs="方正楷体_GBK"/>
          <w:kern w:val="2"/>
          <w:sz w:val="32"/>
          <w:szCs w:val="32"/>
          <w:highlight w:val="none"/>
          <w:lang w:val="en-US" w:eastAsia="zh-CN" w:bidi="ar-SA"/>
        </w:rPr>
        <w:t>（四）</w:t>
      </w:r>
      <w:r>
        <w:rPr>
          <w:rFonts w:hint="eastAsia" w:ascii="方正楷体_GBK" w:hAnsi="方正楷体_GBK" w:eastAsia="方正楷体_GBK" w:cs="方正楷体_GBK"/>
          <w:sz w:val="32"/>
          <w:szCs w:val="32"/>
          <w:highlight w:val="none"/>
        </w:rPr>
        <w:t>处置</w:t>
      </w:r>
      <w:r>
        <w:rPr>
          <w:rFonts w:hint="eastAsia" w:ascii="方正楷体_GBK" w:hAnsi="方正楷体_GBK" w:eastAsia="方正楷体_GBK" w:cs="方正楷体_GBK"/>
          <w:sz w:val="32"/>
          <w:szCs w:val="32"/>
          <w:highlight w:val="none"/>
          <w:lang w:eastAsia="zh-CN"/>
        </w:rPr>
        <w:t>场要求</w:t>
      </w:r>
    </w:p>
    <w:p w14:paraId="18BA1CD2">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sz w:val="32"/>
          <w:szCs w:val="32"/>
          <w:highlight w:val="none"/>
          <w:lang w:eastAsia="zh-CN"/>
        </w:rPr>
        <w:t>在</w:t>
      </w:r>
      <w:r>
        <w:rPr>
          <w:rFonts w:hint="eastAsia" w:ascii="方正仿宋_GBK" w:hAnsi="方正仿宋_GBK" w:eastAsia="方正仿宋_GBK" w:cs="方正仿宋_GBK"/>
          <w:sz w:val="32"/>
          <w:szCs w:val="32"/>
          <w:highlight w:val="none"/>
        </w:rPr>
        <w:t>中选通知书发出（公示）后30个日历天内，与取得重庆市城市</w:t>
      </w:r>
      <w:r>
        <w:rPr>
          <w:rFonts w:hint="eastAsia" w:ascii="方正仿宋_GBK" w:hAnsi="方正仿宋_GBK" w:eastAsia="方正仿宋_GBK" w:cs="方正仿宋_GBK"/>
          <w:sz w:val="32"/>
          <w:szCs w:val="32"/>
          <w:highlight w:val="none"/>
          <w:lang w:eastAsia="zh-CN"/>
        </w:rPr>
        <w:t>管理局“</w:t>
      </w:r>
      <w:r>
        <w:rPr>
          <w:rFonts w:hint="eastAsia" w:ascii="方正仿宋_GBK" w:hAnsi="方正仿宋_GBK" w:eastAsia="方正仿宋_GBK" w:cs="方正仿宋_GBK"/>
          <w:sz w:val="32"/>
          <w:szCs w:val="32"/>
          <w:highlight w:val="none"/>
        </w:rPr>
        <w:t>生活垃圾（</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）处置</w:t>
      </w:r>
      <w:r>
        <w:rPr>
          <w:rFonts w:hint="eastAsia" w:ascii="方正仿宋_GBK" w:hAnsi="方正仿宋_GBK" w:eastAsia="方正仿宋_GBK" w:cs="方正仿宋_GBK"/>
          <w:sz w:val="32"/>
          <w:szCs w:val="32"/>
          <w:highlight w:val="none"/>
          <w:lang w:eastAsia="zh-CN"/>
        </w:rPr>
        <w:t>特许经营权”</w:t>
      </w:r>
      <w:r>
        <w:rPr>
          <w:rFonts w:hint="eastAsia" w:ascii="方正仿宋_GBK" w:hAnsi="方正仿宋_GBK" w:eastAsia="方正仿宋_GBK" w:cs="方正仿宋_GBK"/>
          <w:sz w:val="32"/>
          <w:szCs w:val="32"/>
          <w:highlight w:val="none"/>
        </w:rPr>
        <w:t>的</w:t>
      </w:r>
      <w:r>
        <w:rPr>
          <w:rFonts w:hint="eastAsia" w:ascii="方正仿宋_GBK" w:hAnsi="方正仿宋_GBK" w:eastAsia="方正仿宋_GBK" w:cs="方正仿宋_GBK"/>
          <w:sz w:val="32"/>
          <w:szCs w:val="32"/>
          <w:highlight w:val="none"/>
          <w:lang w:eastAsia="zh-CN"/>
        </w:rPr>
        <w:t>企业</w:t>
      </w:r>
      <w:r>
        <w:rPr>
          <w:rFonts w:hint="eastAsia" w:ascii="方正仿宋_GBK" w:hAnsi="方正仿宋_GBK" w:eastAsia="方正仿宋_GBK" w:cs="方正仿宋_GBK"/>
          <w:sz w:val="32"/>
          <w:szCs w:val="32"/>
          <w:highlight w:val="none"/>
        </w:rPr>
        <w:t>签订《</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处置</w:t>
      </w:r>
      <w:r>
        <w:rPr>
          <w:rFonts w:hint="eastAsia" w:ascii="方正仿宋_GBK" w:hAnsi="方正仿宋_GBK" w:eastAsia="方正仿宋_GBK" w:cs="方正仿宋_GBK"/>
          <w:sz w:val="32"/>
          <w:szCs w:val="32"/>
          <w:highlight w:val="none"/>
          <w:lang w:eastAsia="zh-CN"/>
        </w:rPr>
        <w:t xml:space="preserve">协议 </w:t>
      </w:r>
      <w:r>
        <w:rPr>
          <w:rFonts w:hint="eastAsia" w:ascii="方正仿宋_GBK" w:hAnsi="方正仿宋_GBK" w:eastAsia="方正仿宋_GBK" w:cs="方正仿宋_GBK"/>
          <w:sz w:val="32"/>
          <w:szCs w:val="32"/>
          <w:highlight w:val="none"/>
        </w:rPr>
        <w:t>》，并向</w:t>
      </w:r>
      <w:r>
        <w:rPr>
          <w:rFonts w:hint="eastAsia" w:ascii="方正仿宋_GBK" w:hAnsi="方正仿宋_GBK" w:eastAsia="方正仿宋_GBK" w:cs="方正仿宋_GBK"/>
          <w:sz w:val="32"/>
          <w:szCs w:val="32"/>
          <w:highlight w:val="none"/>
          <w:lang w:eastAsia="zh-CN"/>
        </w:rPr>
        <w:t>甲方</w:t>
      </w:r>
      <w:r>
        <w:rPr>
          <w:rFonts w:hint="eastAsia" w:ascii="方正仿宋_GBK" w:hAnsi="方正仿宋_GBK" w:eastAsia="方正仿宋_GBK" w:cs="方正仿宋_GBK"/>
          <w:sz w:val="32"/>
          <w:szCs w:val="32"/>
          <w:highlight w:val="none"/>
        </w:rPr>
        <w:t>报备</w:t>
      </w:r>
      <w:r>
        <w:rPr>
          <w:rFonts w:hint="eastAsia" w:ascii="方正仿宋_GBK" w:hAnsi="方正仿宋_GBK" w:eastAsia="方正仿宋_GBK" w:cs="方正仿宋_GBK"/>
          <w:sz w:val="32"/>
          <w:szCs w:val="32"/>
          <w:highlight w:val="none"/>
          <w:lang w:eastAsia="zh-CN"/>
        </w:rPr>
        <w:t>。</w:t>
      </w:r>
    </w:p>
    <w:p w14:paraId="05D0F768">
      <w:pPr>
        <w:keepNext w:val="0"/>
        <w:keepLines w:val="0"/>
        <w:pageBreakBefore w:val="0"/>
        <w:widowControl w:val="0"/>
        <w:kinsoku w:val="0"/>
        <w:wordWrap/>
        <w:overflowPunct/>
        <w:topLinePunct w:val="0"/>
        <w:autoSpaceDE w:val="0"/>
        <w:autoSpaceDN w:val="0"/>
        <w:bidi w:val="0"/>
        <w:adjustRightInd w:val="0"/>
        <w:snapToGrid w:val="0"/>
        <w:spacing w:line="580" w:lineRule="exact"/>
        <w:ind w:firstLine="640" w:firstLineChars="200"/>
        <w:textAlignment w:val="baseline"/>
        <w:rPr>
          <w:rFonts w:hint="eastAsia" w:ascii="方正楷体_GBK" w:hAnsi="方正楷体_GBK" w:eastAsia="方正楷体_GBK" w:cs="方正楷体_GBK"/>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（五）设备及人员情况</w:t>
      </w:r>
    </w:p>
    <w:p w14:paraId="13D88F16">
      <w:pPr>
        <w:keepNext w:val="0"/>
        <w:keepLines w:val="0"/>
        <w:pageBreakBefore w:val="0"/>
        <w:widowControl w:val="0"/>
        <w:kinsoku w:val="0"/>
        <w:wordWrap/>
        <w:overflowPunct/>
        <w:topLinePunct w:val="0"/>
        <w:autoSpaceDE w:val="0"/>
        <w:autoSpaceDN w:val="0"/>
        <w:bidi w:val="0"/>
        <w:adjustRightInd w:val="0"/>
        <w:snapToGrid w:val="0"/>
        <w:spacing w:line="580" w:lineRule="exact"/>
        <w:textAlignment w:val="baseline"/>
        <w:rPr>
          <w:rFonts w:hint="eastAsia" w:ascii="方正仿宋_GBK" w:hAnsi="方正仿宋_GBK" w:eastAsia="方正仿宋_GBK" w:cs="方正仿宋_GBK"/>
          <w:sz w:val="32"/>
          <w:szCs w:val="32"/>
          <w:highlight w:val="none"/>
          <w:lang w:val="en-US" w:eastAsia="zh-CN"/>
        </w:rPr>
      </w:pPr>
      <w:r>
        <w:rPr>
          <w:rFonts w:hint="eastAsia" w:ascii="方正楷体_GBK" w:hAnsi="方正楷体_GBK" w:eastAsia="方正楷体_GBK" w:cs="方正楷体_GBK"/>
          <w:kern w:val="2"/>
          <w:sz w:val="32"/>
          <w:szCs w:val="32"/>
          <w:highlight w:val="none"/>
          <w:lang w:val="en-US" w:eastAsia="zh-CN" w:bidi="ar-SA"/>
        </w:rPr>
        <w:t>　　</w:t>
      </w:r>
      <w:r>
        <w:rPr>
          <w:rFonts w:hint="eastAsia" w:ascii="方正仿宋_GBK" w:hAnsi="方正仿宋_GBK" w:eastAsia="方正仿宋_GBK" w:cs="方正仿宋_GBK"/>
          <w:sz w:val="32"/>
          <w:szCs w:val="32"/>
          <w:highlight w:val="none"/>
          <w:lang w:val="en-US" w:eastAsia="zh-CN"/>
        </w:rPr>
        <w:t>（一）车辆情况</w:t>
      </w:r>
    </w:p>
    <w:p w14:paraId="2A0F3AD6">
      <w:pPr>
        <w:pStyle w:val="2"/>
        <w:keepNext w:val="0"/>
        <w:keepLines w:val="0"/>
        <w:pageBreakBefore w:val="0"/>
        <w:widowControl w:val="0"/>
        <w:numPr>
          <w:ilvl w:val="0"/>
          <w:numId w:val="0"/>
        </w:numPr>
        <w:kinsoku/>
        <w:wordWrap/>
        <w:overflowPunct/>
        <w:topLinePunct w:val="0"/>
        <w:autoSpaceDE/>
        <w:autoSpaceDN/>
        <w:bidi w:val="0"/>
        <w:spacing w:line="580" w:lineRule="exact"/>
        <w:ind w:firstLine="640"/>
        <w:textAlignment w:val="auto"/>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kern w:val="2"/>
          <w:sz w:val="32"/>
          <w:szCs w:val="32"/>
          <w:highlight w:val="none"/>
          <w:u w:val="none"/>
          <w:lang w:val="en-US" w:eastAsia="zh-CN" w:bidi="ar-SA"/>
        </w:rPr>
        <w:t>1.</w:t>
      </w:r>
      <w:r>
        <w:rPr>
          <w:rFonts w:hint="eastAsia" w:ascii="方正仿宋_GBK" w:hAnsi="方正仿宋_GBK" w:eastAsia="方正仿宋_GBK" w:cs="方正仿宋_GBK"/>
          <w:kern w:val="2"/>
          <w:sz w:val="32"/>
          <w:szCs w:val="32"/>
          <w:highlight w:val="none"/>
          <w:u w:val="none"/>
          <w:lang w:val="zh-CN" w:eastAsia="zh-CN" w:bidi="ar-SA"/>
        </w:rPr>
        <w:t>用于本项目的车辆共</w:t>
      </w:r>
      <w:r>
        <w:rPr>
          <w:rFonts w:hint="eastAsia" w:ascii="方正仿宋_GBK" w:hAnsi="方正仿宋_GBK" w:eastAsia="方正仿宋_GBK" w:cs="方正仿宋_GBK"/>
          <w:kern w:val="2"/>
          <w:sz w:val="32"/>
          <w:szCs w:val="32"/>
          <w:highlight w:val="none"/>
          <w:u w:val="single"/>
          <w:lang w:val="zh-CN" w:eastAsia="zh-CN" w:bidi="ar-SA"/>
        </w:rPr>
        <w:t>XX辆</w:t>
      </w:r>
      <w:r>
        <w:rPr>
          <w:rFonts w:hint="eastAsia" w:ascii="方正仿宋_GBK" w:hAnsi="方正仿宋_GBK" w:eastAsia="方正仿宋_GBK" w:cs="方正仿宋_GBK"/>
          <w:kern w:val="2"/>
          <w:sz w:val="32"/>
          <w:szCs w:val="32"/>
          <w:highlight w:val="none"/>
          <w:u w:val="none"/>
          <w:lang w:val="zh-CN" w:eastAsia="zh-CN" w:bidi="ar-SA"/>
        </w:rPr>
        <w:t>，其中</w:t>
      </w:r>
      <w:r>
        <w:rPr>
          <w:rFonts w:hint="eastAsia" w:ascii="方正仿宋_GBK" w:hAnsi="方正仿宋_GBK" w:eastAsia="方正仿宋_GBK" w:cs="方正仿宋_GBK"/>
          <w:sz w:val="32"/>
          <w:szCs w:val="32"/>
          <w:highlight w:val="none"/>
          <w:u w:val="none"/>
        </w:rPr>
        <w:t>总质量≥1000kg</w:t>
      </w:r>
      <w:r>
        <w:rPr>
          <w:rFonts w:hint="eastAsia" w:ascii="方正仿宋_GBK" w:hAnsi="方正仿宋_GBK" w:eastAsia="方正仿宋_GBK" w:cs="方正仿宋_GBK"/>
          <w:sz w:val="32"/>
          <w:szCs w:val="32"/>
          <w:highlight w:val="none"/>
          <w:u w:val="none"/>
          <w:lang w:eastAsia="zh-CN"/>
        </w:rPr>
        <w:t>收运车辆</w:t>
      </w:r>
      <w:r>
        <w:rPr>
          <w:rFonts w:hint="eastAsia" w:ascii="方正仿宋_GBK" w:hAnsi="方正仿宋_GBK" w:eastAsia="方正仿宋_GBK" w:cs="方正仿宋_GBK"/>
          <w:kern w:val="2"/>
          <w:sz w:val="32"/>
          <w:szCs w:val="32"/>
          <w:highlight w:val="none"/>
          <w:u w:val="single"/>
          <w:lang w:val="zh-CN" w:eastAsia="zh-CN" w:bidi="ar-SA"/>
        </w:rPr>
        <w:t>XX辆</w:t>
      </w:r>
      <w:r>
        <w:rPr>
          <w:rFonts w:hint="eastAsia" w:ascii="方正仿宋_GBK" w:hAnsi="方正仿宋_GBK" w:eastAsia="方正仿宋_GBK" w:cs="方正仿宋_GBK"/>
          <w:kern w:val="2"/>
          <w:sz w:val="32"/>
          <w:szCs w:val="32"/>
          <w:highlight w:val="none"/>
          <w:u w:val="none"/>
          <w:lang w:val="zh-CN" w:eastAsia="zh-CN" w:bidi="ar-SA"/>
        </w:rPr>
        <w:t>，其中</w:t>
      </w:r>
      <w:r>
        <w:rPr>
          <w:rFonts w:hint="eastAsia" w:ascii="方正仿宋_GBK" w:hAnsi="方正仿宋_GBK" w:eastAsia="方正仿宋_GBK" w:cs="方正仿宋_GBK"/>
          <w:sz w:val="32"/>
          <w:szCs w:val="32"/>
          <w:highlight w:val="none"/>
          <w:lang w:val="en-US" w:eastAsia="zh-CN"/>
        </w:rPr>
        <w:t>属于工信部《节能与新能源汽车示范推广应用工程推荐车型目录》范围内的新能源车辆</w:t>
      </w:r>
      <w:r>
        <w:rPr>
          <w:rFonts w:hint="eastAsia" w:ascii="方正仿宋_GBK" w:hAnsi="方正仿宋_GBK" w:eastAsia="方正仿宋_GBK" w:cs="方正仿宋_GBK"/>
          <w:sz w:val="32"/>
          <w:szCs w:val="32"/>
          <w:highlight w:val="none"/>
          <w:u w:val="single"/>
          <w:lang w:val="en-US" w:eastAsia="zh-CN"/>
        </w:rPr>
        <w:t>XX辆</w:t>
      </w:r>
      <w:r>
        <w:rPr>
          <w:rFonts w:hint="eastAsia" w:ascii="方正仿宋_GBK" w:hAnsi="方正仿宋_GBK" w:eastAsia="方正仿宋_GBK" w:cs="方正仿宋_GBK"/>
          <w:sz w:val="32"/>
          <w:szCs w:val="32"/>
          <w:highlight w:val="none"/>
          <w:lang w:val="en-US" w:eastAsia="zh-CN"/>
        </w:rPr>
        <w:t>。</w:t>
      </w:r>
    </w:p>
    <w:p w14:paraId="3DA66D12">
      <w:pPr>
        <w:pStyle w:val="3"/>
        <w:keepNext w:val="0"/>
        <w:keepLines w:val="0"/>
        <w:pageBreakBefore w:val="0"/>
        <w:widowControl w:val="0"/>
        <w:kinsoku/>
        <w:wordWrap/>
        <w:overflowPunct/>
        <w:topLinePunct w:val="0"/>
        <w:autoSpaceDE/>
        <w:autoSpaceDN/>
        <w:bidi w:val="0"/>
        <w:adjustRightInd w:val="0"/>
        <w:snapToGrid w:val="0"/>
        <w:spacing w:line="580" w:lineRule="exact"/>
        <w:ind w:firstLine="641"/>
        <w:textAlignment w:val="auto"/>
        <w:rPr>
          <w:rFonts w:hint="eastAsia" w:ascii="方正仿宋_GBK" w:hAnsi="方正仿宋_GBK" w:eastAsia="方正仿宋_GBK" w:cs="方正仿宋_GBK"/>
          <w:kern w:val="2"/>
          <w:sz w:val="32"/>
          <w:szCs w:val="32"/>
          <w:highlight w:val="none"/>
          <w:u w:val="none"/>
          <w:lang w:val="en-US" w:eastAsia="zh-CN" w:bidi="ar-SA"/>
        </w:rPr>
      </w:pPr>
      <w:r>
        <w:rPr>
          <w:rFonts w:hint="eastAsia" w:ascii="方正仿宋_GBK" w:hAnsi="方正仿宋_GBK" w:eastAsia="方正仿宋_GBK" w:cs="方正仿宋_GBK"/>
          <w:kern w:val="2"/>
          <w:sz w:val="32"/>
          <w:szCs w:val="32"/>
          <w:highlight w:val="none"/>
          <w:u w:val="none"/>
          <w:lang w:val="en-US" w:eastAsia="zh-CN" w:bidi="ar-SA"/>
        </w:rPr>
        <w:t>2.</w:t>
      </w:r>
      <w:r>
        <w:rPr>
          <w:rFonts w:hint="eastAsia" w:ascii="方正仿宋_GBK" w:hAnsi="方正仿宋_GBK" w:eastAsia="方正仿宋_GBK" w:cs="方正仿宋_GBK"/>
          <w:kern w:val="2"/>
          <w:sz w:val="32"/>
          <w:szCs w:val="32"/>
          <w:highlight w:val="none"/>
          <w:u w:val="none"/>
          <w:lang w:val="zh-CN" w:eastAsia="zh-CN" w:bidi="ar-SA"/>
        </w:rPr>
        <w:t>收运车辆、</w:t>
      </w:r>
      <w:r>
        <w:rPr>
          <w:rFonts w:hint="eastAsia" w:ascii="方正仿宋_GBK" w:hAnsi="方正仿宋_GBK" w:eastAsia="方正仿宋_GBK" w:cs="方正仿宋_GBK"/>
          <w:kern w:val="2"/>
          <w:sz w:val="32"/>
          <w:szCs w:val="32"/>
          <w:highlight w:val="none"/>
          <w:u w:val="none"/>
          <w:lang w:val="en-US" w:eastAsia="zh-CN" w:bidi="ar-SA"/>
        </w:rPr>
        <w:t>设备按相关要求，在</w:t>
      </w:r>
      <w:r>
        <w:rPr>
          <w:rFonts w:hint="eastAsia" w:ascii="方正仿宋_GBK" w:hAnsi="方正仿宋_GBK" w:eastAsia="方正仿宋_GBK" w:cs="方正仿宋_GBK"/>
          <w:kern w:val="2"/>
          <w:sz w:val="32"/>
          <w:szCs w:val="32"/>
          <w:highlight w:val="none"/>
          <w:lang w:val="en-US" w:eastAsia="zh-CN" w:bidi="ar-SA"/>
        </w:rPr>
        <w:t>中选通知书发出后15个日历天内，</w:t>
      </w:r>
      <w:r>
        <w:rPr>
          <w:rFonts w:hint="eastAsia" w:ascii="方正仿宋_GBK" w:hAnsi="方正仿宋_GBK" w:eastAsia="方正仿宋_GBK" w:cs="方正仿宋_GBK"/>
          <w:kern w:val="2"/>
          <w:sz w:val="32"/>
          <w:szCs w:val="32"/>
          <w:highlight w:val="none"/>
          <w:u w:val="none"/>
          <w:lang w:val="en-US" w:eastAsia="zh-CN" w:bidi="ar-SA"/>
        </w:rPr>
        <w:t>接入重庆市市场监管局“餐饮安全在线”系统，并接受重庆市市场监管局在线监管。</w:t>
      </w:r>
    </w:p>
    <w:p w14:paraId="2193C0E6">
      <w:pPr>
        <w:pStyle w:val="3"/>
        <w:keepNext w:val="0"/>
        <w:keepLines w:val="0"/>
        <w:pageBreakBefore w:val="0"/>
        <w:widowControl w:val="0"/>
        <w:kinsoku/>
        <w:wordWrap/>
        <w:overflowPunct/>
        <w:topLinePunct w:val="0"/>
        <w:autoSpaceDE/>
        <w:autoSpaceDN/>
        <w:bidi w:val="0"/>
        <w:adjustRightInd w:val="0"/>
        <w:snapToGrid w:val="0"/>
        <w:spacing w:line="580" w:lineRule="exact"/>
        <w:ind w:firstLine="641"/>
        <w:textAlignment w:val="auto"/>
        <w:rPr>
          <w:rFonts w:hint="eastAsia" w:ascii="方正仿宋_GBK" w:hAnsi="方正仿宋_GBK" w:eastAsia="方正仿宋_GBK" w:cs="方正仿宋_GBK"/>
          <w:kern w:val="2"/>
          <w:sz w:val="32"/>
          <w:szCs w:val="32"/>
          <w:highlight w:val="none"/>
          <w:u w:val="none"/>
          <w:lang w:val="en-US" w:eastAsia="zh-CN" w:bidi="ar-SA"/>
        </w:rPr>
      </w:pPr>
      <w:r>
        <w:rPr>
          <w:rFonts w:hint="eastAsia" w:ascii="方正仿宋_GBK" w:hAnsi="方正仿宋_GBK" w:eastAsia="方正仿宋_GBK" w:cs="方正仿宋_GBK"/>
          <w:kern w:val="2"/>
          <w:sz w:val="32"/>
          <w:szCs w:val="32"/>
          <w:highlight w:val="none"/>
          <w:u w:val="none"/>
          <w:lang w:val="en-US" w:eastAsia="zh-CN" w:bidi="ar-SA"/>
        </w:rPr>
        <w:t>3.租赁车辆在作业期内，仅限于与乙方签订合同，不能多公司共用一辆作业车辆。</w:t>
      </w:r>
    </w:p>
    <w:p w14:paraId="382A32FD">
      <w:pPr>
        <w:pStyle w:val="3"/>
        <w:keepNext w:val="0"/>
        <w:keepLines w:val="0"/>
        <w:pageBreakBefore w:val="0"/>
        <w:widowControl w:val="0"/>
        <w:kinsoku/>
        <w:wordWrap/>
        <w:overflowPunct/>
        <w:topLinePunct w:val="0"/>
        <w:autoSpaceDE/>
        <w:autoSpaceDN/>
        <w:bidi w:val="0"/>
        <w:adjustRightInd w:val="0"/>
        <w:snapToGrid w:val="0"/>
        <w:spacing w:line="580" w:lineRule="exact"/>
        <w:ind w:firstLine="641"/>
        <w:textAlignment w:val="auto"/>
        <w:rPr>
          <w:rFonts w:hint="eastAsia" w:ascii="方正仿宋_GBK" w:hAnsi="方正仿宋_GBK" w:eastAsia="方正仿宋_GBK" w:cs="方正仿宋_GBK"/>
          <w:kern w:val="2"/>
          <w:sz w:val="32"/>
          <w:szCs w:val="32"/>
          <w:highlight w:val="none"/>
          <w:u w:val="none"/>
          <w:lang w:val="zh-CN" w:eastAsia="zh-CN" w:bidi="ar-SA"/>
        </w:rPr>
      </w:pPr>
      <w:r>
        <w:rPr>
          <w:rFonts w:hint="eastAsia" w:ascii="方正仿宋_GBK" w:hAnsi="方正仿宋_GBK" w:eastAsia="方正仿宋_GBK" w:cs="方正仿宋_GBK"/>
          <w:kern w:val="2"/>
          <w:sz w:val="32"/>
          <w:szCs w:val="32"/>
          <w:highlight w:val="none"/>
          <w:u w:val="none"/>
          <w:lang w:val="en-US" w:eastAsia="zh-CN" w:bidi="ar-SA"/>
        </w:rPr>
        <w:t>4.</w:t>
      </w:r>
      <w:r>
        <w:rPr>
          <w:rFonts w:hint="eastAsia" w:ascii="方正仿宋_GBK" w:hAnsi="方正仿宋_GBK" w:eastAsia="方正仿宋_GBK" w:cs="方正仿宋_GBK"/>
          <w:kern w:val="2"/>
          <w:sz w:val="32"/>
          <w:szCs w:val="32"/>
          <w:highlight w:val="none"/>
          <w:u w:val="none"/>
          <w:lang w:val="zh-CN" w:eastAsia="zh-CN" w:bidi="ar-SA"/>
        </w:rPr>
        <w:t>收运车辆均需安装卫星定位系统及装卸过程记录仪，配备物联网感知设备，并在协议 签订后30日历天内，完成市、区级相关平台对接及实现数据互联互通。</w:t>
      </w:r>
    </w:p>
    <w:p w14:paraId="097E599C">
      <w:pPr>
        <w:pStyle w:val="2"/>
        <w:keepNext w:val="0"/>
        <w:keepLines w:val="0"/>
        <w:pageBreakBefore w:val="0"/>
        <w:widowControl w:val="0"/>
        <w:numPr>
          <w:ilvl w:val="0"/>
          <w:numId w:val="0"/>
        </w:numPr>
        <w:kinsoku/>
        <w:wordWrap/>
        <w:overflowPunct/>
        <w:topLinePunct w:val="0"/>
        <w:autoSpaceDE/>
        <w:autoSpaceDN/>
        <w:bidi w:val="0"/>
        <w:spacing w:line="580" w:lineRule="exact"/>
        <w:ind w:right="280" w:rightChars="100" w:firstLine="640" w:firstLineChars="200"/>
        <w:textAlignment w:val="auto"/>
        <w:rPr>
          <w:rFonts w:hint="eastAsia" w:ascii="方正仿宋_GBK" w:hAnsi="方正仿宋_GBK" w:eastAsia="方正仿宋_GBK" w:cs="方正仿宋_GBK"/>
          <w:b w:val="0"/>
          <w:bCs w:val="0"/>
          <w:kern w:val="2"/>
          <w:sz w:val="32"/>
          <w:szCs w:val="32"/>
          <w:highlight w:val="none"/>
          <w:lang w:val="en-US" w:eastAsia="zh-CN" w:bidi="ar-SA"/>
        </w:rPr>
      </w:pPr>
      <w:r>
        <w:rPr>
          <w:rFonts w:hint="eastAsia" w:ascii="方正仿宋_GBK" w:hAnsi="方正仿宋_GBK" w:eastAsia="方正仿宋_GBK" w:cs="方正仿宋_GBK"/>
          <w:kern w:val="2"/>
          <w:sz w:val="32"/>
          <w:szCs w:val="32"/>
          <w:highlight w:val="none"/>
          <w:u w:val="none"/>
          <w:lang w:val="en-US" w:eastAsia="zh-CN" w:bidi="ar-SA"/>
        </w:rPr>
        <w:t>5.</w:t>
      </w:r>
      <w:r>
        <w:rPr>
          <w:rFonts w:hint="eastAsia" w:ascii="方正仿宋_GBK" w:hAnsi="方正仿宋_GBK" w:eastAsia="方正仿宋_GBK" w:cs="方正仿宋_GBK"/>
          <w:b w:val="0"/>
          <w:bCs w:val="0"/>
          <w:kern w:val="2"/>
          <w:sz w:val="32"/>
          <w:szCs w:val="32"/>
          <w:highlight w:val="none"/>
          <w:lang w:val="en-US" w:eastAsia="zh-CN" w:bidi="ar-SA"/>
        </w:rPr>
        <w:t>车辆涂装要求</w:t>
      </w:r>
    </w:p>
    <w:p w14:paraId="5892B3F5">
      <w:pPr>
        <w:pStyle w:val="2"/>
        <w:keepNext w:val="0"/>
        <w:keepLines w:val="0"/>
        <w:pageBreakBefore w:val="0"/>
        <w:widowControl w:val="0"/>
        <w:numPr>
          <w:ilvl w:val="0"/>
          <w:numId w:val="0"/>
        </w:numPr>
        <w:kinsoku/>
        <w:wordWrap/>
        <w:overflowPunct/>
        <w:topLinePunct w:val="0"/>
        <w:autoSpaceDE/>
        <w:autoSpaceDN/>
        <w:bidi w:val="0"/>
        <w:spacing w:line="580" w:lineRule="exact"/>
        <w:ind w:right="280" w:rightChars="100" w:firstLine="640" w:firstLineChars="200"/>
        <w:textAlignment w:val="auto"/>
        <w:rPr>
          <w:rFonts w:hint="eastAsia" w:ascii="方正仿宋_GBK" w:hAnsi="方正仿宋_GBK" w:eastAsia="方正仿宋_GBK" w:cs="方正仿宋_GBK"/>
          <w:kern w:val="2"/>
          <w:sz w:val="32"/>
          <w:szCs w:val="32"/>
          <w:highlight w:val="none"/>
          <w:lang w:val="en-US" w:eastAsia="zh-CN" w:bidi="ar-SA"/>
        </w:rPr>
      </w:pPr>
      <w:r>
        <w:rPr>
          <w:rFonts w:hint="eastAsia" w:ascii="方正仿宋_GBK" w:hAnsi="方正仿宋_GBK" w:eastAsia="方正仿宋_GBK" w:cs="方正仿宋_GBK"/>
          <w:kern w:val="2"/>
          <w:sz w:val="32"/>
          <w:szCs w:val="32"/>
          <w:highlight w:val="none"/>
          <w:lang w:val="en-US" w:eastAsia="zh-CN" w:bidi="ar-SA"/>
        </w:rPr>
        <w:t>涂装区域位于车厢部分，灰色与绿色涂装比例为0.92:1，绿色涂装 区域与车厢底部夹角为64度。涂装所使用的颜色需严格按照指定色值进 行使用，图标及文字内容大小，根据不同车型，尺寸区间值为——厨余 垃圾LOGO图形及中英文：高231mm长640mm~高385长1062mm，“重庆市废弃食用油脂专用收运车”文字：高118mm长1410mm~高195mm长2340mm。整体涂装LOGO及文字需在指定区域，醒目清晰。（涂装相应颜色色值已在下方收运车辆涂装示意图旁标注，涂装中，所使用到的白色色值均为C:0 M:0 Y:0 K:0。）</w:t>
      </w:r>
    </w:p>
    <w:p w14:paraId="26B6EFD5">
      <w:pPr>
        <w:pStyle w:val="2"/>
        <w:jc w:val="center"/>
        <w:rPr>
          <w:highlight w:val="none"/>
        </w:rPr>
      </w:pPr>
      <w:r>
        <w:rPr>
          <w:highlight w:val="none"/>
        </w:rPr>
        <w:drawing>
          <wp:inline distT="0" distB="0" distL="114300" distR="114300">
            <wp:extent cx="5056505" cy="2740660"/>
            <wp:effectExtent l="0" t="0" r="317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5056505" cy="2740660"/>
                    </a:xfrm>
                    <a:prstGeom prst="rect">
                      <a:avLst/>
                    </a:prstGeom>
                    <a:noFill/>
                    <a:ln>
                      <a:noFill/>
                    </a:ln>
                  </pic:spPr>
                </pic:pic>
              </a:graphicData>
            </a:graphic>
          </wp:inline>
        </w:drawing>
      </w:r>
    </w:p>
    <w:p w14:paraId="0962E0D3">
      <w:pPr>
        <w:pStyle w:val="3"/>
        <w:keepNext w:val="0"/>
        <w:keepLines w:val="0"/>
        <w:pageBreakBefore w:val="0"/>
        <w:widowControl w:val="0"/>
        <w:kinsoku/>
        <w:wordWrap/>
        <w:overflowPunct/>
        <w:topLinePunct w:val="0"/>
        <w:autoSpaceDE/>
        <w:autoSpaceDN/>
        <w:bidi w:val="0"/>
        <w:adjustRightInd w:val="0"/>
        <w:snapToGrid w:val="0"/>
        <w:spacing w:line="580" w:lineRule="exact"/>
        <w:ind w:firstLine="641"/>
        <w:textAlignment w:val="auto"/>
        <w:rPr>
          <w:rFonts w:hint="default" w:ascii="方正仿宋_GBK" w:hAnsi="方正仿宋_GBK" w:eastAsia="方正仿宋_GBK" w:cs="方正仿宋_GBK"/>
          <w:kern w:val="2"/>
          <w:sz w:val="32"/>
          <w:szCs w:val="32"/>
          <w:highlight w:val="none"/>
          <w:u w:val="none"/>
          <w:lang w:val="en-US" w:eastAsia="zh-CN" w:bidi="ar-SA"/>
        </w:rPr>
      </w:pPr>
      <w:r>
        <w:rPr>
          <w:highlight w:val="none"/>
        </w:rPr>
        <w:drawing>
          <wp:inline distT="0" distB="0" distL="114300" distR="114300">
            <wp:extent cx="5160010" cy="3549650"/>
            <wp:effectExtent l="0" t="0" r="635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6"/>
                    <a:stretch>
                      <a:fillRect/>
                    </a:stretch>
                  </pic:blipFill>
                  <pic:spPr>
                    <a:xfrm>
                      <a:off x="0" y="0"/>
                      <a:ext cx="5160010" cy="3549650"/>
                    </a:xfrm>
                    <a:prstGeom prst="rect">
                      <a:avLst/>
                    </a:prstGeom>
                    <a:noFill/>
                    <a:ln>
                      <a:noFill/>
                    </a:ln>
                  </pic:spPr>
                </pic:pic>
              </a:graphicData>
            </a:graphic>
          </wp:inline>
        </w:drawing>
      </w:r>
    </w:p>
    <w:p w14:paraId="19E6DFD3">
      <w:pPr>
        <w:pStyle w:val="2"/>
        <w:keepNext w:val="0"/>
        <w:keepLines w:val="0"/>
        <w:pageBreakBefore w:val="0"/>
        <w:widowControl w:val="0"/>
        <w:numPr>
          <w:ilvl w:val="0"/>
          <w:numId w:val="0"/>
        </w:numPr>
        <w:wordWrap/>
        <w:overflowPunct/>
        <w:topLinePunct w:val="0"/>
        <w:bidi w:val="0"/>
        <w:spacing w:line="600" w:lineRule="exact"/>
        <w:rPr>
          <w:rFonts w:hint="eastAsia" w:ascii="方正仿宋_GBK" w:hAnsi="方正仿宋_GBK" w:eastAsia="方正仿宋_GBK" w:cs="方正仿宋_GBK"/>
          <w:kern w:val="2"/>
          <w:sz w:val="32"/>
          <w:szCs w:val="32"/>
          <w:highlight w:val="none"/>
          <w:lang w:val="en-US" w:eastAsia="zh-CN" w:bidi="ar-SA"/>
        </w:rPr>
      </w:pPr>
      <w:r>
        <w:rPr>
          <w:rFonts w:hint="eastAsia" w:ascii="方正仿宋_GBK" w:hAnsi="方正仿宋_GBK" w:eastAsia="方正仿宋_GBK" w:cs="方正仿宋_GBK"/>
          <w:kern w:val="2"/>
          <w:sz w:val="32"/>
          <w:szCs w:val="32"/>
          <w:highlight w:val="none"/>
          <w:lang w:val="en-US" w:eastAsia="zh-CN" w:bidi="ar-SA"/>
        </w:rPr>
        <w:t>　　（二）人员情况</w:t>
      </w:r>
    </w:p>
    <w:p w14:paraId="533EDC40">
      <w:pPr>
        <w:keepNext w:val="0"/>
        <w:keepLines w:val="0"/>
        <w:pageBreakBefore w:val="0"/>
        <w:widowControl w:val="0"/>
        <w:wordWrap/>
        <w:overflowPunct/>
        <w:topLinePunct w:val="0"/>
        <w:bidi w:val="0"/>
        <w:spacing w:line="600" w:lineRule="exact"/>
        <w:ind w:firstLine="640" w:firstLineChars="200"/>
        <w:textAlignment w:val="baseline"/>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kern w:val="2"/>
          <w:sz w:val="32"/>
          <w:szCs w:val="32"/>
          <w:highlight w:val="none"/>
          <w:u w:val="none"/>
          <w:lang w:val="en-US" w:eastAsia="zh-CN" w:bidi="ar-SA"/>
        </w:rPr>
        <w:t>1.</w:t>
      </w:r>
      <w:r>
        <w:rPr>
          <w:rFonts w:hint="eastAsia" w:ascii="方正仿宋_GBK" w:hAnsi="方正仿宋_GBK" w:eastAsia="方正仿宋_GBK" w:cs="方正仿宋_GBK"/>
          <w:kern w:val="2"/>
          <w:sz w:val="32"/>
          <w:szCs w:val="32"/>
          <w:highlight w:val="none"/>
          <w:u w:val="none"/>
          <w:lang w:val="zh-CN" w:eastAsia="zh-CN" w:bidi="ar-SA"/>
        </w:rPr>
        <w:t>乙方派到甲方本项目服务区域的工作人员共计</w:t>
      </w:r>
      <w:r>
        <w:rPr>
          <w:rFonts w:hint="eastAsia" w:ascii="方正仿宋_GBK" w:hAnsi="方正仿宋_GBK" w:eastAsia="方正仿宋_GBK" w:cs="方正仿宋_GBK"/>
          <w:kern w:val="2"/>
          <w:sz w:val="32"/>
          <w:szCs w:val="32"/>
          <w:highlight w:val="none"/>
          <w:u w:val="single"/>
          <w:lang w:val="zh-CN" w:eastAsia="zh-CN" w:bidi="ar-SA"/>
        </w:rPr>
        <w:t>XX名</w:t>
      </w:r>
      <w:r>
        <w:rPr>
          <w:rFonts w:hint="eastAsia" w:ascii="方正仿宋_GBK" w:hAnsi="方正仿宋_GBK" w:eastAsia="方正仿宋_GBK" w:cs="方正仿宋_GBK"/>
          <w:kern w:val="2"/>
          <w:sz w:val="32"/>
          <w:szCs w:val="32"/>
          <w:highlight w:val="none"/>
          <w:u w:val="none"/>
          <w:lang w:val="zh-CN" w:eastAsia="zh-CN" w:bidi="ar-SA"/>
        </w:rPr>
        <w:t>，其中项目管理员</w:t>
      </w:r>
      <w:r>
        <w:rPr>
          <w:rFonts w:hint="eastAsia" w:ascii="方正仿宋_GBK" w:hAnsi="方正仿宋_GBK" w:eastAsia="方正仿宋_GBK" w:cs="方正仿宋_GBK"/>
          <w:kern w:val="2"/>
          <w:sz w:val="32"/>
          <w:szCs w:val="32"/>
          <w:highlight w:val="none"/>
          <w:u w:val="single"/>
          <w:lang w:val="zh-CN" w:eastAsia="zh-CN" w:bidi="ar-SA"/>
        </w:rPr>
        <w:t>XX名</w:t>
      </w:r>
      <w:r>
        <w:rPr>
          <w:rFonts w:hint="eastAsia" w:ascii="方正仿宋_GBK" w:hAnsi="方正仿宋_GBK" w:eastAsia="方正仿宋_GBK" w:cs="方正仿宋_GBK"/>
          <w:kern w:val="2"/>
          <w:sz w:val="32"/>
          <w:szCs w:val="32"/>
          <w:highlight w:val="none"/>
          <w:u w:val="none"/>
          <w:lang w:val="zh-CN" w:eastAsia="zh-CN" w:bidi="ar-SA"/>
        </w:rPr>
        <w:t>；驾驶员</w:t>
      </w:r>
      <w:r>
        <w:rPr>
          <w:rFonts w:hint="eastAsia" w:ascii="方正仿宋_GBK" w:hAnsi="方正仿宋_GBK" w:eastAsia="方正仿宋_GBK" w:cs="方正仿宋_GBK"/>
          <w:kern w:val="2"/>
          <w:sz w:val="32"/>
          <w:szCs w:val="32"/>
          <w:highlight w:val="none"/>
          <w:u w:val="single"/>
          <w:lang w:val="zh-CN" w:eastAsia="zh-CN" w:bidi="ar-SA"/>
        </w:rPr>
        <w:t>XX名</w:t>
      </w:r>
      <w:r>
        <w:rPr>
          <w:rFonts w:hint="eastAsia" w:ascii="方正仿宋_GBK" w:hAnsi="方正仿宋_GBK" w:eastAsia="方正仿宋_GBK" w:cs="方正仿宋_GBK"/>
          <w:kern w:val="2"/>
          <w:sz w:val="32"/>
          <w:szCs w:val="32"/>
          <w:highlight w:val="none"/>
          <w:u w:val="none"/>
          <w:lang w:val="zh-CN" w:eastAsia="zh-CN" w:bidi="ar-SA"/>
        </w:rPr>
        <w:t>；收运工</w:t>
      </w:r>
      <w:r>
        <w:rPr>
          <w:rFonts w:hint="eastAsia" w:ascii="方正仿宋_GBK" w:hAnsi="方正仿宋_GBK" w:eastAsia="方正仿宋_GBK" w:cs="方正仿宋_GBK"/>
          <w:kern w:val="2"/>
          <w:sz w:val="32"/>
          <w:szCs w:val="32"/>
          <w:highlight w:val="none"/>
          <w:u w:val="single"/>
          <w:lang w:val="en-US" w:eastAsia="zh-CN" w:bidi="ar-SA"/>
        </w:rPr>
        <w:t>XX名</w:t>
      </w:r>
      <w:r>
        <w:rPr>
          <w:rFonts w:hint="eastAsia" w:ascii="方正仿宋_GBK" w:hAnsi="方正仿宋_GBK" w:eastAsia="方正仿宋_GBK" w:cs="方正仿宋_GBK"/>
          <w:kern w:val="2"/>
          <w:sz w:val="32"/>
          <w:szCs w:val="32"/>
          <w:highlight w:val="none"/>
          <w:u w:val="none"/>
          <w:lang w:val="zh-CN" w:eastAsia="zh-CN" w:bidi="ar-SA"/>
        </w:rPr>
        <w:t>；</w:t>
      </w:r>
      <w:r>
        <w:rPr>
          <w:rFonts w:hint="eastAsia" w:ascii="方正仿宋_GBK" w:hAnsi="方正仿宋_GBK" w:eastAsia="方正仿宋_GBK" w:cs="方正仿宋_GBK"/>
          <w:sz w:val="32"/>
          <w:szCs w:val="32"/>
          <w:highlight w:val="none"/>
        </w:rPr>
        <w:t>取得安全相关合格证书</w:t>
      </w:r>
      <w:r>
        <w:rPr>
          <w:rFonts w:hint="eastAsia" w:ascii="方正仿宋_GBK" w:hAnsi="方正仿宋_GBK" w:eastAsia="方正仿宋_GBK" w:cs="方正仿宋_GBK"/>
          <w:sz w:val="32"/>
          <w:szCs w:val="32"/>
          <w:highlight w:val="none"/>
          <w:lang w:eastAsia="zh-CN"/>
        </w:rPr>
        <w:t>的</w:t>
      </w:r>
      <w:r>
        <w:rPr>
          <w:rFonts w:hint="eastAsia" w:ascii="方正仿宋_GBK" w:hAnsi="方正仿宋_GBK" w:eastAsia="方正仿宋_GBK" w:cs="方正仿宋_GBK"/>
          <w:sz w:val="32"/>
          <w:szCs w:val="32"/>
          <w:highlight w:val="none"/>
          <w:u w:val="single"/>
          <w:lang w:val="en-US" w:eastAsia="zh-CN"/>
        </w:rPr>
        <w:t>XX人</w:t>
      </w:r>
      <w:r>
        <w:rPr>
          <w:rFonts w:hint="eastAsia" w:ascii="方正仿宋_GBK" w:hAnsi="方正仿宋_GBK" w:eastAsia="方正仿宋_GBK" w:cs="方正仿宋_GBK"/>
          <w:sz w:val="32"/>
          <w:szCs w:val="32"/>
          <w:highlight w:val="none"/>
          <w:lang w:val="en-US" w:eastAsia="zh-CN"/>
        </w:rPr>
        <w:t>。</w:t>
      </w:r>
    </w:p>
    <w:p w14:paraId="7DA46A43">
      <w:pPr>
        <w:keepNext w:val="0"/>
        <w:keepLines w:val="0"/>
        <w:pageBreakBefore w:val="0"/>
        <w:widowControl w:val="0"/>
        <w:numPr>
          <w:ilvl w:val="0"/>
          <w:numId w:val="0"/>
        </w:numPr>
        <w:kinsoku/>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2.</w:t>
      </w:r>
      <w:r>
        <w:rPr>
          <w:rFonts w:hint="eastAsia" w:ascii="方正仿宋_GBK" w:hAnsi="方正仿宋_GBK" w:eastAsia="方正仿宋_GBK" w:cs="方正仿宋_GBK"/>
          <w:sz w:val="32"/>
          <w:szCs w:val="32"/>
          <w:highlight w:val="none"/>
        </w:rPr>
        <w:t>在入场后30日历天内</w:t>
      </w:r>
      <w:r>
        <w:rPr>
          <w:rFonts w:hint="eastAsia" w:ascii="方正仿宋_GBK" w:hAnsi="方正仿宋_GBK" w:eastAsia="方正仿宋_GBK" w:cs="方正仿宋_GBK"/>
          <w:sz w:val="32"/>
          <w:szCs w:val="32"/>
          <w:highlight w:val="none"/>
          <w:lang w:eastAsia="zh-CN"/>
        </w:rPr>
        <w:t>，向甲方</w:t>
      </w:r>
      <w:r>
        <w:rPr>
          <w:rFonts w:hint="eastAsia" w:ascii="方正仿宋_GBK" w:hAnsi="方正仿宋_GBK" w:eastAsia="方正仿宋_GBK" w:cs="方正仿宋_GBK"/>
          <w:sz w:val="32"/>
          <w:szCs w:val="32"/>
          <w:highlight w:val="none"/>
        </w:rPr>
        <w:t>提供派驻</w:t>
      </w:r>
      <w:r>
        <w:rPr>
          <w:rFonts w:hint="eastAsia" w:ascii="方正仿宋_GBK" w:hAnsi="方正仿宋_GBK" w:eastAsia="方正仿宋_GBK" w:cs="方正仿宋_GBK"/>
          <w:sz w:val="32"/>
          <w:szCs w:val="32"/>
          <w:highlight w:val="none"/>
          <w:lang w:eastAsia="zh-CN"/>
        </w:rPr>
        <w:t>九龙坡区域作业</w:t>
      </w:r>
      <w:r>
        <w:rPr>
          <w:rFonts w:hint="eastAsia" w:ascii="方正仿宋_GBK" w:hAnsi="方正仿宋_GBK" w:eastAsia="方正仿宋_GBK" w:cs="方正仿宋_GBK"/>
          <w:sz w:val="32"/>
          <w:szCs w:val="32"/>
          <w:highlight w:val="none"/>
        </w:rPr>
        <w:t>人员名单（详细注明人员姓名、身份证号码、工牌工号）、用工</w:t>
      </w:r>
      <w:r>
        <w:rPr>
          <w:rFonts w:hint="eastAsia" w:ascii="方正仿宋_GBK" w:hAnsi="方正仿宋_GBK" w:eastAsia="方正仿宋_GBK" w:cs="方正仿宋_GBK"/>
          <w:sz w:val="32"/>
          <w:szCs w:val="32"/>
          <w:highlight w:val="none"/>
          <w:lang w:eastAsia="zh-CN"/>
        </w:rPr>
        <w:t xml:space="preserve">协议 </w:t>
      </w:r>
      <w:r>
        <w:rPr>
          <w:rFonts w:hint="eastAsia" w:ascii="方正仿宋_GBK" w:hAnsi="方正仿宋_GBK" w:eastAsia="方正仿宋_GBK" w:cs="方正仿宋_GBK"/>
          <w:sz w:val="32"/>
          <w:szCs w:val="32"/>
          <w:highlight w:val="none"/>
        </w:rPr>
        <w:t>、社</w:t>
      </w:r>
      <w:r>
        <w:rPr>
          <w:rFonts w:hint="eastAsia" w:ascii="方正仿宋_GBK" w:hAnsi="方正仿宋_GBK" w:eastAsia="方正仿宋_GBK" w:cs="方正仿宋_GBK"/>
          <w:sz w:val="32"/>
          <w:szCs w:val="32"/>
          <w:highlight w:val="none"/>
          <w:lang w:eastAsia="zh-CN"/>
        </w:rPr>
        <w:t>会</w:t>
      </w:r>
      <w:r>
        <w:rPr>
          <w:rFonts w:hint="eastAsia" w:ascii="方正仿宋_GBK" w:hAnsi="方正仿宋_GBK" w:eastAsia="方正仿宋_GBK" w:cs="方正仿宋_GBK"/>
          <w:sz w:val="32"/>
          <w:szCs w:val="32"/>
          <w:highlight w:val="none"/>
        </w:rPr>
        <w:t>保</w:t>
      </w:r>
      <w:r>
        <w:rPr>
          <w:rFonts w:hint="eastAsia" w:ascii="方正仿宋_GBK" w:hAnsi="方正仿宋_GBK" w:eastAsia="方正仿宋_GBK" w:cs="方正仿宋_GBK"/>
          <w:sz w:val="32"/>
          <w:szCs w:val="32"/>
          <w:highlight w:val="none"/>
          <w:lang w:eastAsia="zh-CN"/>
        </w:rPr>
        <w:t>险</w:t>
      </w:r>
      <w:r>
        <w:rPr>
          <w:rFonts w:hint="eastAsia" w:ascii="方正仿宋_GBK" w:hAnsi="方正仿宋_GBK" w:eastAsia="方正仿宋_GBK" w:cs="方正仿宋_GBK"/>
          <w:sz w:val="32"/>
          <w:szCs w:val="32"/>
          <w:highlight w:val="none"/>
        </w:rPr>
        <w:t>（或商业保险）等资料。</w:t>
      </w:r>
    </w:p>
    <w:p w14:paraId="4625245C">
      <w:pPr>
        <w:pStyle w:val="2"/>
        <w:keepNext w:val="0"/>
        <w:keepLines w:val="0"/>
        <w:pageBreakBefore w:val="0"/>
        <w:widowControl w:val="0"/>
        <w:numPr>
          <w:ilvl w:val="0"/>
          <w:numId w:val="0"/>
        </w:numPr>
        <w:wordWrap/>
        <w:overflowPunct/>
        <w:topLinePunct w:val="0"/>
        <w:bidi w:val="0"/>
        <w:spacing w:line="580" w:lineRule="exact"/>
        <w:ind w:right="280" w:rightChars="100" w:firstLine="640" w:firstLineChars="200"/>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3.工作服标准</w:t>
      </w:r>
    </w:p>
    <w:p w14:paraId="0E2BBD46">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right="280" w:rightChars="100"/>
        <w:jc w:val="center"/>
        <w:textAlignment w:val="auto"/>
      </w:pPr>
      <w:r>
        <w:drawing>
          <wp:inline distT="0" distB="0" distL="114300" distR="114300">
            <wp:extent cx="4930140" cy="2016125"/>
            <wp:effectExtent l="0" t="0" r="7620"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4930140" cy="2016125"/>
                    </a:xfrm>
                    <a:prstGeom prst="rect">
                      <a:avLst/>
                    </a:prstGeom>
                    <a:noFill/>
                    <a:ln>
                      <a:noFill/>
                    </a:ln>
                  </pic:spPr>
                </pic:pic>
              </a:graphicData>
            </a:graphic>
          </wp:inline>
        </w:drawing>
      </w:r>
    </w:p>
    <w:p w14:paraId="39F883A6">
      <w:pPr>
        <w:keepNext w:val="0"/>
        <w:keepLines w:val="0"/>
        <w:pageBreakBefore w:val="0"/>
        <w:widowControl w:val="0"/>
        <w:kinsoku w:val="0"/>
        <w:wordWrap/>
        <w:overflowPunct/>
        <w:topLinePunct w:val="0"/>
        <w:autoSpaceDE w:val="0"/>
        <w:autoSpaceDN w:val="0"/>
        <w:bidi w:val="0"/>
        <w:adjustRightInd w:val="0"/>
        <w:snapToGrid w:val="0"/>
        <w:spacing w:line="240" w:lineRule="auto"/>
        <w:ind w:firstLine="560" w:firstLineChars="200"/>
        <w:textAlignment w:val="baseline"/>
      </w:pPr>
    </w:p>
    <w:p w14:paraId="7EF40AC2">
      <w:pPr>
        <w:keepNext w:val="0"/>
        <w:keepLines w:val="0"/>
        <w:pageBreakBefore w:val="0"/>
        <w:widowControl w:val="0"/>
        <w:kinsoku w:val="0"/>
        <w:wordWrap/>
        <w:overflowPunct/>
        <w:topLinePunct w:val="0"/>
        <w:autoSpaceDE w:val="0"/>
        <w:autoSpaceDN w:val="0"/>
        <w:bidi w:val="0"/>
        <w:adjustRightInd w:val="0"/>
        <w:snapToGrid w:val="0"/>
        <w:spacing w:line="240" w:lineRule="auto"/>
        <w:ind w:firstLine="560" w:firstLineChars="200"/>
        <w:jc w:val="center"/>
        <w:textAlignment w:val="baseline"/>
      </w:pPr>
      <w:r>
        <w:drawing>
          <wp:inline distT="0" distB="0" distL="114300" distR="114300">
            <wp:extent cx="4939030" cy="2635250"/>
            <wp:effectExtent l="0" t="0" r="13970" b="12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4939030" cy="2635250"/>
                    </a:xfrm>
                    <a:prstGeom prst="rect">
                      <a:avLst/>
                    </a:prstGeom>
                    <a:noFill/>
                    <a:ln>
                      <a:noFill/>
                    </a:ln>
                  </pic:spPr>
                </pic:pic>
              </a:graphicData>
            </a:graphic>
          </wp:inline>
        </w:drawing>
      </w:r>
    </w:p>
    <w:p w14:paraId="70DD004D">
      <w:pPr>
        <w:keepNext w:val="0"/>
        <w:keepLines w:val="0"/>
        <w:pageBreakBefore w:val="0"/>
        <w:widowControl w:val="0"/>
        <w:kinsoku w:val="0"/>
        <w:wordWrap/>
        <w:overflowPunct/>
        <w:topLinePunct w:val="0"/>
        <w:autoSpaceDE w:val="0"/>
        <w:autoSpaceDN w:val="0"/>
        <w:bidi w:val="0"/>
        <w:adjustRightInd w:val="0"/>
        <w:snapToGrid w:val="0"/>
        <w:spacing w:line="240" w:lineRule="auto"/>
        <w:ind w:firstLine="560" w:firstLineChars="200"/>
        <w:textAlignment w:val="baseline"/>
      </w:pPr>
    </w:p>
    <w:p w14:paraId="6210EBE6">
      <w:pPr>
        <w:keepNext w:val="0"/>
        <w:keepLines w:val="0"/>
        <w:pageBreakBefore w:val="0"/>
        <w:widowControl w:val="0"/>
        <w:kinsoku w:val="0"/>
        <w:wordWrap/>
        <w:overflowPunct/>
        <w:topLinePunct w:val="0"/>
        <w:autoSpaceDE w:val="0"/>
        <w:autoSpaceDN w:val="0"/>
        <w:bidi w:val="0"/>
        <w:adjustRightInd w:val="0"/>
        <w:snapToGrid w:val="0"/>
        <w:spacing w:line="240" w:lineRule="auto"/>
        <w:ind w:firstLine="560" w:firstLineChars="200"/>
        <w:jc w:val="center"/>
        <w:textAlignment w:val="baseline"/>
      </w:pPr>
      <w:r>
        <w:drawing>
          <wp:inline distT="0" distB="0" distL="114300" distR="114300">
            <wp:extent cx="4854575" cy="2797175"/>
            <wp:effectExtent l="0" t="0" r="6985"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a:stretch>
                      <a:fillRect/>
                    </a:stretch>
                  </pic:blipFill>
                  <pic:spPr>
                    <a:xfrm>
                      <a:off x="0" y="0"/>
                      <a:ext cx="4854575" cy="2797175"/>
                    </a:xfrm>
                    <a:prstGeom prst="rect">
                      <a:avLst/>
                    </a:prstGeom>
                    <a:noFill/>
                    <a:ln>
                      <a:noFill/>
                    </a:ln>
                  </pic:spPr>
                </pic:pic>
              </a:graphicData>
            </a:graphic>
          </wp:inline>
        </w:drawing>
      </w:r>
    </w:p>
    <w:p w14:paraId="5E2C5ABC">
      <w:pPr>
        <w:pStyle w:val="2"/>
      </w:pPr>
    </w:p>
    <w:p w14:paraId="7CF7F4CC">
      <w:pPr>
        <w:keepNext w:val="0"/>
        <w:keepLines w:val="0"/>
        <w:pageBreakBefore w:val="0"/>
        <w:widowControl w:val="0"/>
        <w:kinsoku w:val="0"/>
        <w:wordWrap/>
        <w:overflowPunct/>
        <w:topLinePunct w:val="0"/>
        <w:autoSpaceDE w:val="0"/>
        <w:autoSpaceDN w:val="0"/>
        <w:bidi w:val="0"/>
        <w:adjustRightInd w:val="0"/>
        <w:snapToGrid w:val="0"/>
        <w:spacing w:line="240" w:lineRule="auto"/>
        <w:ind w:firstLine="560" w:firstLineChars="200"/>
        <w:jc w:val="center"/>
        <w:textAlignment w:val="baseline"/>
        <w:rPr>
          <w:rFonts w:hint="eastAsia" w:ascii="方正楷体_GBK" w:hAnsi="方正楷体_GBK" w:eastAsia="方正楷体_GBK" w:cs="方正楷体_GBK"/>
          <w:kern w:val="2"/>
          <w:sz w:val="32"/>
          <w:szCs w:val="32"/>
          <w:lang w:val="en-US" w:eastAsia="zh-CN" w:bidi="ar-SA"/>
        </w:rPr>
      </w:pPr>
      <w:r>
        <w:drawing>
          <wp:inline distT="0" distB="0" distL="114300" distR="114300">
            <wp:extent cx="4493895" cy="2520315"/>
            <wp:effectExtent l="0" t="0" r="190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a:stretch>
                      <a:fillRect/>
                    </a:stretch>
                  </pic:blipFill>
                  <pic:spPr>
                    <a:xfrm>
                      <a:off x="0" y="0"/>
                      <a:ext cx="4493895" cy="2520315"/>
                    </a:xfrm>
                    <a:prstGeom prst="rect">
                      <a:avLst/>
                    </a:prstGeom>
                    <a:noFill/>
                    <a:ln>
                      <a:noFill/>
                    </a:ln>
                  </pic:spPr>
                </pic:pic>
              </a:graphicData>
            </a:graphic>
          </wp:inline>
        </w:drawing>
      </w:r>
    </w:p>
    <w:p w14:paraId="202E64E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5.工作牌样式</w:t>
      </w:r>
    </w:p>
    <w:p w14:paraId="7F07C4F0">
      <w:pPr>
        <w:pStyle w:val="2"/>
        <w:numPr>
          <w:ilvl w:val="0"/>
          <w:numId w:val="0"/>
        </w:numPr>
        <w:ind w:leftChars="200"/>
        <w:rPr>
          <w:rFonts w:hint="default" w:eastAsia="方正仿宋_GBK"/>
          <w:lang w:val="en-US" w:eastAsia="zh-CN"/>
        </w:rPr>
      </w:pPr>
      <w:r>
        <w:drawing>
          <wp:inline distT="0" distB="0" distL="114300" distR="114300">
            <wp:extent cx="3171825" cy="2533650"/>
            <wp:effectExtent l="0" t="0" r="13335" b="1143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a:stretch>
                      <a:fillRect/>
                    </a:stretch>
                  </pic:blipFill>
                  <pic:spPr>
                    <a:xfrm>
                      <a:off x="0" y="0"/>
                      <a:ext cx="3171825" cy="2533650"/>
                    </a:xfrm>
                    <a:prstGeom prst="rect">
                      <a:avLst/>
                    </a:prstGeom>
                    <a:noFill/>
                    <a:ln>
                      <a:noFill/>
                    </a:ln>
                  </pic:spPr>
                </pic:pic>
              </a:graphicData>
            </a:graphic>
          </wp:inline>
        </w:drawing>
      </w:r>
    </w:p>
    <w:p w14:paraId="724DD3E7">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（三）设备及人员变更</w:t>
      </w:r>
    </w:p>
    <w:p w14:paraId="21A9A68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rPr>
        <w:t>本项目有效期内</w:t>
      </w:r>
      <w:r>
        <w:rPr>
          <w:rFonts w:hint="eastAsia" w:ascii="方正仿宋_GBK" w:hAnsi="方正仿宋_GBK" w:eastAsia="方正仿宋_GBK" w:cs="方正仿宋_GBK"/>
          <w:sz w:val="32"/>
          <w:szCs w:val="32"/>
          <w:lang w:eastAsia="zh-CN"/>
        </w:rPr>
        <w:t>不得擅自变更作业车辆及</w:t>
      </w:r>
      <w:r>
        <w:rPr>
          <w:rFonts w:hint="eastAsia" w:ascii="方正仿宋_GBK" w:hAnsi="方正仿宋_GBK" w:eastAsia="方正仿宋_GBK" w:cs="方正仿宋_GBK"/>
          <w:sz w:val="32"/>
          <w:szCs w:val="32"/>
        </w:rPr>
        <w:t>人员，</w:t>
      </w:r>
      <w:r>
        <w:rPr>
          <w:rFonts w:hint="eastAsia" w:ascii="方正仿宋_GBK" w:hAnsi="方正仿宋_GBK" w:eastAsia="方正仿宋_GBK" w:cs="方正仿宋_GBK"/>
          <w:sz w:val="32"/>
          <w:szCs w:val="32"/>
          <w:lang w:eastAsia="zh-CN"/>
        </w:rPr>
        <w:t>若遇特殊情况乙方</w:t>
      </w:r>
      <w:r>
        <w:rPr>
          <w:rFonts w:hint="eastAsia" w:ascii="方正仿宋_GBK" w:hAnsi="方正仿宋_GBK" w:eastAsia="方正仿宋_GBK" w:cs="方正仿宋_GBK"/>
          <w:sz w:val="32"/>
          <w:szCs w:val="32"/>
        </w:rPr>
        <w:t>应</w:t>
      </w:r>
      <w:r>
        <w:rPr>
          <w:rFonts w:hint="eastAsia" w:ascii="方正仿宋_GBK" w:hAnsi="方正仿宋_GBK" w:eastAsia="方正仿宋_GBK" w:cs="方正仿宋_GBK"/>
          <w:sz w:val="32"/>
          <w:szCs w:val="32"/>
          <w:lang w:eastAsia="zh-CN"/>
        </w:rPr>
        <w:t>提前</w:t>
      </w:r>
      <w:r>
        <w:rPr>
          <w:rFonts w:hint="eastAsia" w:ascii="方正仿宋_GBK" w:hAnsi="方正仿宋_GBK" w:eastAsia="方正仿宋_GBK" w:cs="方正仿宋_GBK"/>
          <w:sz w:val="32"/>
          <w:szCs w:val="32"/>
        </w:rPr>
        <w:t>7个日历天</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向</w:t>
      </w:r>
      <w:r>
        <w:rPr>
          <w:rFonts w:hint="eastAsia" w:ascii="方正仿宋_GBK" w:hAnsi="方正仿宋_GBK" w:eastAsia="方正仿宋_GBK" w:cs="方正仿宋_GBK"/>
          <w:sz w:val="32"/>
          <w:szCs w:val="32"/>
          <w:lang w:eastAsia="zh-CN"/>
        </w:rPr>
        <w:t>甲方申报并获得甲方书面同意</w:t>
      </w:r>
      <w:r>
        <w:rPr>
          <w:rFonts w:hint="eastAsia" w:ascii="方正仿宋_GBK" w:hAnsi="方正仿宋_GBK" w:eastAsia="方正仿宋_GBK" w:cs="方正仿宋_GBK"/>
          <w:sz w:val="32"/>
          <w:szCs w:val="32"/>
        </w:rPr>
        <w:t>。</w:t>
      </w:r>
    </w:p>
    <w:p w14:paraId="5FBDE038">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2.</w:t>
      </w:r>
      <w:r>
        <w:rPr>
          <w:rFonts w:hint="eastAsia" w:ascii="方正仿宋_GBK" w:hAnsi="方正仿宋_GBK" w:eastAsia="方正仿宋_GBK" w:cs="方正仿宋_GBK"/>
          <w:sz w:val="32"/>
          <w:szCs w:val="32"/>
        </w:rPr>
        <w:t>驾驶员、收运人员应岗位明确，定员定岗，不得相互兼职，不得跨其他行政区收集作业。</w:t>
      </w:r>
    </w:p>
    <w:p w14:paraId="74D5013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若更换人员为参与竞选时提供的安全相关合格证书的人员时，应变更为同样取得安全相关合格证书的人员，并保持与竞选文件</w:t>
      </w:r>
      <w:r>
        <w:rPr>
          <w:rFonts w:hint="eastAsia" w:ascii="方正仿宋_GBK" w:hAnsi="方正仿宋_GBK" w:eastAsia="方正仿宋_GBK" w:cs="方正仿宋_GBK"/>
          <w:sz w:val="32"/>
          <w:szCs w:val="32"/>
          <w:highlight w:val="none"/>
          <w:lang w:eastAsia="zh-CN"/>
        </w:rPr>
        <w:t>员工工资、社会保障的承诺比例和</w:t>
      </w:r>
      <w:r>
        <w:rPr>
          <w:rFonts w:hint="eastAsia" w:ascii="方正仿宋_GBK" w:hAnsi="方正仿宋_GBK" w:eastAsia="方正仿宋_GBK" w:cs="方正仿宋_GBK"/>
          <w:sz w:val="32"/>
          <w:szCs w:val="32"/>
        </w:rPr>
        <w:t>安全合格证人员总数一致。</w:t>
      </w:r>
    </w:p>
    <w:p w14:paraId="56FB45A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sz w:val="32"/>
          <w:szCs w:val="32"/>
          <w:highlight w:val="none"/>
          <w:lang w:val="en-US" w:eastAsia="zh-CN"/>
        </w:rPr>
        <w:t>（四）入场前向甲方</w:t>
      </w:r>
      <w:r>
        <w:rPr>
          <w:rFonts w:hint="eastAsia" w:ascii="方正仿宋_GBK" w:hAnsi="方正仿宋_GBK" w:eastAsia="方正仿宋_GBK" w:cs="方正仿宋_GBK"/>
          <w:sz w:val="32"/>
          <w:szCs w:val="32"/>
          <w:highlight w:val="none"/>
        </w:rPr>
        <w:t>提供派驻本项目</w:t>
      </w:r>
      <w:r>
        <w:rPr>
          <w:rFonts w:hint="eastAsia" w:ascii="方正仿宋_GBK" w:hAnsi="方正仿宋_GBK" w:eastAsia="方正仿宋_GBK" w:cs="方正仿宋_GBK"/>
          <w:sz w:val="32"/>
          <w:szCs w:val="32"/>
          <w:highlight w:val="none"/>
          <w:lang w:eastAsia="zh-CN"/>
        </w:rPr>
        <w:t>车辆情况明细，详细注明车辆号牌、车辆总质量、车辆准载质量、车辆驾驶员、随车收运处置联单填报人员等信息。</w:t>
      </w:r>
    </w:p>
    <w:p w14:paraId="175F6377">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eastAsia="zh-CN"/>
        </w:rPr>
        <w:t>（五）</w:t>
      </w:r>
      <w:r>
        <w:rPr>
          <w:rFonts w:hint="eastAsia" w:ascii="方正仿宋_GBK" w:hAnsi="方正仿宋_GBK" w:eastAsia="方正仿宋_GBK" w:cs="方正仿宋_GBK"/>
          <w:sz w:val="32"/>
          <w:szCs w:val="32"/>
          <w:highlight w:val="none"/>
        </w:rPr>
        <w:t>作业要求</w:t>
      </w:r>
    </w:p>
    <w:p w14:paraId="59C3136B">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1.签订</w:t>
      </w:r>
      <w:r>
        <w:rPr>
          <w:rFonts w:hint="eastAsia" w:ascii="方正仿宋_GBK" w:hAnsi="方正仿宋_GBK" w:eastAsia="方正仿宋_GBK" w:cs="方正仿宋_GBK"/>
          <w:sz w:val="32"/>
          <w:szCs w:val="32"/>
          <w:highlight w:val="none"/>
          <w:lang w:eastAsia="zh-CN"/>
        </w:rPr>
        <w:t>本协议</w:t>
      </w:r>
      <w:r>
        <w:rPr>
          <w:rFonts w:hint="eastAsia" w:ascii="方正仿宋_GBK" w:hAnsi="方正仿宋_GBK" w:eastAsia="方正仿宋_GBK" w:cs="方正仿宋_GBK"/>
          <w:sz w:val="32"/>
          <w:szCs w:val="32"/>
          <w:highlight w:val="none"/>
        </w:rPr>
        <w:t>后，不得擅自停业、歇业。</w:t>
      </w:r>
      <w:r>
        <w:rPr>
          <w:rFonts w:hint="eastAsia" w:ascii="方正仿宋_GBK" w:hAnsi="方正仿宋_GBK" w:eastAsia="方正仿宋_GBK" w:cs="方正仿宋_GBK"/>
          <w:sz w:val="32"/>
          <w:szCs w:val="32"/>
          <w:highlight w:val="none"/>
          <w:lang w:eastAsia="zh-CN"/>
        </w:rPr>
        <w:t>因特殊原因，</w:t>
      </w:r>
      <w:r>
        <w:rPr>
          <w:rFonts w:hint="eastAsia" w:ascii="方正仿宋_GBK" w:hAnsi="方正仿宋_GBK" w:eastAsia="方正仿宋_GBK" w:cs="方正仿宋_GBK"/>
          <w:sz w:val="32"/>
          <w:szCs w:val="32"/>
          <w:highlight w:val="none"/>
        </w:rPr>
        <w:t>确需停业、歇业的，应当提前半年向</w:t>
      </w:r>
      <w:r>
        <w:rPr>
          <w:rFonts w:hint="eastAsia" w:ascii="方正仿宋_GBK" w:hAnsi="方正仿宋_GBK" w:eastAsia="方正仿宋_GBK" w:cs="方正仿宋_GBK"/>
          <w:sz w:val="32"/>
          <w:szCs w:val="32"/>
          <w:highlight w:val="none"/>
          <w:lang w:eastAsia="zh-CN"/>
        </w:rPr>
        <w:t>甲方</w:t>
      </w:r>
      <w:r>
        <w:rPr>
          <w:rFonts w:hint="eastAsia" w:ascii="方正仿宋_GBK" w:hAnsi="方正仿宋_GBK" w:eastAsia="方正仿宋_GBK" w:cs="方正仿宋_GBK"/>
          <w:sz w:val="32"/>
          <w:szCs w:val="32"/>
          <w:highlight w:val="none"/>
        </w:rPr>
        <w:t>书面报告，经同意后方可停业或者歇业。</w:t>
      </w:r>
    </w:p>
    <w:p w14:paraId="0F01F573">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2.在从事餐厨废弃油脂收集运输的过程中，必须符合国家和地方政府有关环境保护、食品安全、交通运输、城市管理等方面的规定和要求。</w:t>
      </w:r>
    </w:p>
    <w:p w14:paraId="3413ED5D">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3.自行规划收运作业线路</w:t>
      </w:r>
      <w:r>
        <w:rPr>
          <w:rFonts w:hint="eastAsia" w:ascii="方正仿宋_GBK" w:hAnsi="方正仿宋_GBK" w:eastAsia="方正仿宋_GBK" w:cs="方正仿宋_GBK"/>
          <w:sz w:val="32"/>
          <w:szCs w:val="32"/>
          <w:highlight w:val="none"/>
          <w:lang w:eastAsia="zh-CN"/>
        </w:rPr>
        <w:t>、收运基础频次</w:t>
      </w:r>
      <w:r>
        <w:rPr>
          <w:rFonts w:hint="eastAsia" w:ascii="方正仿宋_GBK" w:hAnsi="方正仿宋_GBK" w:eastAsia="方正仿宋_GBK" w:cs="方正仿宋_GBK"/>
          <w:sz w:val="32"/>
          <w:szCs w:val="32"/>
          <w:highlight w:val="none"/>
        </w:rPr>
        <w:t>，并</w:t>
      </w:r>
      <w:r>
        <w:rPr>
          <w:rFonts w:hint="eastAsia" w:ascii="方正仿宋_GBK" w:hAnsi="方正仿宋_GBK" w:eastAsia="方正仿宋_GBK" w:cs="方正仿宋_GBK"/>
          <w:sz w:val="32"/>
          <w:szCs w:val="32"/>
          <w:highlight w:val="none"/>
          <w:lang w:eastAsia="zh-CN"/>
        </w:rPr>
        <w:t>于协议履行日期起</w:t>
      </w:r>
      <w:r>
        <w:rPr>
          <w:rFonts w:hint="eastAsia" w:ascii="方正仿宋_GBK" w:hAnsi="方正仿宋_GBK" w:eastAsia="方正仿宋_GBK" w:cs="方正仿宋_GBK"/>
          <w:sz w:val="32"/>
          <w:szCs w:val="32"/>
          <w:highlight w:val="none"/>
          <w:lang w:val="en-US" w:eastAsia="zh-CN"/>
        </w:rPr>
        <w:t>30个日历天内</w:t>
      </w:r>
      <w:r>
        <w:rPr>
          <w:rFonts w:hint="eastAsia" w:ascii="方正仿宋_GBK" w:hAnsi="方正仿宋_GBK" w:eastAsia="方正仿宋_GBK" w:cs="方正仿宋_GBK"/>
          <w:sz w:val="32"/>
          <w:szCs w:val="32"/>
          <w:highlight w:val="none"/>
        </w:rPr>
        <w:t>报</w:t>
      </w:r>
      <w:r>
        <w:rPr>
          <w:rFonts w:hint="eastAsia" w:ascii="方正仿宋_GBK" w:hAnsi="方正仿宋_GBK" w:eastAsia="方正仿宋_GBK" w:cs="方正仿宋_GBK"/>
          <w:sz w:val="32"/>
          <w:szCs w:val="32"/>
          <w:highlight w:val="none"/>
          <w:lang w:eastAsia="zh-CN"/>
        </w:rPr>
        <w:t>甲方报备。</w:t>
      </w:r>
      <w:r>
        <w:rPr>
          <w:rFonts w:hint="eastAsia" w:ascii="方正仿宋_GBK" w:hAnsi="方正仿宋_GBK" w:eastAsia="方正仿宋_GBK" w:cs="方正仿宋_GBK"/>
          <w:sz w:val="32"/>
          <w:szCs w:val="32"/>
          <w:highlight w:val="none"/>
        </w:rPr>
        <w:t>不得擅自改变收运线路</w:t>
      </w:r>
      <w:r>
        <w:rPr>
          <w:rFonts w:hint="eastAsia" w:ascii="方正仿宋_GBK" w:hAnsi="方正仿宋_GBK" w:eastAsia="方正仿宋_GBK" w:cs="方正仿宋_GBK"/>
          <w:sz w:val="32"/>
          <w:szCs w:val="32"/>
          <w:highlight w:val="none"/>
          <w:lang w:eastAsia="zh-CN"/>
        </w:rPr>
        <w:t>、收运基础频次</w:t>
      </w:r>
      <w:r>
        <w:rPr>
          <w:rFonts w:hint="eastAsia" w:ascii="方正仿宋_GBK" w:hAnsi="方正仿宋_GBK" w:eastAsia="方正仿宋_GBK" w:cs="方正仿宋_GBK"/>
          <w:sz w:val="32"/>
          <w:szCs w:val="32"/>
          <w:highlight w:val="none"/>
        </w:rPr>
        <w:t>。</w:t>
      </w:r>
    </w:p>
    <w:p w14:paraId="63974B32">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4.收运车辆应保持车况良好，卫星定位系统及装卸过程记录仪能正常开启，能同步实时监控车辆作业时间、作业过程和作业轨迹。</w:t>
      </w:r>
    </w:p>
    <w:p w14:paraId="6F893765">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5.收运过程中作业员工必须统一着装，佩戴标有收运单位、员工姓名等信息的工作牌。</w:t>
      </w:r>
    </w:p>
    <w:p w14:paraId="1DA3655D">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sz w:val="32"/>
          <w:szCs w:val="32"/>
          <w:highlight w:val="none"/>
        </w:rPr>
        <w:t>6.收运过程中不得“挑肥拣瘦”，不得只收“纯油”、拒收“油水混合物”“地沟油”，必须做到应收尽收</w:t>
      </w:r>
      <w:r>
        <w:rPr>
          <w:rFonts w:hint="eastAsia" w:ascii="方正仿宋_GBK" w:hAnsi="方正仿宋_GBK" w:eastAsia="方正仿宋_GBK" w:cs="方正仿宋_GBK"/>
          <w:sz w:val="32"/>
          <w:szCs w:val="32"/>
          <w:highlight w:val="none"/>
          <w:lang w:eastAsia="zh-CN"/>
        </w:rPr>
        <w:t>。</w:t>
      </w:r>
    </w:p>
    <w:p w14:paraId="572C3914">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7.收运过程中不得擅自向任何单位和个人收运来历不明的</w:t>
      </w:r>
      <w:r>
        <w:rPr>
          <w:rFonts w:hint="eastAsia" w:ascii="方正仿宋_GBK" w:hAnsi="方正仿宋_GBK" w:eastAsia="方正仿宋_GBK" w:cs="方正仿宋_GBK"/>
          <w:sz w:val="32"/>
          <w:szCs w:val="32"/>
          <w:highlight w:val="none"/>
          <w:lang w:eastAsia="zh-CN"/>
        </w:rPr>
        <w:t>餐厨</w:t>
      </w:r>
      <w:r>
        <w:rPr>
          <w:rFonts w:hint="eastAsia" w:ascii="方正仿宋_GBK" w:hAnsi="方正仿宋_GBK" w:eastAsia="方正仿宋_GBK" w:cs="方正仿宋_GBK"/>
          <w:sz w:val="32"/>
          <w:szCs w:val="32"/>
          <w:highlight w:val="none"/>
        </w:rPr>
        <w:t>废食用油脂</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rPr>
        <w:t>不得擅自对收集到的</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进行中转、落地、存贮</w:t>
      </w:r>
      <w:r>
        <w:rPr>
          <w:rFonts w:hint="eastAsia" w:ascii="方正仿宋_GBK" w:hAnsi="方正仿宋_GBK" w:eastAsia="方正仿宋_GBK" w:cs="方正仿宋_GBK"/>
          <w:sz w:val="32"/>
          <w:szCs w:val="32"/>
          <w:highlight w:val="none"/>
          <w:lang w:eastAsia="zh-CN"/>
        </w:rPr>
        <w:t>、处置；</w:t>
      </w:r>
      <w:r>
        <w:rPr>
          <w:rFonts w:hint="eastAsia" w:ascii="方正仿宋_GBK" w:hAnsi="方正仿宋_GBK" w:eastAsia="方正仿宋_GBK" w:cs="方正仿宋_GBK"/>
          <w:sz w:val="32"/>
          <w:szCs w:val="32"/>
          <w:highlight w:val="none"/>
        </w:rPr>
        <w:t>不得擅自将收集到的</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进行转让、转卖</w:t>
      </w:r>
      <w:r>
        <w:rPr>
          <w:rFonts w:hint="eastAsia" w:ascii="方正仿宋_GBK" w:hAnsi="方正仿宋_GBK" w:eastAsia="方正仿宋_GBK" w:cs="方正仿宋_GBK"/>
          <w:sz w:val="32"/>
          <w:szCs w:val="32"/>
          <w:highlight w:val="none"/>
          <w:lang w:eastAsia="zh-CN"/>
        </w:rPr>
        <w:t>、赠予</w:t>
      </w:r>
      <w:r>
        <w:rPr>
          <w:rFonts w:hint="eastAsia" w:ascii="方正仿宋_GBK" w:hAnsi="方正仿宋_GBK" w:eastAsia="方正仿宋_GBK" w:cs="方正仿宋_GBK"/>
          <w:sz w:val="32"/>
          <w:szCs w:val="32"/>
          <w:highlight w:val="none"/>
        </w:rPr>
        <w:t>给</w:t>
      </w:r>
      <w:r>
        <w:rPr>
          <w:rFonts w:hint="eastAsia" w:ascii="方正仿宋_GBK" w:hAnsi="方正仿宋_GBK" w:eastAsia="方正仿宋_GBK" w:cs="方正仿宋_GBK"/>
          <w:sz w:val="32"/>
          <w:szCs w:val="32"/>
          <w:highlight w:val="none"/>
          <w:lang w:eastAsia="zh-CN"/>
        </w:rPr>
        <w:t>第三方（人）</w:t>
      </w:r>
      <w:r>
        <w:rPr>
          <w:rFonts w:hint="eastAsia" w:ascii="方正仿宋_GBK" w:hAnsi="方正仿宋_GBK" w:eastAsia="方正仿宋_GBK" w:cs="方正仿宋_GBK"/>
          <w:sz w:val="32"/>
          <w:szCs w:val="32"/>
          <w:highlight w:val="none"/>
        </w:rPr>
        <w:t>。</w:t>
      </w:r>
    </w:p>
    <w:p w14:paraId="75D24FAD">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8.投入本项目的车辆，不得从事其他区县</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收运工作，不得擅自收运</w:t>
      </w:r>
      <w:r>
        <w:rPr>
          <w:rFonts w:hint="eastAsia" w:ascii="方正仿宋_GBK" w:hAnsi="方正仿宋_GBK" w:eastAsia="方正仿宋_GBK" w:cs="方正仿宋_GBK"/>
          <w:sz w:val="32"/>
          <w:szCs w:val="32"/>
          <w:highlight w:val="none"/>
          <w:lang w:eastAsia="zh-CN"/>
        </w:rPr>
        <w:t>重庆市</w:t>
      </w:r>
      <w:r>
        <w:rPr>
          <w:rFonts w:hint="eastAsia" w:ascii="方正仿宋_GBK" w:hAnsi="方正仿宋_GBK" w:eastAsia="方正仿宋_GBK" w:cs="方正仿宋_GBK"/>
          <w:sz w:val="32"/>
          <w:szCs w:val="32"/>
          <w:highlight w:val="none"/>
        </w:rPr>
        <w:t>市外的</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w:t>
      </w:r>
    </w:p>
    <w:p w14:paraId="42838A47">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9.作业过程中收运车辆</w:t>
      </w:r>
      <w:r>
        <w:rPr>
          <w:rFonts w:hint="eastAsia" w:ascii="方正仿宋_GBK" w:hAnsi="方正仿宋_GBK" w:eastAsia="方正仿宋_GBK" w:cs="方正仿宋_GBK"/>
          <w:sz w:val="32"/>
          <w:szCs w:val="32"/>
        </w:rPr>
        <w:t>应密闭完好，车容车貌干净整洁，防止油脂“遗撒滴漏”、防止臭味扩散等环境污染的情形发生。</w:t>
      </w:r>
    </w:p>
    <w:p w14:paraId="45668165">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10.作业完成后，负责对收集设施</w:t>
      </w:r>
      <w:r>
        <w:rPr>
          <w:rFonts w:hint="eastAsia" w:ascii="方正仿宋_GBK" w:hAnsi="方正仿宋_GBK" w:eastAsia="方正仿宋_GBK" w:cs="方正仿宋_GBK"/>
          <w:sz w:val="32"/>
          <w:szCs w:val="32"/>
          <w:highlight w:val="none"/>
          <w:lang w:eastAsia="zh-CN"/>
        </w:rPr>
        <w:t>设备</w:t>
      </w:r>
      <w:r>
        <w:rPr>
          <w:rFonts w:hint="eastAsia" w:ascii="方正仿宋_GBK" w:hAnsi="方正仿宋_GBK" w:eastAsia="方正仿宋_GBK" w:cs="方正仿宋_GBK"/>
          <w:sz w:val="32"/>
          <w:szCs w:val="32"/>
          <w:highlight w:val="none"/>
        </w:rPr>
        <w:t>进行</w:t>
      </w:r>
      <w:r>
        <w:rPr>
          <w:rFonts w:hint="eastAsia" w:ascii="方正仿宋_GBK" w:hAnsi="方正仿宋_GBK" w:eastAsia="方正仿宋_GBK" w:cs="方正仿宋_GBK"/>
          <w:sz w:val="32"/>
          <w:szCs w:val="32"/>
          <w:highlight w:val="none"/>
          <w:lang w:eastAsia="zh-CN"/>
        </w:rPr>
        <w:t>清洗</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消杀、</w:t>
      </w:r>
      <w:r>
        <w:rPr>
          <w:rFonts w:hint="eastAsia" w:ascii="方正仿宋_GBK" w:hAnsi="方正仿宋_GBK" w:eastAsia="方正仿宋_GBK" w:cs="方正仿宋_GBK"/>
          <w:sz w:val="32"/>
          <w:szCs w:val="32"/>
          <w:highlight w:val="none"/>
        </w:rPr>
        <w:t>复位，并清理清洗作业场地，保持</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收集设施设备和周边环境的干净整洁</w:t>
      </w:r>
      <w:r>
        <w:rPr>
          <w:rFonts w:hint="eastAsia" w:ascii="方正仿宋_GBK" w:hAnsi="方正仿宋_GBK" w:eastAsia="方正仿宋_GBK" w:cs="方正仿宋_GBK"/>
          <w:sz w:val="32"/>
          <w:szCs w:val="32"/>
          <w:highlight w:val="none"/>
          <w:lang w:eastAsia="zh-CN"/>
        </w:rPr>
        <w:t>、防疫除臭</w:t>
      </w:r>
      <w:r>
        <w:rPr>
          <w:rFonts w:hint="eastAsia" w:ascii="方正仿宋_GBK" w:hAnsi="方正仿宋_GBK" w:eastAsia="方正仿宋_GBK" w:cs="方正仿宋_GBK"/>
          <w:sz w:val="32"/>
          <w:szCs w:val="32"/>
          <w:highlight w:val="none"/>
        </w:rPr>
        <w:t>。</w:t>
      </w:r>
    </w:p>
    <w:p w14:paraId="01A75D58">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rPr>
        <w:t>11.随车携带收运处置联单，每辆车授权专人填</w:t>
      </w:r>
      <w:r>
        <w:rPr>
          <w:rFonts w:hint="eastAsia" w:ascii="方正仿宋_GBK" w:hAnsi="方正仿宋_GBK" w:eastAsia="方正仿宋_GBK" w:cs="方正仿宋_GBK"/>
          <w:sz w:val="32"/>
          <w:szCs w:val="32"/>
        </w:rPr>
        <w:t>写确认联单信息，确保联单内容真实有效。</w:t>
      </w:r>
    </w:p>
    <w:p w14:paraId="6CEC3F65">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sz w:val="32"/>
          <w:szCs w:val="32"/>
          <w:highlight w:val="none"/>
          <w:lang w:eastAsia="zh-CN"/>
        </w:rPr>
        <w:t>（六）</w:t>
      </w:r>
      <w:r>
        <w:rPr>
          <w:rFonts w:hint="eastAsia" w:ascii="方正仿宋_GBK" w:hAnsi="方正仿宋_GBK" w:eastAsia="方正仿宋_GBK" w:cs="方正仿宋_GBK"/>
          <w:sz w:val="32"/>
          <w:szCs w:val="32"/>
          <w:highlight w:val="none"/>
        </w:rPr>
        <w:t>安全</w:t>
      </w:r>
      <w:r>
        <w:rPr>
          <w:rFonts w:hint="eastAsia" w:ascii="方正仿宋_GBK" w:hAnsi="方正仿宋_GBK" w:eastAsia="方正仿宋_GBK" w:cs="方正仿宋_GBK"/>
          <w:sz w:val="32"/>
          <w:szCs w:val="32"/>
          <w:highlight w:val="none"/>
          <w:lang w:eastAsia="zh-CN"/>
        </w:rPr>
        <w:t>管理</w:t>
      </w:r>
    </w:p>
    <w:p w14:paraId="7B7B90FB">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1.作业车辆必须按规定张贴反光标识、安装警示灯光、配备安全锥、灭火瓶等安全防护设备。如不能正常使用需及时更换，每年至少全面更换安全防护设备一次，做好更换记录。</w:t>
      </w:r>
    </w:p>
    <w:p w14:paraId="1FD86A3E">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2.作业人员必须每年度进行安全培训，并做好培训记录。新录用人员应执行先培训后上岗原则。</w:t>
      </w:r>
    </w:p>
    <w:p w14:paraId="37A3F15A">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3.工作时间内作业人员不得穿木屐、拖鞋、高跟鞋等影响安全作业的鞋类。</w:t>
      </w:r>
    </w:p>
    <w:p w14:paraId="1D973993">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4.收运作业时作业车辆确需临时占用道路的，应当打开车辆应急灯和警示灯。夜间作业车辆临时占用道路时，需在距收运作业点来车方向50米处设置醒目警示牌，沿途设置反光锥。</w:t>
      </w:r>
    </w:p>
    <w:p w14:paraId="1D611DDE">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七</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行业</w:t>
      </w:r>
      <w:r>
        <w:rPr>
          <w:rFonts w:hint="eastAsia" w:ascii="方正仿宋_GBK" w:hAnsi="方正仿宋_GBK" w:eastAsia="方正仿宋_GBK" w:cs="方正仿宋_GBK"/>
          <w:sz w:val="32"/>
          <w:szCs w:val="32"/>
          <w:highlight w:val="none"/>
        </w:rPr>
        <w:t>管理</w:t>
      </w:r>
    </w:p>
    <w:p w14:paraId="0B385B28">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1.每年度编制年初收运计划、年度收运总结等收运资料，并向</w:t>
      </w:r>
      <w:r>
        <w:rPr>
          <w:rFonts w:hint="eastAsia" w:ascii="方正仿宋_GBK" w:hAnsi="方正仿宋_GBK" w:eastAsia="方正仿宋_GBK" w:cs="方正仿宋_GBK"/>
          <w:sz w:val="32"/>
          <w:szCs w:val="32"/>
          <w:lang w:eastAsia="zh-CN"/>
        </w:rPr>
        <w:t>甲方</w:t>
      </w:r>
      <w:r>
        <w:rPr>
          <w:rFonts w:hint="eastAsia" w:ascii="方正仿宋_GBK" w:hAnsi="方正仿宋_GBK" w:eastAsia="方正仿宋_GBK" w:cs="方正仿宋_GBK"/>
          <w:sz w:val="32"/>
          <w:szCs w:val="32"/>
        </w:rPr>
        <w:t>报备。</w:t>
      </w:r>
    </w:p>
    <w:p w14:paraId="5C3CDF76">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2.接受政府相关职能部门的监督、检查、指导、考核，遇特殊情况，服从</w:t>
      </w:r>
      <w:r>
        <w:rPr>
          <w:rFonts w:hint="eastAsia" w:ascii="方正仿宋_GBK" w:hAnsi="方正仿宋_GBK" w:eastAsia="方正仿宋_GBK" w:cs="方正仿宋_GBK"/>
          <w:sz w:val="32"/>
          <w:szCs w:val="32"/>
          <w:lang w:eastAsia="zh-CN"/>
        </w:rPr>
        <w:t>甲方</w:t>
      </w:r>
      <w:r>
        <w:rPr>
          <w:rFonts w:hint="eastAsia" w:ascii="方正仿宋_GBK" w:hAnsi="方正仿宋_GBK" w:eastAsia="方正仿宋_GBK" w:cs="方正仿宋_GBK"/>
          <w:sz w:val="32"/>
          <w:szCs w:val="32"/>
        </w:rPr>
        <w:t>的应急调度。</w:t>
      </w:r>
    </w:p>
    <w:p w14:paraId="6E1A67E2">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sz w:val="32"/>
          <w:szCs w:val="32"/>
        </w:rPr>
        <w:t>3.</w:t>
      </w:r>
      <w:r>
        <w:rPr>
          <w:rFonts w:hint="eastAsia" w:ascii="方正仿宋_GBK" w:hAnsi="方正仿宋_GBK" w:eastAsia="方正仿宋_GBK" w:cs="方正仿宋_GBK"/>
          <w:sz w:val="32"/>
          <w:szCs w:val="32"/>
          <w:lang w:val="zh-CN"/>
        </w:rPr>
        <w:t>遵守《道路交通安全法》《劳动</w:t>
      </w:r>
      <w:r>
        <w:rPr>
          <w:rFonts w:hint="eastAsia" w:ascii="方正仿宋_GBK" w:hAnsi="方正仿宋_GBK" w:eastAsia="方正仿宋_GBK" w:cs="方正仿宋_GBK"/>
          <w:sz w:val="32"/>
          <w:szCs w:val="32"/>
          <w:lang w:val="zh-CN" w:eastAsia="zh-CN"/>
        </w:rPr>
        <w:t>合同</w:t>
      </w:r>
      <w:r>
        <w:rPr>
          <w:rFonts w:hint="eastAsia" w:ascii="方正仿宋_GBK" w:hAnsi="方正仿宋_GBK" w:eastAsia="方正仿宋_GBK" w:cs="方正仿宋_GBK"/>
          <w:sz w:val="32"/>
          <w:szCs w:val="32"/>
          <w:lang w:val="zh-CN"/>
        </w:rPr>
        <w:t>法》《保障农民工工资支付条例》</w:t>
      </w:r>
      <w:r>
        <w:rPr>
          <w:rFonts w:hint="eastAsia" w:ascii="方正仿宋_GBK" w:hAnsi="方正仿宋_GBK" w:eastAsia="方正仿宋_GBK" w:cs="方正仿宋_GBK"/>
          <w:b w:val="0"/>
          <w:bCs w:val="0"/>
          <w:snapToGrid w:val="0"/>
          <w:kern w:val="0"/>
          <w:sz w:val="30"/>
          <w:szCs w:val="30"/>
          <w:lang w:val="en-US" w:eastAsia="zh-CN"/>
        </w:rPr>
        <w:t>《重庆市生活垃圾管理条例》《重庆市废弃食用油脂管理规定》</w:t>
      </w:r>
      <w:r>
        <w:rPr>
          <w:rFonts w:hint="eastAsia" w:ascii="方正仿宋_GBK" w:hAnsi="方正仿宋_GBK" w:eastAsia="方正仿宋_GBK" w:cs="方正仿宋_GBK"/>
          <w:sz w:val="32"/>
          <w:szCs w:val="32"/>
        </w:rPr>
        <w:t>等</w:t>
      </w:r>
      <w:r>
        <w:rPr>
          <w:rFonts w:hint="eastAsia" w:ascii="方正仿宋_GBK" w:hAnsi="方正仿宋_GBK" w:eastAsia="方正仿宋_GBK" w:cs="方正仿宋_GBK"/>
          <w:sz w:val="32"/>
          <w:szCs w:val="32"/>
          <w:lang w:val="zh-CN"/>
        </w:rPr>
        <w:t>相关法律法规，</w:t>
      </w:r>
      <w:r>
        <w:rPr>
          <w:rFonts w:hint="eastAsia" w:ascii="方正仿宋_GBK" w:hAnsi="方正仿宋_GBK" w:eastAsia="方正仿宋_GBK" w:cs="方正仿宋_GBK"/>
          <w:sz w:val="32"/>
          <w:szCs w:val="32"/>
        </w:rPr>
        <w:t>合法合规诚信经</w:t>
      </w:r>
      <w:r>
        <w:rPr>
          <w:rFonts w:hint="eastAsia" w:ascii="方正仿宋_GBK" w:hAnsi="方正仿宋_GBK" w:eastAsia="方正仿宋_GBK" w:cs="方正仿宋_GBK"/>
          <w:sz w:val="32"/>
          <w:szCs w:val="32"/>
          <w:highlight w:val="none"/>
        </w:rPr>
        <w:t>营。</w:t>
      </w:r>
      <w:r>
        <w:rPr>
          <w:rFonts w:hint="eastAsia" w:ascii="方正仿宋_GBK" w:hAnsi="方正仿宋_GBK" w:eastAsia="方正仿宋_GBK" w:cs="方正仿宋_GBK"/>
          <w:sz w:val="32"/>
          <w:szCs w:val="32"/>
          <w:highlight w:val="none"/>
          <w:lang w:eastAsia="zh-CN"/>
        </w:rPr>
        <w:t>建立</w:t>
      </w:r>
      <w:r>
        <w:rPr>
          <w:rFonts w:hint="eastAsia" w:ascii="方正仿宋_GBK" w:hAnsi="方正仿宋_GBK" w:eastAsia="方正仿宋_GBK" w:cs="方正仿宋_GBK"/>
          <w:sz w:val="32"/>
          <w:szCs w:val="32"/>
          <w:highlight w:val="none"/>
          <w:lang w:val="en-US" w:eastAsia="zh-CN"/>
        </w:rPr>
        <w:t>健全企业薪酬管理机制，确保服务本项目员工工资不低于当年重庆市最低工资水平，</w:t>
      </w:r>
      <w:r>
        <w:rPr>
          <w:rFonts w:hint="eastAsia" w:ascii="方正仿宋_GBK" w:hAnsi="方正仿宋_GBK" w:eastAsia="方正仿宋_GBK" w:cs="方正仿宋_GBK"/>
          <w:sz w:val="32"/>
          <w:szCs w:val="32"/>
          <w:highlight w:val="none"/>
          <w:lang w:eastAsia="zh-CN"/>
        </w:rPr>
        <w:t>每年度向甲方报备人员工资、福利待遇情况。</w:t>
      </w:r>
    </w:p>
    <w:p w14:paraId="34FE1255">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default"/>
          <w:highlight w:val="none"/>
          <w:lang w:val="en-US" w:eastAsia="zh-CN"/>
        </w:rPr>
      </w:pPr>
      <w:r>
        <w:rPr>
          <w:rFonts w:hint="eastAsia" w:ascii="方正仿宋_GBK" w:hAnsi="方正仿宋_GBK" w:eastAsia="方正仿宋_GBK" w:cs="方正仿宋_GBK"/>
          <w:sz w:val="32"/>
          <w:szCs w:val="32"/>
          <w:highlight w:val="none"/>
          <w:lang w:val="en-US" w:eastAsia="zh-CN"/>
        </w:rPr>
        <w:t>4.</w:t>
      </w:r>
      <w:r>
        <w:rPr>
          <w:rFonts w:hint="eastAsia" w:ascii="方正仿宋_GBK" w:hAnsi="方正仿宋_GBK" w:eastAsia="方正仿宋_GBK" w:cs="方正仿宋_GBK"/>
          <w:sz w:val="32"/>
          <w:szCs w:val="32"/>
          <w:highlight w:val="none"/>
          <w:lang w:val="zh-CN" w:eastAsia="zh-CN"/>
        </w:rPr>
        <w:t>科学、合理地安排车辆及员工的工作计划、工作时间、工作线路，确保本协议的履行和质量达标。</w:t>
      </w:r>
    </w:p>
    <w:p w14:paraId="4EA07896">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5</w:t>
      </w:r>
      <w:r>
        <w:rPr>
          <w:rFonts w:hint="eastAsia" w:ascii="方正仿宋_GBK" w:hAnsi="方正仿宋_GBK" w:eastAsia="方正仿宋_GBK" w:cs="方正仿宋_GBK"/>
          <w:sz w:val="32"/>
          <w:szCs w:val="32"/>
          <w:highlight w:val="none"/>
        </w:rPr>
        <w:t>.建立健全企业内部安全生产、车辆清洁养护、应急处置、收运处置联单、台账档案等管理制度。</w:t>
      </w:r>
    </w:p>
    <w:p w14:paraId="1CA03C0E">
      <w:pPr>
        <w:keepNext w:val="0"/>
        <w:keepLines w:val="0"/>
        <w:pageBreakBefore w:val="0"/>
        <w:widowControl w:val="0"/>
        <w:wordWrap/>
        <w:overflowPunct/>
        <w:topLinePunct w:val="0"/>
        <w:bidi w:val="0"/>
        <w:spacing w:line="600" w:lineRule="exact"/>
        <w:ind w:firstLine="640" w:firstLineChars="200"/>
        <w:textAlignment w:val="baseline"/>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6.</w:t>
      </w:r>
      <w:r>
        <w:rPr>
          <w:rFonts w:hint="eastAsia" w:ascii="方正仿宋_GBK" w:hAnsi="方正仿宋_GBK" w:eastAsia="方正仿宋_GBK" w:cs="方正仿宋_GBK"/>
          <w:sz w:val="32"/>
          <w:szCs w:val="32"/>
          <w:highlight w:val="none"/>
          <w:lang w:val="zh-CN" w:eastAsia="zh-CN"/>
        </w:rPr>
        <w:t>认真做好安全生产管理工作，注重文明作业、安全操作。建加强一线作业人员的安全教育培训和作业技能培训，做好安全防护措施，确保作业安全、作业质量达标。发生任何意外和一切责任及损失由乙方自行承担。</w:t>
      </w:r>
    </w:p>
    <w:p w14:paraId="347EDB40">
      <w:pPr>
        <w:keepNext w:val="0"/>
        <w:keepLines w:val="0"/>
        <w:pageBreakBefore w:val="0"/>
        <w:widowControl w:val="0"/>
        <w:wordWrap/>
        <w:overflowPunct/>
        <w:topLinePunct w:val="0"/>
        <w:bidi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val="en-US" w:eastAsia="zh-CN"/>
        </w:rPr>
        <w:t>7</w:t>
      </w:r>
      <w:r>
        <w:rPr>
          <w:rFonts w:hint="eastAsia" w:ascii="方正仿宋_GBK" w:hAnsi="方正仿宋_GBK" w:eastAsia="方正仿宋_GBK" w:cs="方正仿宋_GBK"/>
          <w:sz w:val="32"/>
          <w:szCs w:val="32"/>
          <w:highlight w:val="none"/>
        </w:rPr>
        <w:t>.做好</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收运来源、数量、时间、去向和处置等台账记录</w:t>
      </w:r>
      <w:r>
        <w:rPr>
          <w:rFonts w:hint="eastAsia" w:ascii="方正仿宋_GBK" w:hAnsi="方正仿宋_GBK" w:eastAsia="方正仿宋_GBK" w:cs="方正仿宋_GBK"/>
          <w:sz w:val="24"/>
          <w:szCs w:val="24"/>
          <w:highlight w:val="none"/>
          <w:lang w:val="zh-CN"/>
        </w:rPr>
        <w:t>，</w:t>
      </w:r>
      <w:r>
        <w:rPr>
          <w:rFonts w:hint="eastAsia" w:ascii="方正仿宋_GBK" w:hAnsi="方正仿宋_GBK" w:eastAsia="方正仿宋_GBK" w:cs="方正仿宋_GBK"/>
          <w:sz w:val="32"/>
          <w:szCs w:val="32"/>
          <w:highlight w:val="none"/>
          <w:lang w:val="zh-CN"/>
        </w:rPr>
        <w:t>资料做到准确全面。并于每月</w:t>
      </w:r>
      <w:r>
        <w:rPr>
          <w:rFonts w:hint="eastAsia" w:ascii="方正仿宋_GBK" w:hAnsi="方正仿宋_GBK" w:eastAsia="方正仿宋_GBK" w:cs="方正仿宋_GBK"/>
          <w:sz w:val="32"/>
          <w:szCs w:val="32"/>
          <w:highlight w:val="none"/>
          <w:lang w:val="en-US" w:eastAsia="zh-CN"/>
        </w:rPr>
        <w:t>5</w:t>
      </w:r>
      <w:r>
        <w:rPr>
          <w:rFonts w:hint="eastAsia" w:ascii="方正仿宋_GBK" w:hAnsi="方正仿宋_GBK" w:eastAsia="方正仿宋_GBK" w:cs="方正仿宋_GBK"/>
          <w:sz w:val="32"/>
          <w:szCs w:val="32"/>
          <w:highlight w:val="none"/>
          <w:lang w:val="zh-CN"/>
        </w:rPr>
        <w:t>日前以文字形式向甲方报送上月管理情况及报表，年度管理资料于次年</w:t>
      </w:r>
      <w:r>
        <w:rPr>
          <w:rFonts w:hint="eastAsia" w:ascii="方正仿宋_GBK" w:hAnsi="方正仿宋_GBK" w:eastAsia="方正仿宋_GBK" w:cs="方正仿宋_GBK"/>
          <w:sz w:val="32"/>
          <w:szCs w:val="32"/>
          <w:highlight w:val="none"/>
          <w:lang w:val="en-US" w:eastAsia="zh-CN"/>
        </w:rPr>
        <w:t>1</w:t>
      </w:r>
      <w:r>
        <w:rPr>
          <w:rFonts w:hint="eastAsia" w:ascii="方正仿宋_GBK" w:hAnsi="方正仿宋_GBK" w:eastAsia="方正仿宋_GBK" w:cs="方正仿宋_GBK"/>
          <w:sz w:val="32"/>
          <w:szCs w:val="32"/>
          <w:highlight w:val="none"/>
          <w:lang w:val="zh-CN"/>
        </w:rPr>
        <w:t>月</w:t>
      </w:r>
      <w:r>
        <w:rPr>
          <w:rFonts w:hint="eastAsia" w:ascii="方正仿宋_GBK" w:hAnsi="方正仿宋_GBK" w:eastAsia="方正仿宋_GBK" w:cs="方正仿宋_GBK"/>
          <w:sz w:val="32"/>
          <w:szCs w:val="32"/>
          <w:highlight w:val="none"/>
          <w:lang w:val="en-US" w:eastAsia="zh-CN"/>
        </w:rPr>
        <w:t>5</w:t>
      </w:r>
      <w:r>
        <w:rPr>
          <w:rFonts w:hint="eastAsia" w:ascii="方正仿宋_GBK" w:hAnsi="方正仿宋_GBK" w:eastAsia="方正仿宋_GBK" w:cs="方正仿宋_GBK"/>
          <w:sz w:val="32"/>
          <w:szCs w:val="32"/>
          <w:highlight w:val="none"/>
          <w:lang w:val="zh-CN"/>
        </w:rPr>
        <w:t>日前按要求整理后报送甲方。遇国家节假日按甲方要求时间报送。</w:t>
      </w:r>
    </w:p>
    <w:p w14:paraId="15E67369">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val="zh-CN" w:eastAsia="zh-CN"/>
        </w:rPr>
      </w:pPr>
      <w:r>
        <w:rPr>
          <w:rFonts w:hint="eastAsia" w:ascii="方正仿宋_GBK" w:hAnsi="方正仿宋_GBK" w:eastAsia="方正仿宋_GBK" w:cs="方正仿宋_GBK"/>
          <w:sz w:val="32"/>
          <w:szCs w:val="32"/>
          <w:highlight w:val="none"/>
          <w:lang w:val="en-US" w:eastAsia="zh-CN"/>
        </w:rPr>
        <w:t>8</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val="zh-CN" w:eastAsia="zh-CN"/>
        </w:rPr>
        <w:t>项目管理人员进行专职管理，每日进行日常巡查，做好每天工作日志，保持通讯24小时畅通，对突发事件应随叫随到。</w:t>
      </w:r>
    </w:p>
    <w:p w14:paraId="4182ABBC">
      <w:pPr>
        <w:pStyle w:val="2"/>
        <w:keepNext w:val="0"/>
        <w:keepLines w:val="0"/>
        <w:pageBreakBefore w:val="0"/>
        <w:widowControl w:val="0"/>
        <w:wordWrap/>
        <w:overflowPunct/>
        <w:topLinePunct w:val="0"/>
        <w:bidi w:val="0"/>
        <w:spacing w:line="600" w:lineRule="exact"/>
        <w:ind w:firstLine="640" w:firstLineChars="200"/>
        <w:rPr>
          <w:rFonts w:hint="eastAsia" w:ascii="方正仿宋_GBK" w:hAnsi="方正仿宋_GBK" w:eastAsia="方正仿宋_GBK" w:cs="方正仿宋_GBK"/>
          <w:kern w:val="2"/>
          <w:sz w:val="32"/>
          <w:szCs w:val="32"/>
          <w:highlight w:val="none"/>
          <w:lang w:val="en-US" w:eastAsia="zh-CN" w:bidi="ar-SA"/>
        </w:rPr>
      </w:pPr>
      <w:r>
        <w:rPr>
          <w:rFonts w:hint="eastAsia" w:ascii="方正仿宋_GBK" w:hAnsi="方正仿宋_GBK" w:eastAsia="方正仿宋_GBK" w:cs="方正仿宋_GBK"/>
          <w:kern w:val="2"/>
          <w:sz w:val="32"/>
          <w:szCs w:val="32"/>
          <w:highlight w:val="none"/>
          <w:lang w:val="en-US" w:eastAsia="zh-CN" w:bidi="ar-SA"/>
        </w:rPr>
        <w:t>9.确保在线监控系统正常运行，如出现故障，应在故障后1小时内告知甲方，并在24小时内修复使用。</w:t>
      </w:r>
    </w:p>
    <w:p w14:paraId="115AA359">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highlight w:val="none"/>
        </w:rPr>
      </w:pPr>
      <w:r>
        <w:rPr>
          <w:rFonts w:hint="eastAsia" w:ascii="方正仿宋_GBK" w:hAnsi="方正仿宋_GBK" w:eastAsia="方正仿宋_GBK" w:cs="方正仿宋_GBK"/>
          <w:sz w:val="32"/>
          <w:szCs w:val="32"/>
          <w:highlight w:val="none"/>
          <w:lang w:val="en-US" w:eastAsia="zh-CN"/>
        </w:rPr>
        <w:t>10.作业过程中因特殊原因造成收运过程中废弃食用油脂</w:t>
      </w:r>
      <w:r>
        <w:rPr>
          <w:rFonts w:hint="eastAsia" w:ascii="方正仿宋_GBK" w:hAnsi="方正仿宋_GBK" w:eastAsia="方正仿宋_GBK" w:cs="方正仿宋_GBK"/>
          <w:sz w:val="32"/>
          <w:szCs w:val="32"/>
          <w:highlight w:val="none"/>
        </w:rPr>
        <w:t>“遗撒滴漏”</w:t>
      </w:r>
      <w:r>
        <w:rPr>
          <w:rFonts w:hint="eastAsia" w:ascii="方正仿宋_GBK" w:hAnsi="方正仿宋_GBK" w:eastAsia="方正仿宋_GBK" w:cs="方正仿宋_GBK"/>
          <w:sz w:val="32"/>
          <w:szCs w:val="32"/>
          <w:highlight w:val="none"/>
          <w:lang w:eastAsia="zh-CN"/>
        </w:rPr>
        <w:t>的，应于</w:t>
      </w:r>
      <w:r>
        <w:rPr>
          <w:rFonts w:hint="eastAsia" w:ascii="方正仿宋_GBK" w:hAnsi="方正仿宋_GBK" w:eastAsia="方正仿宋_GBK" w:cs="方正仿宋_GBK"/>
          <w:sz w:val="32"/>
          <w:szCs w:val="32"/>
          <w:highlight w:val="none"/>
          <w:lang w:val="en-US" w:eastAsia="zh-CN"/>
        </w:rPr>
        <w:t>1小时内处理完毕，恢复道路清洁，不得因此造成其他道路安全事故。</w:t>
      </w:r>
    </w:p>
    <w:p w14:paraId="0822E6FE">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楷体_GBK" w:hAnsi="方正楷体_GBK" w:eastAsia="方正楷体_GBK" w:cs="方正楷体_GBK"/>
          <w:kern w:val="2"/>
          <w:sz w:val="32"/>
          <w:szCs w:val="32"/>
          <w:highlight w:val="none"/>
          <w:lang w:val="en-US" w:eastAsia="zh-CN" w:bidi="ar-SA"/>
        </w:rPr>
      </w:pPr>
      <w:r>
        <w:rPr>
          <w:rFonts w:hint="eastAsia" w:ascii="方正楷体_GBK" w:hAnsi="方正楷体_GBK" w:eastAsia="方正楷体_GBK" w:cs="方正楷体_GBK"/>
          <w:kern w:val="2"/>
          <w:sz w:val="32"/>
          <w:szCs w:val="32"/>
          <w:highlight w:val="none"/>
          <w:lang w:val="en-US" w:eastAsia="zh-CN" w:bidi="ar-SA"/>
        </w:rPr>
        <w:t>五、考核与退出</w:t>
      </w:r>
    </w:p>
    <w:p w14:paraId="76A06C8A">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eastAsia="zh-CN"/>
        </w:rPr>
      </w:pPr>
      <w:r>
        <w:rPr>
          <w:rFonts w:hint="eastAsia" w:ascii="方正仿宋_GBK" w:hAnsi="方正仿宋_GBK" w:eastAsia="方正仿宋_GBK" w:cs="方正仿宋_GBK"/>
          <w:sz w:val="32"/>
          <w:szCs w:val="32"/>
          <w:highlight w:val="none"/>
        </w:rPr>
        <w:t>（一）本项目从实施起按</w:t>
      </w:r>
      <w:r>
        <w:rPr>
          <w:rFonts w:hint="eastAsia" w:ascii="方正仿宋_GBK" w:hAnsi="方正仿宋_GBK" w:eastAsia="方正仿宋_GBK" w:cs="方正仿宋_GBK"/>
          <w:sz w:val="32"/>
          <w:szCs w:val="32"/>
          <w:highlight w:val="none"/>
          <w:lang w:eastAsia="zh-CN"/>
        </w:rPr>
        <w:t>月进行考核，按</w:t>
      </w:r>
      <w:r>
        <w:rPr>
          <w:rFonts w:hint="eastAsia" w:ascii="方正仿宋_GBK" w:hAnsi="方正仿宋_GBK" w:eastAsia="方正仿宋_GBK" w:cs="方正仿宋_GBK"/>
          <w:sz w:val="32"/>
          <w:szCs w:val="32"/>
          <w:highlight w:val="none"/>
        </w:rPr>
        <w:t>年度（12个月）进行</w:t>
      </w:r>
      <w:r>
        <w:rPr>
          <w:rFonts w:hint="eastAsia" w:ascii="方正仿宋_GBK" w:hAnsi="方正仿宋_GBK" w:eastAsia="方正仿宋_GBK" w:cs="方正仿宋_GBK"/>
          <w:sz w:val="32"/>
          <w:szCs w:val="32"/>
          <w:highlight w:val="none"/>
          <w:lang w:eastAsia="zh-CN"/>
        </w:rPr>
        <w:t>评价。月考核总分为100分，一个年度内月考核连续二次、累计三次不足</w:t>
      </w:r>
      <w:r>
        <w:rPr>
          <w:rFonts w:hint="eastAsia" w:ascii="方正仿宋_GBK" w:hAnsi="方正仿宋_GBK" w:eastAsia="方正仿宋_GBK" w:cs="方正仿宋_GBK"/>
          <w:sz w:val="32"/>
          <w:szCs w:val="32"/>
          <w:highlight w:val="none"/>
          <w:lang w:val="en-US" w:eastAsia="zh-CN"/>
        </w:rPr>
        <w:t>80</w:t>
      </w:r>
      <w:r>
        <w:rPr>
          <w:rFonts w:hint="eastAsia" w:ascii="方正仿宋_GBK" w:hAnsi="方正仿宋_GBK" w:eastAsia="方正仿宋_GBK" w:cs="方正仿宋_GBK"/>
          <w:sz w:val="32"/>
          <w:szCs w:val="32"/>
          <w:highlight w:val="none"/>
          <w:lang w:eastAsia="zh-CN"/>
        </w:rPr>
        <w:t>分的，启动退出机制。</w:t>
      </w:r>
    </w:p>
    <w:p w14:paraId="279E51DE">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eastAsia="zh-CN"/>
        </w:rPr>
        <w:t>年度评价</w:t>
      </w:r>
      <w:r>
        <w:rPr>
          <w:rFonts w:hint="eastAsia" w:ascii="方正仿宋_GBK" w:hAnsi="方正仿宋_GBK" w:eastAsia="方正仿宋_GBK" w:cs="方正仿宋_GBK"/>
          <w:sz w:val="32"/>
          <w:szCs w:val="32"/>
          <w:highlight w:val="none"/>
        </w:rPr>
        <w:t>分为合格和不合格2个等级。评价为合格的，续签下一年度</w:t>
      </w:r>
      <w:r>
        <w:rPr>
          <w:rFonts w:hint="eastAsia" w:ascii="方正仿宋_GBK" w:hAnsi="方正仿宋_GBK" w:eastAsia="方正仿宋_GBK" w:cs="方正仿宋_GBK"/>
          <w:sz w:val="32"/>
          <w:szCs w:val="32"/>
          <w:highlight w:val="none"/>
          <w:lang w:eastAsia="zh-CN"/>
        </w:rPr>
        <w:t xml:space="preserve">协议 </w:t>
      </w:r>
      <w:r>
        <w:rPr>
          <w:rFonts w:hint="eastAsia" w:ascii="方正仿宋_GBK" w:hAnsi="方正仿宋_GBK" w:eastAsia="方正仿宋_GBK" w:cs="方正仿宋_GBK"/>
          <w:sz w:val="32"/>
          <w:szCs w:val="32"/>
          <w:highlight w:val="none"/>
        </w:rPr>
        <w:t>；评价为不合格，不再续签</w:t>
      </w:r>
      <w:r>
        <w:rPr>
          <w:rFonts w:hint="eastAsia" w:ascii="方正仿宋_GBK" w:hAnsi="方正仿宋_GBK" w:eastAsia="方正仿宋_GBK" w:cs="方正仿宋_GBK"/>
          <w:sz w:val="32"/>
          <w:szCs w:val="32"/>
          <w:highlight w:val="none"/>
          <w:lang w:eastAsia="zh-CN"/>
        </w:rPr>
        <w:t>协议</w:t>
      </w:r>
      <w:r>
        <w:rPr>
          <w:rFonts w:hint="eastAsia" w:ascii="方正仿宋_GBK" w:hAnsi="方正仿宋_GBK" w:eastAsia="方正仿宋_GBK" w:cs="方正仿宋_GBK"/>
          <w:sz w:val="32"/>
          <w:szCs w:val="32"/>
          <w:highlight w:val="none"/>
        </w:rPr>
        <w:t>并无条件退场。</w:t>
      </w:r>
    </w:p>
    <w:p w14:paraId="374972F5">
      <w:pPr>
        <w:pStyle w:val="3"/>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eastAsia" w:ascii="方正仿宋_GBK" w:hAnsi="方正仿宋_GBK" w:eastAsia="方正仿宋_GBK" w:cs="方正仿宋_GBK"/>
          <w:kern w:val="2"/>
          <w:sz w:val="32"/>
          <w:szCs w:val="32"/>
          <w:highlight w:val="none"/>
          <w:lang w:val="en-US" w:eastAsia="zh-CN" w:bidi="ar-SA"/>
        </w:rPr>
      </w:pPr>
      <w:r>
        <w:rPr>
          <w:rFonts w:hint="eastAsia" w:ascii="方正仿宋_GBK" w:hAnsi="方正仿宋_GBK" w:eastAsia="方正仿宋_GBK" w:cs="方正仿宋_GBK"/>
          <w:kern w:val="2"/>
          <w:sz w:val="32"/>
          <w:szCs w:val="32"/>
          <w:highlight w:val="none"/>
          <w:lang w:val="en-US" w:eastAsia="zh-CN" w:bidi="ar-SA"/>
        </w:rPr>
        <w:t>（二）月考核标准详见附件一。</w:t>
      </w:r>
    </w:p>
    <w:p w14:paraId="2F7FD167">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lang w:val="en-US" w:eastAsia="zh-CN"/>
        </w:rPr>
        <w:t>（三）退出机制</w:t>
      </w:r>
    </w:p>
    <w:p w14:paraId="6A9F1275">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highlight w:val="none"/>
          <w:lang w:eastAsia="zh-CN"/>
        </w:rPr>
        <w:t>经相关政府部门查实，乙方</w:t>
      </w:r>
      <w:r>
        <w:rPr>
          <w:rFonts w:hint="eastAsia" w:ascii="方正仿宋_GBK" w:hAnsi="方正仿宋_GBK" w:eastAsia="方正仿宋_GBK" w:cs="方正仿宋_GBK"/>
          <w:sz w:val="32"/>
          <w:szCs w:val="32"/>
          <w:highlight w:val="none"/>
        </w:rPr>
        <w:t>存在以下情形的，</w:t>
      </w:r>
      <w:r>
        <w:rPr>
          <w:rFonts w:hint="eastAsia" w:ascii="方正仿宋_GBK" w:hAnsi="方正仿宋_GBK" w:eastAsia="方正仿宋_GBK" w:cs="方正仿宋_GBK"/>
          <w:sz w:val="32"/>
          <w:szCs w:val="32"/>
        </w:rPr>
        <w:t>将直接被评价为不合格并立即退场：</w:t>
      </w:r>
    </w:p>
    <w:p w14:paraId="0AC4DD13">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rPr>
        <w:t>1.擅自</w:t>
      </w:r>
      <w:r>
        <w:rPr>
          <w:rFonts w:hint="eastAsia" w:ascii="方正仿宋_GBK" w:hAnsi="方正仿宋_GBK" w:eastAsia="方正仿宋_GBK" w:cs="方正仿宋_GBK"/>
          <w:sz w:val="32"/>
          <w:szCs w:val="32"/>
          <w:lang w:val="zh-CN"/>
        </w:rPr>
        <w:t>将履约项目全部或部分转包、</w:t>
      </w:r>
      <w:r>
        <w:rPr>
          <w:rFonts w:hint="eastAsia" w:ascii="方正仿宋_GBK" w:hAnsi="方正仿宋_GBK" w:eastAsia="方正仿宋_GBK" w:cs="方正仿宋_GBK"/>
          <w:sz w:val="32"/>
          <w:szCs w:val="32"/>
        </w:rPr>
        <w:t>分包</w:t>
      </w:r>
      <w:r>
        <w:rPr>
          <w:rFonts w:hint="eastAsia" w:ascii="方正仿宋_GBK" w:hAnsi="方正仿宋_GBK" w:eastAsia="方正仿宋_GBK" w:cs="方正仿宋_GBK"/>
          <w:sz w:val="32"/>
          <w:szCs w:val="32"/>
          <w:lang w:val="zh-CN"/>
        </w:rPr>
        <w:t>给第三方的。</w:t>
      </w:r>
    </w:p>
    <w:p w14:paraId="5AE8BE87">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2.</w:t>
      </w:r>
      <w:r>
        <w:rPr>
          <w:rFonts w:hint="eastAsia" w:ascii="方正仿宋_GBK" w:hAnsi="方正仿宋_GBK" w:eastAsia="方正仿宋_GBK" w:cs="方正仿宋_GBK"/>
          <w:sz w:val="32"/>
          <w:szCs w:val="32"/>
          <w:highlight w:val="none"/>
          <w:lang w:eastAsia="zh-CN"/>
        </w:rPr>
        <w:t>服务本项目的车辆及人员，</w:t>
      </w:r>
      <w:r>
        <w:rPr>
          <w:rFonts w:hint="eastAsia" w:ascii="方正仿宋_GBK" w:hAnsi="方正仿宋_GBK" w:eastAsia="方正仿宋_GBK" w:cs="方正仿宋_GBK"/>
          <w:sz w:val="32"/>
          <w:szCs w:val="32"/>
          <w:highlight w:val="none"/>
        </w:rPr>
        <w:t>收运来历不明的</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的，包括但不仅限于向其他单位或个人收运在餐厨垃圾桶、池等设施设备内分离、舀取油脂及油水混合物等情形。</w:t>
      </w:r>
    </w:p>
    <w:p w14:paraId="2063A3C1">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default" w:ascii="方正仿宋_GBK" w:hAnsi="方正仿宋_GBK" w:eastAsia="方正仿宋_GBK" w:cs="方正仿宋_GBK"/>
          <w:sz w:val="32"/>
          <w:szCs w:val="32"/>
          <w:highlight w:val="none"/>
          <w:lang w:val="en-US" w:eastAsia="zh-CN"/>
        </w:rPr>
      </w:pPr>
      <w:r>
        <w:rPr>
          <w:rFonts w:hint="eastAsia" w:ascii="方正仿宋_GBK" w:hAnsi="方正仿宋_GBK" w:eastAsia="方正仿宋_GBK" w:cs="方正仿宋_GBK"/>
          <w:sz w:val="32"/>
          <w:szCs w:val="32"/>
          <w:highlight w:val="none"/>
        </w:rPr>
        <w:t>3.将</w:t>
      </w:r>
      <w:r>
        <w:rPr>
          <w:rFonts w:hint="eastAsia" w:ascii="方正仿宋_GBK" w:hAnsi="方正仿宋_GBK" w:eastAsia="方正仿宋_GBK" w:cs="方正仿宋_GBK"/>
          <w:sz w:val="32"/>
          <w:szCs w:val="32"/>
          <w:highlight w:val="none"/>
          <w:lang w:eastAsia="zh-CN"/>
        </w:rPr>
        <w:t>九龙坡区产生的废弃食用油脂</w:t>
      </w:r>
      <w:r>
        <w:rPr>
          <w:rFonts w:hint="eastAsia" w:ascii="方正仿宋_GBK" w:hAnsi="方正仿宋_GBK" w:eastAsia="方正仿宋_GBK" w:cs="方正仿宋_GBK"/>
          <w:sz w:val="32"/>
          <w:szCs w:val="32"/>
          <w:highlight w:val="none"/>
        </w:rPr>
        <w:t>运至未取得</w:t>
      </w:r>
      <w:r>
        <w:rPr>
          <w:rFonts w:hint="eastAsia" w:ascii="方正仿宋_GBK" w:hAnsi="方正仿宋_GBK" w:eastAsia="方正仿宋_GBK" w:cs="方正仿宋_GBK"/>
          <w:sz w:val="32"/>
          <w:szCs w:val="32"/>
          <w:highlight w:val="none"/>
          <w:lang w:eastAsia="zh-CN"/>
        </w:rPr>
        <w:t>重庆市城市管理局“生活垃圾（废弃食用油脂）特许经营权”</w:t>
      </w:r>
      <w:r>
        <w:rPr>
          <w:rFonts w:hint="eastAsia" w:ascii="方正仿宋_GBK" w:hAnsi="方正仿宋_GBK" w:eastAsia="方正仿宋_GBK" w:cs="方正仿宋_GBK"/>
          <w:sz w:val="32"/>
          <w:szCs w:val="32"/>
          <w:highlight w:val="none"/>
        </w:rPr>
        <w:t>的单位</w:t>
      </w:r>
      <w:r>
        <w:rPr>
          <w:rFonts w:hint="eastAsia" w:ascii="方正仿宋_GBK" w:hAnsi="方正仿宋_GBK" w:eastAsia="方正仿宋_GBK" w:cs="方正仿宋_GBK"/>
          <w:sz w:val="32"/>
          <w:szCs w:val="32"/>
          <w:highlight w:val="none"/>
          <w:lang w:eastAsia="zh-CN"/>
        </w:rPr>
        <w:t>进行</w:t>
      </w:r>
      <w:r>
        <w:rPr>
          <w:rFonts w:hint="eastAsia" w:ascii="方正仿宋_GBK" w:hAnsi="方正仿宋_GBK" w:eastAsia="方正仿宋_GBK" w:cs="方正仿宋_GBK"/>
          <w:sz w:val="32"/>
          <w:szCs w:val="32"/>
          <w:highlight w:val="none"/>
        </w:rPr>
        <w:t>处置的</w:t>
      </w:r>
      <w:r>
        <w:rPr>
          <w:rFonts w:hint="eastAsia" w:ascii="方正仿宋_GBK" w:hAnsi="方正仿宋_GBK" w:eastAsia="方正仿宋_GBK" w:cs="方正仿宋_GBK"/>
          <w:sz w:val="32"/>
          <w:szCs w:val="32"/>
          <w:highlight w:val="none"/>
          <w:lang w:eastAsia="zh-CN"/>
        </w:rPr>
        <w:t>，或擅自运输出重庆市行政区域的。</w:t>
      </w:r>
    </w:p>
    <w:p w14:paraId="6346A2B3">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4.将</w:t>
      </w:r>
      <w:r>
        <w:rPr>
          <w:rFonts w:hint="eastAsia" w:ascii="方正仿宋_GBK" w:hAnsi="方正仿宋_GBK" w:eastAsia="方正仿宋_GBK" w:cs="方正仿宋_GBK"/>
          <w:sz w:val="32"/>
          <w:szCs w:val="32"/>
          <w:highlight w:val="none"/>
          <w:lang w:eastAsia="zh-CN"/>
        </w:rPr>
        <w:t>九龙坡区产生的</w:t>
      </w:r>
      <w:r>
        <w:rPr>
          <w:rFonts w:hint="eastAsia" w:ascii="方正仿宋_GBK" w:hAnsi="方正仿宋_GBK" w:eastAsia="方正仿宋_GBK" w:cs="方正仿宋_GBK"/>
          <w:sz w:val="32"/>
          <w:szCs w:val="32"/>
          <w:highlight w:val="none"/>
        </w:rPr>
        <w:t>未经加工处置的</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擅自对外</w:t>
      </w:r>
      <w:r>
        <w:rPr>
          <w:rFonts w:hint="eastAsia" w:ascii="方正仿宋_GBK" w:hAnsi="方正仿宋_GBK" w:eastAsia="方正仿宋_GBK" w:cs="方正仿宋_GBK"/>
          <w:sz w:val="32"/>
          <w:szCs w:val="32"/>
          <w:highlight w:val="none"/>
          <w:lang w:eastAsia="zh-CN"/>
        </w:rPr>
        <w:t>转卖、转让、</w:t>
      </w:r>
      <w:r>
        <w:rPr>
          <w:rFonts w:hint="eastAsia" w:ascii="方正仿宋_GBK" w:hAnsi="方正仿宋_GBK" w:eastAsia="方正仿宋_GBK" w:cs="方正仿宋_GBK"/>
          <w:sz w:val="32"/>
          <w:szCs w:val="32"/>
          <w:highlight w:val="none"/>
        </w:rPr>
        <w:t>赠予的。</w:t>
      </w:r>
    </w:p>
    <w:p w14:paraId="78CC74B1">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5.</w:t>
      </w:r>
      <w:r>
        <w:rPr>
          <w:rFonts w:hint="eastAsia" w:ascii="方正仿宋_GBK" w:hAnsi="方正仿宋_GBK" w:eastAsia="方正仿宋_GBK" w:cs="方正仿宋_GBK"/>
          <w:sz w:val="32"/>
          <w:szCs w:val="32"/>
          <w:highlight w:val="none"/>
          <w:lang w:eastAsia="zh-CN"/>
        </w:rPr>
        <w:t>服务本项目的车辆及人员，</w:t>
      </w:r>
      <w:r>
        <w:rPr>
          <w:rFonts w:hint="eastAsia" w:ascii="方正仿宋_GBK" w:hAnsi="方正仿宋_GBK" w:eastAsia="方正仿宋_GBK" w:cs="方正仿宋_GBK"/>
          <w:sz w:val="32"/>
          <w:szCs w:val="32"/>
          <w:highlight w:val="none"/>
        </w:rPr>
        <w:t>收运</w:t>
      </w:r>
      <w:r>
        <w:rPr>
          <w:rFonts w:hint="eastAsia" w:ascii="方正仿宋_GBK" w:hAnsi="方正仿宋_GBK" w:eastAsia="方正仿宋_GBK" w:cs="方正仿宋_GBK"/>
          <w:sz w:val="32"/>
          <w:szCs w:val="32"/>
          <w:highlight w:val="none"/>
          <w:lang w:eastAsia="zh-CN"/>
        </w:rPr>
        <w:t>九龙坡区行政区域</w:t>
      </w:r>
      <w:r>
        <w:rPr>
          <w:rFonts w:hint="eastAsia" w:ascii="方正仿宋_GBK" w:hAnsi="方正仿宋_GBK" w:eastAsia="方正仿宋_GBK" w:cs="方正仿宋_GBK"/>
          <w:sz w:val="32"/>
          <w:szCs w:val="32"/>
          <w:highlight w:val="none"/>
        </w:rPr>
        <w:t>外的</w:t>
      </w:r>
      <w:r>
        <w:rPr>
          <w:rFonts w:hint="eastAsia" w:ascii="方正仿宋_GBK" w:hAnsi="方正仿宋_GBK" w:eastAsia="方正仿宋_GBK" w:cs="方正仿宋_GBK"/>
          <w:sz w:val="32"/>
          <w:szCs w:val="32"/>
          <w:highlight w:val="none"/>
          <w:lang w:eastAsia="zh-CN"/>
        </w:rPr>
        <w:t>废弃食用油脂</w:t>
      </w:r>
      <w:r>
        <w:rPr>
          <w:rFonts w:hint="eastAsia" w:ascii="方正仿宋_GBK" w:hAnsi="方正仿宋_GBK" w:eastAsia="方正仿宋_GBK" w:cs="方正仿宋_GBK"/>
          <w:sz w:val="32"/>
          <w:szCs w:val="32"/>
          <w:highlight w:val="none"/>
        </w:rPr>
        <w:t>的。</w:t>
      </w:r>
    </w:p>
    <w:p w14:paraId="3D8381B6">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rPr>
        <w:t>6.</w:t>
      </w:r>
      <w:r>
        <w:rPr>
          <w:rFonts w:hint="eastAsia" w:ascii="方正仿宋_GBK" w:hAnsi="方正仿宋_GBK" w:eastAsia="方正仿宋_GBK" w:cs="方正仿宋_GBK"/>
          <w:sz w:val="32"/>
          <w:szCs w:val="32"/>
          <w:highlight w:val="none"/>
          <w:lang w:val="zh-CN"/>
        </w:rPr>
        <w:t>自然年度有一次不诚信企业信息记录的。</w:t>
      </w:r>
    </w:p>
    <w:p w14:paraId="4AA254D4">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rPr>
        <w:t>7.</w:t>
      </w:r>
      <w:r>
        <w:rPr>
          <w:rFonts w:hint="eastAsia" w:ascii="方正仿宋_GBK" w:hAnsi="方正仿宋_GBK" w:eastAsia="方正仿宋_GBK" w:cs="方正仿宋_GBK"/>
          <w:sz w:val="32"/>
          <w:szCs w:val="32"/>
          <w:highlight w:val="none"/>
          <w:lang w:eastAsia="zh-CN"/>
        </w:rPr>
        <w:t>在九龙坡区内</w:t>
      </w:r>
      <w:r>
        <w:rPr>
          <w:rFonts w:hint="eastAsia" w:ascii="方正仿宋_GBK" w:hAnsi="方正仿宋_GBK" w:eastAsia="方正仿宋_GBK" w:cs="方正仿宋_GBK"/>
          <w:sz w:val="32"/>
          <w:szCs w:val="32"/>
          <w:highlight w:val="none"/>
          <w:lang w:val="zh-CN"/>
        </w:rPr>
        <w:t>发生安全生产责任事故或作业公司需承担事故同等责任以上的交通事故并造成1人以上（含）死亡或者3人以上（含）重伤的。</w:t>
      </w:r>
    </w:p>
    <w:p w14:paraId="5A15C26C">
      <w:pPr>
        <w:keepNext w:val="0"/>
        <w:keepLines w:val="0"/>
        <w:pageBreakBefore w:val="0"/>
        <w:widowControl w:val="0"/>
        <w:kinsoku/>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rPr>
        <w:t>8.</w:t>
      </w:r>
      <w:r>
        <w:rPr>
          <w:rFonts w:hint="eastAsia" w:ascii="方正仿宋_GBK" w:hAnsi="方正仿宋_GBK" w:eastAsia="方正仿宋_GBK" w:cs="方正仿宋_GBK"/>
          <w:sz w:val="32"/>
          <w:szCs w:val="32"/>
          <w:highlight w:val="none"/>
          <w:lang w:eastAsia="zh-CN"/>
        </w:rPr>
        <w:t>在九龙坡区内</w:t>
      </w:r>
      <w:r>
        <w:rPr>
          <w:rFonts w:hint="eastAsia" w:ascii="方正仿宋_GBK" w:hAnsi="方正仿宋_GBK" w:eastAsia="方正仿宋_GBK" w:cs="方正仿宋_GBK"/>
          <w:sz w:val="32"/>
          <w:szCs w:val="32"/>
          <w:highlight w:val="none"/>
          <w:lang w:val="zh-CN"/>
        </w:rPr>
        <w:t>因</w:t>
      </w:r>
      <w:r>
        <w:rPr>
          <w:rFonts w:hint="eastAsia" w:ascii="方正仿宋_GBK" w:hAnsi="方正仿宋_GBK" w:eastAsia="方正仿宋_GBK" w:cs="方正仿宋_GBK"/>
          <w:sz w:val="32"/>
          <w:szCs w:val="32"/>
          <w:highlight w:val="none"/>
        </w:rPr>
        <w:t>员工</w:t>
      </w:r>
      <w:r>
        <w:rPr>
          <w:rFonts w:hint="eastAsia" w:ascii="方正仿宋_GBK" w:hAnsi="方正仿宋_GBK" w:eastAsia="方正仿宋_GBK" w:cs="方正仿宋_GBK"/>
          <w:sz w:val="32"/>
          <w:szCs w:val="32"/>
          <w:highlight w:val="none"/>
          <w:lang w:val="zh-CN"/>
        </w:rPr>
        <w:t>集访、罢工等，人数超过5人或者给九龙坡区人民政府及相关职能部门造成不良社会影响的（被市级以上媒体曝光；被各类网络媒体转发、关注、评论造成500人以上知晓的负面影响）。</w:t>
      </w:r>
    </w:p>
    <w:p w14:paraId="29C5C072">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rPr>
        <w:t>9.</w:t>
      </w:r>
      <w:r>
        <w:rPr>
          <w:rFonts w:hint="eastAsia" w:ascii="方正仿宋_GBK" w:hAnsi="方正仿宋_GBK" w:eastAsia="方正仿宋_GBK" w:cs="方正仿宋_GBK"/>
          <w:sz w:val="32"/>
          <w:szCs w:val="32"/>
          <w:highlight w:val="none"/>
          <w:lang w:val="zh-CN"/>
        </w:rPr>
        <w:t>因未按约履行</w:t>
      </w:r>
      <w:r>
        <w:rPr>
          <w:rFonts w:hint="eastAsia" w:ascii="方正仿宋_GBK" w:hAnsi="方正仿宋_GBK" w:eastAsia="方正仿宋_GBK" w:cs="方正仿宋_GBK"/>
          <w:sz w:val="32"/>
          <w:szCs w:val="32"/>
          <w:highlight w:val="none"/>
        </w:rPr>
        <w:t>本项目</w:t>
      </w:r>
      <w:r>
        <w:rPr>
          <w:rFonts w:hint="eastAsia" w:ascii="方正仿宋_GBK" w:hAnsi="方正仿宋_GBK" w:eastAsia="方正仿宋_GBK" w:cs="方正仿宋_GBK"/>
          <w:sz w:val="32"/>
          <w:szCs w:val="32"/>
          <w:highlight w:val="none"/>
          <w:lang w:val="zh-CN"/>
        </w:rPr>
        <w:t>协议义务，造成九龙坡区人民政府及相关职能部门重大舆论影响</w:t>
      </w:r>
      <w:r>
        <w:rPr>
          <w:rFonts w:hint="eastAsia" w:ascii="方正仿宋_GBK" w:hAnsi="方正仿宋_GBK" w:eastAsia="方正仿宋_GBK" w:cs="方正仿宋_GBK"/>
          <w:sz w:val="32"/>
          <w:szCs w:val="32"/>
          <w:highlight w:val="none"/>
        </w:rPr>
        <w:t>的</w:t>
      </w:r>
      <w:r>
        <w:rPr>
          <w:rFonts w:hint="eastAsia" w:ascii="方正仿宋_GBK" w:hAnsi="方正仿宋_GBK" w:eastAsia="方正仿宋_GBK" w:cs="方正仿宋_GBK"/>
          <w:sz w:val="32"/>
          <w:szCs w:val="32"/>
          <w:highlight w:val="none"/>
          <w:lang w:val="zh-CN"/>
        </w:rPr>
        <w:t>（被市级以上媒体曝光；被各类网络媒体转发、关注、评论造成500人以上知晓的负面影响）。</w:t>
      </w:r>
    </w:p>
    <w:p w14:paraId="129A39DA">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10.</w:t>
      </w:r>
      <w:r>
        <w:rPr>
          <w:rFonts w:hint="eastAsia" w:ascii="方正仿宋_GBK" w:hAnsi="方正仿宋_GBK" w:eastAsia="方正仿宋_GBK" w:cs="方正仿宋_GBK"/>
          <w:sz w:val="32"/>
          <w:szCs w:val="32"/>
          <w:highlight w:val="none"/>
          <w:lang w:eastAsia="zh-CN"/>
        </w:rPr>
        <w:t>被九龙坡区内废弃食用油脂</w:t>
      </w:r>
      <w:r>
        <w:rPr>
          <w:rFonts w:hint="eastAsia" w:ascii="方正仿宋_GBK" w:hAnsi="方正仿宋_GBK" w:eastAsia="方正仿宋_GBK" w:cs="方正仿宋_GBK"/>
          <w:sz w:val="32"/>
          <w:szCs w:val="32"/>
          <w:highlight w:val="none"/>
        </w:rPr>
        <w:t>产生者</w:t>
      </w:r>
      <w:r>
        <w:rPr>
          <w:rFonts w:hint="eastAsia" w:ascii="方正仿宋_GBK" w:hAnsi="方正仿宋_GBK" w:eastAsia="方正仿宋_GBK" w:cs="方正仿宋_GBK"/>
          <w:sz w:val="32"/>
          <w:szCs w:val="32"/>
          <w:highlight w:val="none"/>
          <w:lang w:eastAsia="zh-CN"/>
        </w:rPr>
        <w:t>有效</w:t>
      </w:r>
      <w:r>
        <w:rPr>
          <w:rFonts w:hint="eastAsia" w:ascii="方正仿宋_GBK" w:hAnsi="方正仿宋_GBK" w:eastAsia="方正仿宋_GBK" w:cs="方正仿宋_GBK"/>
          <w:sz w:val="32"/>
          <w:szCs w:val="32"/>
          <w:highlight w:val="none"/>
        </w:rPr>
        <w:t>投诉10人/次以上或一次10人的。</w:t>
      </w:r>
    </w:p>
    <w:p w14:paraId="581DF850">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ascii="方正仿宋_GBK" w:hAnsi="方正仿宋_GBK" w:eastAsia="方正仿宋_GBK" w:cs="方正仿宋_GBK"/>
          <w:sz w:val="32"/>
          <w:szCs w:val="32"/>
          <w:highlight w:val="none"/>
          <w:lang w:val="zh-CN"/>
        </w:rPr>
      </w:pPr>
      <w:r>
        <w:rPr>
          <w:rFonts w:hint="eastAsia" w:ascii="方正仿宋_GBK" w:hAnsi="方正仿宋_GBK" w:eastAsia="方正仿宋_GBK" w:cs="方正仿宋_GBK"/>
          <w:sz w:val="32"/>
          <w:szCs w:val="32"/>
          <w:highlight w:val="none"/>
        </w:rPr>
        <w:t>11.一个自然年度内</w:t>
      </w:r>
      <w:r>
        <w:rPr>
          <w:rFonts w:hint="eastAsia" w:ascii="方正仿宋_GBK" w:hAnsi="方正仿宋_GBK" w:eastAsia="方正仿宋_GBK" w:cs="方正仿宋_GBK"/>
          <w:sz w:val="32"/>
          <w:szCs w:val="32"/>
          <w:highlight w:val="none"/>
          <w:lang w:val="zh-CN"/>
        </w:rPr>
        <w:t>受到市、区领导点名批评</w:t>
      </w:r>
      <w:r>
        <w:rPr>
          <w:rFonts w:hint="eastAsia" w:ascii="方正仿宋_GBK" w:hAnsi="方正仿宋_GBK" w:eastAsia="方正仿宋_GBK" w:cs="方正仿宋_GBK"/>
          <w:sz w:val="32"/>
          <w:szCs w:val="32"/>
          <w:highlight w:val="none"/>
        </w:rPr>
        <w:t>或</w:t>
      </w:r>
      <w:r>
        <w:rPr>
          <w:rFonts w:hint="eastAsia" w:ascii="方正仿宋_GBK" w:hAnsi="方正仿宋_GBK" w:eastAsia="方正仿宋_GBK" w:cs="方正仿宋_GBK"/>
          <w:sz w:val="32"/>
          <w:szCs w:val="32"/>
          <w:highlight w:val="none"/>
          <w:lang w:val="zh-CN"/>
        </w:rPr>
        <w:t>受到</w:t>
      </w:r>
      <w:r>
        <w:rPr>
          <w:rFonts w:hint="eastAsia" w:ascii="方正仿宋_GBK" w:hAnsi="方正仿宋_GBK" w:eastAsia="方正仿宋_GBK" w:cs="方正仿宋_GBK"/>
          <w:sz w:val="32"/>
          <w:szCs w:val="32"/>
          <w:highlight w:val="none"/>
        </w:rPr>
        <w:t>政府职能部门</w:t>
      </w:r>
      <w:r>
        <w:rPr>
          <w:rFonts w:hint="eastAsia" w:ascii="方正仿宋_GBK" w:hAnsi="方正仿宋_GBK" w:eastAsia="方正仿宋_GBK" w:cs="方正仿宋_GBK"/>
          <w:sz w:val="32"/>
          <w:szCs w:val="32"/>
          <w:highlight w:val="none"/>
          <w:lang w:val="zh-CN"/>
        </w:rPr>
        <w:t>以正式文件通报批评，达到3次的。</w:t>
      </w:r>
    </w:p>
    <w:p w14:paraId="6EC8A55F">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仿宋_GBK" w:hAnsi="方正仿宋_GBK" w:eastAsia="方正仿宋_GBK" w:cs="方正仿宋_GBK"/>
          <w:sz w:val="32"/>
          <w:szCs w:val="32"/>
          <w:highlight w:val="yellow"/>
          <w:lang w:val="en-US" w:eastAsia="zh-CN"/>
        </w:rPr>
      </w:pPr>
      <w:r>
        <w:rPr>
          <w:rFonts w:hint="eastAsia" w:ascii="方正仿宋_GBK" w:hAnsi="方正仿宋_GBK" w:eastAsia="方正仿宋_GBK" w:cs="方正仿宋_GBK"/>
          <w:sz w:val="32"/>
          <w:szCs w:val="32"/>
          <w:highlight w:val="none"/>
        </w:rPr>
        <w:t>12.未</w:t>
      </w:r>
      <w:r>
        <w:rPr>
          <w:rFonts w:hint="eastAsia" w:ascii="方正仿宋_GBK" w:hAnsi="方正仿宋_GBK" w:eastAsia="方正仿宋_GBK" w:cs="方正仿宋_GBK"/>
          <w:sz w:val="32"/>
          <w:szCs w:val="32"/>
          <w:highlight w:val="none"/>
          <w:lang w:val="zh-CN"/>
        </w:rPr>
        <w:t>按</w:t>
      </w:r>
      <w:r>
        <w:rPr>
          <w:rFonts w:hint="eastAsia" w:ascii="方正仿宋_GBK" w:hAnsi="方正仿宋_GBK" w:eastAsia="方正仿宋_GBK" w:cs="方正仿宋_GBK"/>
          <w:sz w:val="32"/>
          <w:szCs w:val="32"/>
          <w:highlight w:val="none"/>
        </w:rPr>
        <w:t>竞选</w:t>
      </w:r>
      <w:r>
        <w:rPr>
          <w:rFonts w:hint="eastAsia" w:ascii="方正仿宋_GBK" w:hAnsi="方正仿宋_GBK" w:eastAsia="方正仿宋_GBK" w:cs="方正仿宋_GBK"/>
          <w:sz w:val="32"/>
          <w:szCs w:val="32"/>
          <w:highlight w:val="none"/>
          <w:lang w:val="zh-CN"/>
        </w:rPr>
        <w:t>文件规定要求和</w:t>
      </w:r>
      <w:r>
        <w:rPr>
          <w:rFonts w:hint="eastAsia" w:ascii="方正仿宋_GBK" w:hAnsi="方正仿宋_GBK" w:eastAsia="方正仿宋_GBK" w:cs="方正仿宋_GBK"/>
          <w:sz w:val="32"/>
          <w:szCs w:val="32"/>
          <w:highlight w:val="none"/>
        </w:rPr>
        <w:t>参选</w:t>
      </w:r>
      <w:r>
        <w:rPr>
          <w:rFonts w:hint="eastAsia" w:ascii="方正仿宋_GBK" w:hAnsi="方正仿宋_GBK" w:eastAsia="方正仿宋_GBK" w:cs="方正仿宋_GBK"/>
          <w:sz w:val="32"/>
          <w:szCs w:val="32"/>
          <w:highlight w:val="none"/>
          <w:lang w:val="zh-CN"/>
        </w:rPr>
        <w:t>文件承诺及相关规定投入人力、物力、财力和机械设备，一年内被</w:t>
      </w:r>
      <w:r>
        <w:rPr>
          <w:rFonts w:hint="eastAsia" w:ascii="方正仿宋_GBK" w:hAnsi="方正仿宋_GBK" w:eastAsia="方正仿宋_GBK" w:cs="方正仿宋_GBK"/>
          <w:sz w:val="32"/>
          <w:szCs w:val="32"/>
          <w:highlight w:val="none"/>
        </w:rPr>
        <w:t>九龙坡区城市</w:t>
      </w:r>
      <w:r>
        <w:rPr>
          <w:rFonts w:hint="eastAsia" w:ascii="方正仿宋_GBK" w:hAnsi="方正仿宋_GBK" w:eastAsia="方正仿宋_GBK" w:cs="方正仿宋_GBK"/>
          <w:sz w:val="32"/>
          <w:szCs w:val="32"/>
        </w:rPr>
        <w:t>管理局</w:t>
      </w:r>
      <w:r>
        <w:rPr>
          <w:rFonts w:hint="eastAsia" w:ascii="方正仿宋_GBK" w:hAnsi="方正仿宋_GBK" w:eastAsia="方正仿宋_GBK" w:cs="方正仿宋_GBK"/>
          <w:sz w:val="32"/>
          <w:szCs w:val="32"/>
          <w:lang w:val="zh-CN"/>
        </w:rPr>
        <w:t>书面告知2次仍未整改的。</w:t>
      </w:r>
    </w:p>
    <w:p w14:paraId="73AD1F25">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楷体_GBK" w:hAnsi="方正楷体_GBK" w:eastAsia="方正楷体_GBK" w:cs="方正楷体_GBK"/>
          <w:kern w:val="2"/>
          <w:sz w:val="32"/>
          <w:szCs w:val="32"/>
          <w:lang w:val="en-US" w:eastAsia="zh-CN" w:bidi="ar-SA"/>
        </w:rPr>
      </w:pPr>
      <w:r>
        <w:rPr>
          <w:rFonts w:hint="eastAsia" w:ascii="方正楷体_GBK" w:hAnsi="方正楷体_GBK" w:eastAsia="方正楷体_GBK" w:cs="方正楷体_GBK"/>
          <w:kern w:val="2"/>
          <w:sz w:val="32"/>
          <w:szCs w:val="32"/>
          <w:lang w:val="en-US" w:eastAsia="zh-CN" w:bidi="ar-SA"/>
        </w:rPr>
        <w:t>六、其他</w:t>
      </w:r>
    </w:p>
    <w:p w14:paraId="71333DBD">
      <w:pPr>
        <w:pStyle w:val="2"/>
        <w:keepNext w:val="0"/>
        <w:keepLines w:val="0"/>
        <w:pageBreakBefore w:val="0"/>
        <w:widowControl w:val="0"/>
        <w:wordWrap/>
        <w:overflowPunct/>
        <w:topLinePunct w:val="0"/>
        <w:bidi w:val="0"/>
        <w:spacing w:line="600" w:lineRule="exact"/>
        <w:ind w:firstLine="640" w:firstLineChars="200"/>
        <w:rPr>
          <w:rFonts w:hint="eastAsia" w:ascii="方正楷体_GBK" w:hAnsi="方正楷体_GBK" w:eastAsia="方正楷体_GBK" w:cs="方正楷体_GBK"/>
          <w:kern w:val="2"/>
          <w:sz w:val="32"/>
          <w:szCs w:val="32"/>
          <w:lang w:val="en-US" w:eastAsia="zh-CN" w:bidi="ar-SA"/>
        </w:rPr>
      </w:pPr>
      <w:r>
        <w:rPr>
          <w:rFonts w:hint="eastAsia" w:ascii="方正仿宋_GBK" w:hAnsi="方正仿宋_GBK" w:eastAsia="方正仿宋_GBK" w:cs="方正仿宋_GBK"/>
          <w:sz w:val="32"/>
          <w:szCs w:val="32"/>
          <w:highlight w:val="none"/>
          <w:lang w:val="zh-CN" w:eastAsia="zh-CN"/>
        </w:rPr>
        <w:t>乙方自行处理因履行工作职责而产生的所有法律纠纷，承担相应的法律责任。乙方员工与甲方之间无劳动用工关系，乙方与乙方员工的劳动纠纷均与甲方无关。</w:t>
      </w:r>
    </w:p>
    <w:p w14:paraId="4F3F5F21">
      <w:pPr>
        <w:keepNext w:val="0"/>
        <w:keepLines w:val="0"/>
        <w:pageBreakBefore w:val="0"/>
        <w:widowControl w:val="0"/>
        <w:kinsoku w:val="0"/>
        <w:wordWrap/>
        <w:overflowPunct/>
        <w:topLinePunct w:val="0"/>
        <w:autoSpaceDE w:val="0"/>
        <w:autoSpaceDN w:val="0"/>
        <w:bidi w:val="0"/>
        <w:adjustRightInd w:val="0"/>
        <w:snapToGrid w:val="0"/>
        <w:spacing w:line="600" w:lineRule="exact"/>
        <w:ind w:firstLine="640" w:firstLineChars="200"/>
        <w:textAlignment w:val="baseline"/>
        <w:rPr>
          <w:rFonts w:hint="eastAsia" w:ascii="方正楷体_GBK" w:hAnsi="方正楷体_GBK" w:eastAsia="方正楷体_GBK" w:cs="方正楷体_GBK"/>
          <w:kern w:val="2"/>
          <w:sz w:val="32"/>
          <w:szCs w:val="32"/>
          <w:lang w:val="en-US" w:eastAsia="zh-CN" w:bidi="ar-SA"/>
        </w:rPr>
      </w:pPr>
      <w:r>
        <w:rPr>
          <w:rFonts w:hint="eastAsia" w:ascii="方正楷体_GBK" w:hAnsi="方正楷体_GBK" w:eastAsia="方正楷体_GBK" w:cs="方正楷体_GBK"/>
          <w:kern w:val="2"/>
          <w:sz w:val="32"/>
          <w:szCs w:val="32"/>
          <w:lang w:val="en-US" w:eastAsia="zh-CN" w:bidi="ar-SA"/>
        </w:rPr>
        <w:t>七、联系与送达</w:t>
      </w:r>
    </w:p>
    <w:p w14:paraId="0967A53B">
      <w:pPr>
        <w:keepNext w:val="0"/>
        <w:keepLines w:val="0"/>
        <w:pageBreakBefore w:val="0"/>
        <w:widowControl w:val="0"/>
        <w:wordWrap/>
        <w:overflowPunct/>
        <w:topLinePunct w:val="0"/>
        <w:bidi w:val="0"/>
        <w:spacing w:line="600" w:lineRule="exact"/>
        <w:ind w:firstLine="640" w:firstLineChars="200"/>
        <w:rPr>
          <w:rFonts w:hint="eastAsia" w:ascii="方正仿宋_GBK" w:eastAsia="方正仿宋_GBK"/>
          <w:color w:val="000000"/>
          <w:kern w:val="0"/>
          <w:sz w:val="32"/>
          <w:szCs w:val="32"/>
        </w:rPr>
      </w:pPr>
      <w:r>
        <w:rPr>
          <w:rFonts w:hint="eastAsia" w:ascii="方正仿宋_GBK" w:eastAsia="方正仿宋_GBK"/>
          <w:color w:val="000000"/>
          <w:kern w:val="0"/>
          <w:sz w:val="32"/>
          <w:szCs w:val="32"/>
        </w:rPr>
        <w:t>甲方通信地址：重庆市九龙坡区直港大道建设大厦17楼</w:t>
      </w:r>
    </w:p>
    <w:p w14:paraId="2D6D55F8">
      <w:pPr>
        <w:keepNext w:val="0"/>
        <w:keepLines w:val="0"/>
        <w:pageBreakBefore w:val="0"/>
        <w:widowControl w:val="0"/>
        <w:wordWrap/>
        <w:overflowPunct/>
        <w:topLinePunct w:val="0"/>
        <w:bidi w:val="0"/>
        <w:spacing w:line="600" w:lineRule="exact"/>
        <w:ind w:firstLine="640" w:firstLineChars="200"/>
        <w:rPr>
          <w:rFonts w:hint="default" w:ascii="方正仿宋_GBK" w:eastAsia="方正仿宋_GBK"/>
          <w:color w:val="000000"/>
          <w:kern w:val="0"/>
          <w:sz w:val="32"/>
          <w:szCs w:val="32"/>
          <w:highlight w:val="none"/>
          <w:lang w:val="en-US" w:eastAsia="zh-CN"/>
        </w:rPr>
      </w:pPr>
      <w:r>
        <w:rPr>
          <w:rFonts w:hint="eastAsia" w:ascii="方正仿宋_GBK" w:eastAsia="方正仿宋_GBK"/>
          <w:color w:val="000000"/>
          <w:kern w:val="0"/>
          <w:sz w:val="32"/>
          <w:szCs w:val="32"/>
        </w:rPr>
        <w:t>收</w:t>
      </w:r>
      <w:r>
        <w:rPr>
          <w:rFonts w:hint="eastAsia" w:ascii="方正仿宋_GBK" w:eastAsia="方正仿宋_GBK"/>
          <w:color w:val="000000"/>
          <w:kern w:val="0"/>
          <w:sz w:val="32"/>
          <w:szCs w:val="32"/>
          <w:highlight w:val="none"/>
        </w:rPr>
        <w:t>件人</w:t>
      </w:r>
      <w:r>
        <w:rPr>
          <w:rFonts w:hint="eastAsia" w:ascii="方正仿宋_GBK" w:eastAsia="方正仿宋_GBK"/>
          <w:color w:val="000000"/>
          <w:kern w:val="0"/>
          <w:sz w:val="32"/>
          <w:szCs w:val="32"/>
          <w:highlight w:val="none"/>
          <w:u w:val="none"/>
        </w:rPr>
        <w:t>：</w:t>
      </w:r>
      <w:r>
        <w:rPr>
          <w:rFonts w:hint="eastAsia" w:ascii="方正仿宋_GBK" w:eastAsia="方正仿宋_GBK"/>
          <w:color w:val="000000"/>
          <w:kern w:val="0"/>
          <w:sz w:val="32"/>
          <w:szCs w:val="32"/>
          <w:highlight w:val="none"/>
          <w:u w:val="single"/>
          <w:lang w:val="en-US" w:eastAsia="zh-CN"/>
        </w:rPr>
        <w:t>XXX</w:t>
      </w:r>
      <w:r>
        <w:rPr>
          <w:rFonts w:hint="eastAsia" w:ascii="方正仿宋_GBK" w:eastAsia="方正仿宋_GBK"/>
          <w:color w:val="000000"/>
          <w:kern w:val="0"/>
          <w:sz w:val="32"/>
          <w:szCs w:val="32"/>
          <w:highlight w:val="none"/>
          <w:u w:val="single"/>
        </w:rPr>
        <w:t xml:space="preserve"> </w:t>
      </w:r>
      <w:r>
        <w:rPr>
          <w:rFonts w:hint="eastAsia" w:ascii="方正仿宋_GBK" w:eastAsia="方正仿宋_GBK"/>
          <w:color w:val="000000"/>
          <w:kern w:val="0"/>
          <w:sz w:val="32"/>
          <w:szCs w:val="32"/>
          <w:highlight w:val="none"/>
        </w:rPr>
        <w:t xml:space="preserve">        联系电话：</w:t>
      </w:r>
      <w:r>
        <w:rPr>
          <w:rFonts w:hint="eastAsia" w:ascii="方正仿宋_GBK" w:eastAsia="方正仿宋_GBK"/>
          <w:color w:val="000000"/>
          <w:kern w:val="0"/>
          <w:sz w:val="32"/>
          <w:szCs w:val="32"/>
          <w:highlight w:val="none"/>
          <w:lang w:val="en-US" w:eastAsia="zh-CN"/>
        </w:rPr>
        <w:t>023-68880586</w:t>
      </w:r>
    </w:p>
    <w:p w14:paraId="6BE0EF15">
      <w:pPr>
        <w:keepNext w:val="0"/>
        <w:keepLines w:val="0"/>
        <w:pageBreakBefore w:val="0"/>
        <w:widowControl w:val="0"/>
        <w:wordWrap/>
        <w:overflowPunct/>
        <w:topLinePunct w:val="0"/>
        <w:bidi w:val="0"/>
        <w:spacing w:line="600" w:lineRule="exact"/>
        <w:ind w:firstLine="640" w:firstLineChars="200"/>
        <w:rPr>
          <w:rFonts w:hint="default" w:ascii="方正仿宋_GBK" w:eastAsia="方正仿宋_GBK"/>
          <w:color w:val="000000"/>
          <w:kern w:val="0"/>
          <w:sz w:val="32"/>
          <w:szCs w:val="32"/>
          <w:highlight w:val="none"/>
          <w:lang w:val="en-US" w:eastAsia="zh-CN"/>
        </w:rPr>
      </w:pPr>
      <w:r>
        <w:rPr>
          <w:rFonts w:hint="eastAsia" w:ascii="方正仿宋_GBK" w:eastAsia="方正仿宋_GBK"/>
          <w:color w:val="000000"/>
          <w:kern w:val="0"/>
          <w:sz w:val="32"/>
          <w:szCs w:val="32"/>
          <w:highlight w:val="none"/>
          <w:lang w:eastAsia="zh-CN"/>
        </w:rPr>
        <w:t>电子邮箱：</w:t>
      </w:r>
      <w:r>
        <w:rPr>
          <w:rFonts w:hint="eastAsia" w:ascii="方正仿宋_GBK" w:eastAsia="方正仿宋_GBK"/>
          <w:color w:val="000000"/>
          <w:kern w:val="0"/>
          <w:sz w:val="32"/>
          <w:szCs w:val="32"/>
          <w:highlight w:val="none"/>
          <w:lang w:val="en-US" w:eastAsia="zh-CN"/>
        </w:rPr>
        <w:t>2101316244QQ.com</w:t>
      </w:r>
    </w:p>
    <w:p w14:paraId="02C0DDD0">
      <w:pPr>
        <w:keepNext w:val="0"/>
        <w:keepLines w:val="0"/>
        <w:pageBreakBefore w:val="0"/>
        <w:widowControl w:val="0"/>
        <w:wordWrap/>
        <w:overflowPunct/>
        <w:topLinePunct w:val="0"/>
        <w:bidi w:val="0"/>
        <w:spacing w:line="600" w:lineRule="exact"/>
        <w:ind w:firstLine="640" w:firstLineChars="200"/>
        <w:rPr>
          <w:rFonts w:hint="eastAsia" w:ascii="方正仿宋_GBK" w:eastAsia="方正仿宋_GBK"/>
          <w:color w:val="000000"/>
          <w:kern w:val="0"/>
          <w:sz w:val="32"/>
          <w:szCs w:val="32"/>
          <w:highlight w:val="none"/>
        </w:rPr>
      </w:pPr>
      <w:r>
        <w:rPr>
          <w:rFonts w:hint="eastAsia" w:ascii="方正仿宋_GBK" w:eastAsia="方正仿宋_GBK"/>
          <w:color w:val="000000"/>
          <w:kern w:val="0"/>
          <w:sz w:val="32"/>
          <w:szCs w:val="32"/>
          <w:highlight w:val="none"/>
        </w:rPr>
        <w:t>乙方通信地址：</w:t>
      </w:r>
    </w:p>
    <w:p w14:paraId="11BA4C0B">
      <w:pPr>
        <w:keepNext w:val="0"/>
        <w:keepLines w:val="0"/>
        <w:pageBreakBefore w:val="0"/>
        <w:widowControl w:val="0"/>
        <w:wordWrap/>
        <w:overflowPunct/>
        <w:topLinePunct w:val="0"/>
        <w:bidi w:val="0"/>
        <w:spacing w:line="600" w:lineRule="exact"/>
        <w:ind w:firstLine="640" w:firstLineChars="200"/>
        <w:rPr>
          <w:rFonts w:hint="eastAsia" w:ascii="方正仿宋_GBK" w:eastAsia="方正仿宋_GBK"/>
          <w:color w:val="000000"/>
          <w:kern w:val="0"/>
          <w:sz w:val="32"/>
          <w:szCs w:val="32"/>
          <w:highlight w:val="none"/>
          <w:lang w:val="en-US" w:eastAsia="zh-CN"/>
        </w:rPr>
      </w:pPr>
      <w:r>
        <w:rPr>
          <w:rFonts w:hint="eastAsia" w:ascii="方正仿宋_GBK" w:eastAsia="方正仿宋_GBK"/>
          <w:color w:val="000000"/>
          <w:kern w:val="0"/>
          <w:sz w:val="32"/>
          <w:szCs w:val="32"/>
          <w:highlight w:val="none"/>
        </w:rPr>
        <w:t>收件人：</w:t>
      </w:r>
      <w:r>
        <w:rPr>
          <w:rFonts w:hint="eastAsia" w:ascii="方正仿宋_GBK" w:eastAsia="方正仿宋_GBK"/>
          <w:color w:val="auto"/>
          <w:kern w:val="0"/>
          <w:sz w:val="32"/>
          <w:szCs w:val="32"/>
          <w:highlight w:val="none"/>
          <w:u w:val="single"/>
        </w:rPr>
        <w:t xml:space="preserve"> XXX </w:t>
      </w:r>
      <w:r>
        <w:rPr>
          <w:rFonts w:hint="eastAsia" w:ascii="方正仿宋_GBK" w:eastAsia="方正仿宋_GBK"/>
          <w:color w:val="auto"/>
          <w:kern w:val="0"/>
          <w:sz w:val="32"/>
          <w:szCs w:val="32"/>
          <w:highlight w:val="none"/>
        </w:rPr>
        <w:t xml:space="preserve"> </w:t>
      </w:r>
      <w:r>
        <w:rPr>
          <w:rFonts w:hint="eastAsia" w:ascii="方正仿宋_GBK" w:eastAsia="方正仿宋_GBK"/>
          <w:color w:val="000000"/>
          <w:kern w:val="0"/>
          <w:sz w:val="32"/>
          <w:szCs w:val="32"/>
          <w:highlight w:val="none"/>
        </w:rPr>
        <w:t xml:space="preserve">     </w:t>
      </w:r>
      <w:r>
        <w:rPr>
          <w:rFonts w:hint="eastAsia" w:ascii="方正仿宋_GBK" w:eastAsia="方正仿宋_GBK"/>
          <w:color w:val="000000"/>
          <w:kern w:val="0"/>
          <w:sz w:val="32"/>
          <w:szCs w:val="32"/>
          <w:highlight w:val="none"/>
          <w:lang w:val="en-US" w:eastAsia="zh-CN"/>
        </w:rPr>
        <w:t xml:space="preserve"> </w:t>
      </w:r>
      <w:r>
        <w:rPr>
          <w:rFonts w:hint="eastAsia" w:ascii="方正仿宋_GBK" w:eastAsia="方正仿宋_GBK"/>
          <w:color w:val="000000"/>
          <w:kern w:val="0"/>
          <w:sz w:val="32"/>
          <w:szCs w:val="32"/>
          <w:highlight w:val="none"/>
        </w:rPr>
        <w:t>联系电话：</w:t>
      </w:r>
      <w:r>
        <w:rPr>
          <w:rFonts w:hint="eastAsia" w:ascii="方正仿宋_GBK" w:eastAsia="方正仿宋_GBK"/>
          <w:color w:val="000000"/>
          <w:kern w:val="0"/>
          <w:sz w:val="32"/>
          <w:szCs w:val="32"/>
          <w:highlight w:val="none"/>
          <w:lang w:val="en-US" w:eastAsia="zh-CN"/>
        </w:rPr>
        <w:t>XXXX</w:t>
      </w:r>
    </w:p>
    <w:p w14:paraId="113501F5">
      <w:pPr>
        <w:keepNext w:val="0"/>
        <w:keepLines w:val="0"/>
        <w:pageBreakBefore w:val="0"/>
        <w:widowControl w:val="0"/>
        <w:wordWrap/>
        <w:overflowPunct/>
        <w:topLinePunct w:val="0"/>
        <w:bidi w:val="0"/>
        <w:spacing w:line="600" w:lineRule="exact"/>
        <w:ind w:firstLine="640" w:firstLineChars="200"/>
        <w:rPr>
          <w:rFonts w:hint="default" w:ascii="方正仿宋_GBK" w:eastAsia="方正仿宋_GBK"/>
          <w:color w:val="000000"/>
          <w:kern w:val="0"/>
          <w:sz w:val="32"/>
          <w:szCs w:val="32"/>
          <w:highlight w:val="none"/>
          <w:u w:val="single"/>
          <w:lang w:val="en-US" w:eastAsia="zh-CN"/>
        </w:rPr>
      </w:pPr>
      <w:r>
        <w:rPr>
          <w:rFonts w:hint="eastAsia" w:ascii="方正仿宋_GBK" w:eastAsia="方正仿宋_GBK"/>
          <w:color w:val="000000"/>
          <w:kern w:val="0"/>
          <w:sz w:val="32"/>
          <w:szCs w:val="32"/>
          <w:highlight w:val="none"/>
          <w:lang w:eastAsia="zh-CN"/>
        </w:rPr>
        <w:t>电子邮箱：</w:t>
      </w:r>
      <w:r>
        <w:rPr>
          <w:rFonts w:hint="eastAsia" w:ascii="方正仿宋_GBK" w:eastAsia="方正仿宋_GBK"/>
          <w:color w:val="000000"/>
          <w:kern w:val="0"/>
          <w:sz w:val="32"/>
          <w:szCs w:val="32"/>
          <w:highlight w:val="none"/>
          <w:u w:val="single"/>
          <w:lang w:val="en-US" w:eastAsia="zh-CN"/>
        </w:rPr>
        <w:t>XXXX</w:t>
      </w:r>
    </w:p>
    <w:p w14:paraId="42368EDA">
      <w:pPr>
        <w:keepNext w:val="0"/>
        <w:keepLines w:val="0"/>
        <w:pageBreakBefore w:val="0"/>
        <w:widowControl w:val="0"/>
        <w:wordWrap/>
        <w:overflowPunct/>
        <w:topLinePunct w:val="0"/>
        <w:bidi w:val="0"/>
        <w:spacing w:line="600" w:lineRule="exact"/>
        <w:ind w:firstLine="640" w:firstLineChars="200"/>
        <w:rPr>
          <w:rFonts w:hint="default"/>
          <w:highlight w:val="none"/>
          <w:lang w:val="en-US" w:eastAsia="zh-CN"/>
        </w:rPr>
      </w:pPr>
      <w:r>
        <w:rPr>
          <w:rFonts w:hint="eastAsia" w:ascii="方正仿宋_GBK" w:eastAsia="方正仿宋_GBK"/>
          <w:color w:val="000000"/>
          <w:kern w:val="0"/>
          <w:sz w:val="32"/>
          <w:szCs w:val="32"/>
          <w:highlight w:val="none"/>
        </w:rPr>
        <w:t>双方在履行本协议过</w:t>
      </w:r>
      <w:r>
        <w:rPr>
          <w:rFonts w:hint="eastAsia" w:ascii="方正仿宋_GBK" w:eastAsia="方正仿宋_GBK"/>
          <w:color w:val="000000"/>
          <w:kern w:val="0"/>
          <w:sz w:val="32"/>
          <w:szCs w:val="32"/>
        </w:rPr>
        <w:t>程中所发出的函件，可直接送达</w:t>
      </w:r>
      <w:r>
        <w:rPr>
          <w:rFonts w:hint="eastAsia" w:ascii="方正仿宋_GBK" w:eastAsia="方正仿宋_GBK"/>
          <w:color w:val="000000"/>
          <w:kern w:val="0"/>
          <w:sz w:val="32"/>
          <w:szCs w:val="32"/>
          <w:lang w:eastAsia="zh-CN"/>
        </w:rPr>
        <w:t>、</w:t>
      </w:r>
      <w:r>
        <w:rPr>
          <w:rFonts w:hint="eastAsia" w:ascii="方正仿宋_GBK" w:eastAsia="方正仿宋_GBK"/>
          <w:color w:val="000000"/>
          <w:kern w:val="0"/>
          <w:sz w:val="32"/>
          <w:szCs w:val="32"/>
        </w:rPr>
        <w:t>邮寄送达</w:t>
      </w:r>
      <w:r>
        <w:rPr>
          <w:rFonts w:hint="eastAsia" w:ascii="方正仿宋_GBK" w:eastAsia="方正仿宋_GBK"/>
          <w:color w:val="000000"/>
          <w:kern w:val="0"/>
          <w:sz w:val="32"/>
          <w:szCs w:val="32"/>
          <w:lang w:eastAsia="zh-CN"/>
        </w:rPr>
        <w:t>、电子邮箱送达</w:t>
      </w:r>
      <w:r>
        <w:rPr>
          <w:rFonts w:hint="eastAsia" w:ascii="方正仿宋_GBK" w:eastAsia="方正仿宋_GBK"/>
          <w:color w:val="000000"/>
          <w:kern w:val="0"/>
          <w:sz w:val="32"/>
          <w:szCs w:val="32"/>
        </w:rPr>
        <w:t>，从发出之日起第五日视为收到。当一方通信地址发生变动的，应当提前书面通知对方，否则原通信地址仍有效，按原地址寄发或发送的文件视为成功送达。</w:t>
      </w:r>
    </w:p>
    <w:p w14:paraId="1BC31167">
      <w:pPr>
        <w:keepNext w:val="0"/>
        <w:keepLines w:val="0"/>
        <w:pageBreakBefore w:val="0"/>
        <w:widowControl w:val="0"/>
        <w:wordWrap/>
        <w:overflowPunct/>
        <w:topLinePunct w:val="0"/>
        <w:bidi w:val="0"/>
        <w:spacing w:line="600" w:lineRule="exact"/>
        <w:ind w:firstLine="640" w:firstLineChars="200"/>
        <w:rPr>
          <w:rFonts w:hint="eastAsia" w:ascii="方正楷体_GBK" w:hAnsi="方正楷体_GBK" w:eastAsia="方正楷体_GBK" w:cs="方正楷体_GBK"/>
          <w:kern w:val="2"/>
          <w:sz w:val="32"/>
          <w:szCs w:val="32"/>
          <w:lang w:val="en-US" w:eastAsia="zh-CN" w:bidi="ar-SA"/>
        </w:rPr>
      </w:pPr>
      <w:r>
        <w:rPr>
          <w:rFonts w:hint="eastAsia" w:ascii="方正楷体_GBK" w:hAnsi="方正楷体_GBK" w:eastAsia="方正楷体_GBK" w:cs="方正楷体_GBK"/>
          <w:kern w:val="2"/>
          <w:sz w:val="32"/>
          <w:szCs w:val="32"/>
          <w:lang w:val="en-US" w:eastAsia="zh-CN" w:bidi="ar-SA"/>
        </w:rPr>
        <w:t>八、争议解决</w:t>
      </w:r>
    </w:p>
    <w:p w14:paraId="7B8D914F">
      <w:pPr>
        <w:keepNext w:val="0"/>
        <w:keepLines w:val="0"/>
        <w:pageBreakBefore w:val="0"/>
        <w:widowControl w:val="0"/>
        <w:wordWrap/>
        <w:overflowPunct/>
        <w:topLinePunct w:val="0"/>
        <w:bidi w:val="0"/>
        <w:spacing w:line="600" w:lineRule="exact"/>
        <w:ind w:firstLine="640" w:firstLineChars="200"/>
        <w:rPr>
          <w:rFonts w:hint="eastAsia" w:ascii="方正楷体_GBK" w:hAnsi="方正楷体_GBK" w:eastAsia="方正楷体_GBK" w:cs="方正楷体_GBK"/>
          <w:kern w:val="2"/>
          <w:sz w:val="32"/>
          <w:szCs w:val="32"/>
          <w:lang w:val="en-US" w:eastAsia="zh-CN" w:bidi="ar-SA"/>
        </w:rPr>
      </w:pPr>
      <w:r>
        <w:rPr>
          <w:rFonts w:hint="eastAsia" w:ascii="方正仿宋_GBK" w:eastAsia="方正仿宋_GBK"/>
          <w:color w:val="000000"/>
          <w:kern w:val="0"/>
          <w:sz w:val="32"/>
          <w:szCs w:val="32"/>
        </w:rPr>
        <w:t>甲乙双方在履行协议的过程中如发生争议，应友好协商解决。如果协商不成，可向</w:t>
      </w:r>
      <w:r>
        <w:rPr>
          <w:rFonts w:hint="eastAsia" w:ascii="方正仿宋_GBK" w:eastAsia="方正仿宋_GBK"/>
          <w:color w:val="000000"/>
          <w:kern w:val="0"/>
          <w:sz w:val="32"/>
          <w:szCs w:val="32"/>
          <w:lang w:eastAsia="zh-CN"/>
        </w:rPr>
        <w:t>甲方所在地</w:t>
      </w:r>
      <w:r>
        <w:rPr>
          <w:rFonts w:hint="eastAsia" w:ascii="方正仿宋_GBK" w:eastAsia="方正仿宋_GBK"/>
          <w:color w:val="000000"/>
          <w:kern w:val="0"/>
          <w:sz w:val="32"/>
          <w:szCs w:val="32"/>
        </w:rPr>
        <w:t>人民法院提起诉讼。</w:t>
      </w:r>
    </w:p>
    <w:p w14:paraId="60676E88">
      <w:pPr>
        <w:keepNext w:val="0"/>
        <w:keepLines w:val="0"/>
        <w:pageBreakBefore w:val="0"/>
        <w:widowControl w:val="0"/>
        <w:wordWrap/>
        <w:overflowPunct/>
        <w:topLinePunct w:val="0"/>
        <w:bidi w:val="0"/>
        <w:spacing w:line="600" w:lineRule="exact"/>
        <w:ind w:firstLine="640" w:firstLineChars="200"/>
        <w:rPr>
          <w:rFonts w:hint="eastAsia" w:ascii="方正楷体_GBK" w:hAnsi="方正楷体_GBK" w:eastAsia="方正楷体_GBK" w:cs="方正楷体_GBK"/>
          <w:kern w:val="2"/>
          <w:sz w:val="32"/>
          <w:szCs w:val="32"/>
          <w:lang w:val="en-US" w:eastAsia="zh-CN" w:bidi="ar-SA"/>
        </w:rPr>
      </w:pPr>
      <w:r>
        <w:rPr>
          <w:rFonts w:hint="eastAsia" w:ascii="方正楷体_GBK" w:hAnsi="方正楷体_GBK" w:eastAsia="方正楷体_GBK" w:cs="方正楷体_GBK"/>
          <w:kern w:val="2"/>
          <w:sz w:val="32"/>
          <w:szCs w:val="32"/>
          <w:lang w:val="en-US" w:eastAsia="zh-CN" w:bidi="ar-SA"/>
        </w:rPr>
        <w:t>九、协议生效</w:t>
      </w:r>
    </w:p>
    <w:p w14:paraId="583DFBD8">
      <w:pPr>
        <w:keepNext w:val="0"/>
        <w:keepLines w:val="0"/>
        <w:pageBreakBefore w:val="0"/>
        <w:widowControl w:val="0"/>
        <w:numPr>
          <w:ilvl w:val="0"/>
          <w:numId w:val="0"/>
        </w:numPr>
        <w:wordWrap/>
        <w:overflowPunct/>
        <w:topLinePunct w:val="0"/>
        <w:bidi w:val="0"/>
        <w:adjustRightInd w:val="0"/>
        <w:snapToGrid w:val="0"/>
        <w:spacing w:line="600" w:lineRule="exact"/>
        <w:ind w:firstLine="640" w:firstLineChars="200"/>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本</w:t>
      </w:r>
      <w:r>
        <w:rPr>
          <w:rFonts w:hint="eastAsia" w:ascii="方正仿宋_GBK" w:hAnsi="方正仿宋_GBK" w:eastAsia="方正仿宋_GBK" w:cs="方正仿宋_GBK"/>
          <w:sz w:val="32"/>
          <w:szCs w:val="32"/>
          <w:lang w:eastAsia="zh-CN"/>
        </w:rPr>
        <w:t>协议</w:t>
      </w:r>
      <w:r>
        <w:rPr>
          <w:rFonts w:hint="eastAsia" w:ascii="方正仿宋_GBK" w:hAnsi="方正仿宋_GBK" w:eastAsia="方正仿宋_GBK" w:cs="方正仿宋_GBK"/>
          <w:sz w:val="32"/>
          <w:szCs w:val="32"/>
        </w:rPr>
        <w:t>自签订之日起生效，</w:t>
      </w:r>
      <w:r>
        <w:rPr>
          <w:rFonts w:hint="eastAsia" w:ascii="方正仿宋_GBK" w:hAnsi="方正仿宋_GBK" w:eastAsia="方正仿宋_GBK" w:cs="方正仿宋_GBK"/>
          <w:sz w:val="32"/>
          <w:szCs w:val="32"/>
          <w:lang w:eastAsia="zh-CN"/>
        </w:rPr>
        <w:t>协议</w:t>
      </w:r>
      <w:r>
        <w:rPr>
          <w:rFonts w:hint="eastAsia" w:ascii="方正仿宋_GBK" w:hAnsi="方正仿宋_GBK" w:eastAsia="方正仿宋_GBK" w:cs="方正仿宋_GBK"/>
          <w:sz w:val="32"/>
          <w:szCs w:val="32"/>
        </w:rPr>
        <w:t>一式</w:t>
      </w:r>
      <w:r>
        <w:rPr>
          <w:rFonts w:hint="eastAsia" w:ascii="方正仿宋_GBK" w:hAnsi="方正仿宋_GBK" w:eastAsia="方正仿宋_GBK" w:cs="方正仿宋_GBK"/>
          <w:sz w:val="32"/>
          <w:szCs w:val="32"/>
          <w:lang w:eastAsia="zh-CN"/>
        </w:rPr>
        <w:t>陆</w:t>
      </w:r>
      <w:r>
        <w:rPr>
          <w:rFonts w:hint="eastAsia" w:ascii="方正仿宋_GBK" w:hAnsi="方正仿宋_GBK" w:eastAsia="方正仿宋_GBK" w:cs="方正仿宋_GBK"/>
          <w:sz w:val="32"/>
          <w:szCs w:val="32"/>
        </w:rPr>
        <w:t>份，甲方执</w:t>
      </w:r>
      <w:r>
        <w:rPr>
          <w:rFonts w:hint="eastAsia" w:ascii="方正仿宋_GBK" w:hAnsi="方正仿宋_GBK" w:eastAsia="方正仿宋_GBK" w:cs="方正仿宋_GBK"/>
          <w:sz w:val="32"/>
          <w:szCs w:val="32"/>
          <w:lang w:eastAsia="zh-CN"/>
        </w:rPr>
        <w:t>肆</w:t>
      </w:r>
      <w:r>
        <w:rPr>
          <w:rFonts w:hint="eastAsia" w:ascii="方正仿宋_GBK" w:hAnsi="方正仿宋_GBK" w:eastAsia="方正仿宋_GBK" w:cs="方正仿宋_GBK"/>
          <w:sz w:val="32"/>
          <w:szCs w:val="32"/>
        </w:rPr>
        <w:t>份、乙方执</w:t>
      </w:r>
      <w:r>
        <w:rPr>
          <w:rFonts w:hint="eastAsia" w:ascii="方正仿宋_GBK" w:hAnsi="方正仿宋_GBK" w:eastAsia="方正仿宋_GBK" w:cs="方正仿宋_GBK"/>
          <w:sz w:val="32"/>
          <w:szCs w:val="32"/>
          <w:lang w:eastAsia="zh-CN"/>
        </w:rPr>
        <w:t>贰</w:t>
      </w:r>
      <w:r>
        <w:rPr>
          <w:rFonts w:hint="eastAsia" w:ascii="方正仿宋_GBK" w:hAnsi="方正仿宋_GBK" w:eastAsia="方正仿宋_GBK" w:cs="方正仿宋_GBK"/>
          <w:sz w:val="32"/>
          <w:szCs w:val="32"/>
        </w:rPr>
        <w:t>份</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每份</w:t>
      </w:r>
      <w:r>
        <w:rPr>
          <w:rFonts w:hint="eastAsia" w:ascii="方正仿宋_GBK" w:hAnsi="方正仿宋_GBK" w:eastAsia="方正仿宋_GBK" w:cs="方正仿宋_GBK"/>
          <w:sz w:val="32"/>
          <w:szCs w:val="32"/>
          <w:lang w:eastAsia="zh-CN"/>
        </w:rPr>
        <w:t>协议</w:t>
      </w:r>
      <w:r>
        <w:rPr>
          <w:rFonts w:hint="eastAsia" w:ascii="方正仿宋_GBK" w:hAnsi="方正仿宋_GBK" w:eastAsia="方正仿宋_GBK" w:cs="方正仿宋_GBK"/>
          <w:sz w:val="32"/>
          <w:szCs w:val="32"/>
        </w:rPr>
        <w:t>具有同等法律效力。</w:t>
      </w:r>
      <w:r>
        <w:rPr>
          <w:rFonts w:hint="eastAsia" w:ascii="方正仿宋_GBK" w:hAnsi="方正仿宋_GBK" w:eastAsia="方正仿宋_GBK" w:cs="方正仿宋_GBK"/>
          <w:sz w:val="32"/>
          <w:szCs w:val="32"/>
          <w:lang w:eastAsia="zh-CN"/>
        </w:rPr>
        <w:t>协议附件均为协议的重要组成部分，与本协议具有同等法律效力。</w:t>
      </w:r>
    </w:p>
    <w:p w14:paraId="67B54618">
      <w:pPr>
        <w:keepNext w:val="0"/>
        <w:keepLines w:val="0"/>
        <w:pageBreakBefore w:val="0"/>
        <w:widowControl w:val="0"/>
        <w:wordWrap/>
        <w:overflowPunct/>
        <w:topLinePunct w:val="0"/>
        <w:bidi w:val="0"/>
        <w:spacing w:line="600" w:lineRule="exact"/>
        <w:rPr>
          <w:rFonts w:ascii="方正仿宋_GBK" w:hAnsi="方正仿宋_GBK" w:eastAsia="方正仿宋_GBK" w:cs="方正仿宋_GBK"/>
          <w:sz w:val="32"/>
          <w:szCs w:val="32"/>
        </w:rPr>
      </w:pPr>
    </w:p>
    <w:p w14:paraId="356830E1">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附件一：</w:t>
      </w:r>
      <w:r>
        <w:rPr>
          <w:rFonts w:hint="eastAsia" w:ascii="方正仿宋_GBK" w:hAnsi="方正仿宋_GBK" w:eastAsia="方正仿宋_GBK" w:cs="方正仿宋_GBK"/>
          <w:sz w:val="32"/>
          <w:szCs w:val="32"/>
        </w:rPr>
        <w:t>九龙坡区</w:t>
      </w:r>
      <w:r>
        <w:rPr>
          <w:rFonts w:hint="eastAsia" w:ascii="方正仿宋_GBK" w:hAnsi="方正仿宋_GBK" w:eastAsia="方正仿宋_GBK" w:cs="方正仿宋_GBK"/>
          <w:sz w:val="32"/>
          <w:szCs w:val="32"/>
          <w:lang w:eastAsia="zh-CN"/>
        </w:rPr>
        <w:t>废弃食用油脂收运企业月度考核标准</w:t>
      </w:r>
    </w:p>
    <w:p w14:paraId="5432F6A0">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default"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附件二：</w:t>
      </w:r>
      <w:r>
        <w:rPr>
          <w:rFonts w:hint="default" w:ascii="方正仿宋_GBK" w:hAnsi="方正仿宋_GBK" w:eastAsia="方正仿宋_GBK" w:cs="方正仿宋_GBK"/>
          <w:sz w:val="32"/>
          <w:szCs w:val="32"/>
        </w:rPr>
        <w:t>餐厨垃圾</w:t>
      </w:r>
      <w:r>
        <w:rPr>
          <w:rFonts w:hint="default" w:ascii="方正仿宋_GBK" w:hAnsi="方正仿宋_GBK" w:eastAsia="方正仿宋_GBK" w:cs="方正仿宋_GBK"/>
          <w:sz w:val="32"/>
          <w:szCs w:val="32"/>
          <w:lang w:eastAsia="zh-CN"/>
        </w:rPr>
        <w:t>（废弃食用油脂）</w:t>
      </w:r>
      <w:r>
        <w:rPr>
          <w:rFonts w:hint="default" w:ascii="方正仿宋_GBK" w:hAnsi="方正仿宋_GBK" w:eastAsia="方正仿宋_GBK" w:cs="方正仿宋_GBK"/>
          <w:sz w:val="32"/>
          <w:szCs w:val="32"/>
        </w:rPr>
        <w:t>产生—收运联单</w:t>
      </w:r>
    </w:p>
    <w:p w14:paraId="62ED8960">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textAlignment w:val="auto"/>
        <w:rPr>
          <w:rFonts w:hint="default"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附件三：</w:t>
      </w:r>
      <w:r>
        <w:rPr>
          <w:rFonts w:hint="default" w:ascii="方正仿宋_GBK" w:hAnsi="方正仿宋_GBK" w:eastAsia="方正仿宋_GBK" w:cs="方正仿宋_GBK"/>
          <w:sz w:val="32"/>
          <w:szCs w:val="32"/>
        </w:rPr>
        <w:t>餐厨垃圾</w:t>
      </w:r>
      <w:r>
        <w:rPr>
          <w:rFonts w:hint="default" w:ascii="方正仿宋_GBK" w:hAnsi="方正仿宋_GBK" w:eastAsia="方正仿宋_GBK" w:cs="方正仿宋_GBK"/>
          <w:sz w:val="32"/>
          <w:szCs w:val="32"/>
          <w:lang w:eastAsia="zh-CN"/>
        </w:rPr>
        <w:t>（废弃食用油脂）</w:t>
      </w:r>
      <w:r>
        <w:rPr>
          <w:rFonts w:hint="default" w:ascii="方正仿宋_GBK" w:hAnsi="方正仿宋_GBK" w:eastAsia="方正仿宋_GBK" w:cs="方正仿宋_GBK"/>
          <w:sz w:val="32"/>
          <w:szCs w:val="32"/>
        </w:rPr>
        <w:t>收运—处理联单</w:t>
      </w:r>
    </w:p>
    <w:p w14:paraId="21C5CC5E">
      <w:pPr>
        <w:pStyle w:val="2"/>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附件四：九龙坡区</w:t>
      </w:r>
      <w:r>
        <w:rPr>
          <w:rFonts w:hint="default" w:ascii="方正仿宋_GBK" w:hAnsi="方正仿宋_GBK" w:eastAsia="方正仿宋_GBK" w:cs="方正仿宋_GBK"/>
          <w:kern w:val="2"/>
          <w:sz w:val="32"/>
          <w:szCs w:val="32"/>
          <w:lang w:val="en-US" w:eastAsia="zh-CN" w:bidi="ar-SA"/>
        </w:rPr>
        <w:t>餐厨垃圾</w:t>
      </w:r>
      <w:r>
        <w:rPr>
          <w:rFonts w:hint="eastAsia" w:ascii="方正仿宋_GBK" w:hAnsi="方正仿宋_GBK" w:eastAsia="方正仿宋_GBK" w:cs="方正仿宋_GBK"/>
          <w:kern w:val="2"/>
          <w:sz w:val="32"/>
          <w:szCs w:val="32"/>
          <w:lang w:val="en-US" w:eastAsia="zh-CN" w:bidi="ar-SA"/>
        </w:rPr>
        <w:t>（废弃食用油脂）管理情况统计表</w:t>
      </w:r>
    </w:p>
    <w:p w14:paraId="03F7346F">
      <w:pPr>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附件五：九龙坡区餐厨废弃油脂收运台帐</w:t>
      </w:r>
    </w:p>
    <w:p w14:paraId="15E99A3B">
      <w:pPr>
        <w:pStyle w:val="2"/>
        <w:keepNext w:val="0"/>
        <w:keepLines w:val="0"/>
        <w:pageBreakBefore w:val="0"/>
        <w:widowControl w:val="0"/>
        <w:kinsoku/>
        <w:wordWrap/>
        <w:overflowPunct/>
        <w:topLinePunct w:val="0"/>
        <w:autoSpaceDE/>
        <w:autoSpaceDN/>
        <w:bidi w:val="0"/>
        <w:spacing w:line="580" w:lineRule="exact"/>
        <w:ind w:firstLine="640" w:firstLineChars="200"/>
        <w:textAlignment w:val="auto"/>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附件六：九龙坡区餐厨废弃油脂（地沟油）收运台帐</w:t>
      </w:r>
    </w:p>
    <w:p w14:paraId="7DC68F85">
      <w:pPr>
        <w:pStyle w:val="2"/>
        <w:ind w:firstLine="640" w:firstLineChars="200"/>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附件七：九龙坡区餐厨废弃油脂处置监管台帐</w:t>
      </w:r>
    </w:p>
    <w:p w14:paraId="66B4E43A">
      <w:pPr>
        <w:spacing w:line="600" w:lineRule="exact"/>
        <w:ind w:firstLine="640" w:firstLineChars="200"/>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附件八：九龙坡区餐厨废弃油脂收运台帐——汇总</w:t>
      </w:r>
    </w:p>
    <w:p w14:paraId="4F26C8CB">
      <w:pPr>
        <w:spacing w:line="600" w:lineRule="exact"/>
        <w:rPr>
          <w:rFonts w:hint="eastAsia" w:ascii="方正仿宋_GBK" w:hAnsi="宋体" w:eastAsia="方正仿宋_GBK"/>
          <w:sz w:val="32"/>
          <w:szCs w:val="32"/>
        </w:rPr>
      </w:pPr>
    </w:p>
    <w:p w14:paraId="081A221C">
      <w:pPr>
        <w:spacing w:line="600" w:lineRule="exact"/>
        <w:rPr>
          <w:rFonts w:ascii="方正仿宋_GBK" w:hAnsi="宋体" w:eastAsia="方正仿宋_GBK"/>
          <w:sz w:val="32"/>
          <w:szCs w:val="32"/>
        </w:rPr>
      </w:pPr>
      <w:r>
        <w:rPr>
          <w:rFonts w:hint="eastAsia" w:ascii="方正仿宋_GBK" w:hAnsi="宋体" w:eastAsia="方正仿宋_GBK"/>
          <w:sz w:val="32"/>
          <w:szCs w:val="32"/>
        </w:rPr>
        <w:t>甲方：重庆市九龙坡区城市管理局</w:t>
      </w:r>
    </w:p>
    <w:p w14:paraId="3978CFE6">
      <w:pPr>
        <w:spacing w:line="600" w:lineRule="exact"/>
      </w:pPr>
      <w:r>
        <w:rPr>
          <w:rFonts w:hint="eastAsia" w:ascii="方正仿宋_GBK" w:hAnsi="宋体" w:eastAsia="方正仿宋_GBK"/>
          <w:sz w:val="32"/>
          <w:szCs w:val="32"/>
        </w:rPr>
        <w:t>法定代表人：</w:t>
      </w:r>
    </w:p>
    <w:p w14:paraId="5A361D4F">
      <w:pPr>
        <w:spacing w:line="600" w:lineRule="exact"/>
        <w:rPr>
          <w:rFonts w:ascii="方正仿宋_GBK" w:hAnsi="宋体" w:eastAsia="方正仿宋_GBK"/>
          <w:sz w:val="32"/>
          <w:szCs w:val="32"/>
        </w:rPr>
      </w:pPr>
      <w:r>
        <w:rPr>
          <w:rFonts w:hint="eastAsia" w:ascii="方正仿宋_GBK" w:hAnsi="宋体" w:eastAsia="方正仿宋_GBK"/>
          <w:sz w:val="32"/>
          <w:szCs w:val="32"/>
        </w:rPr>
        <w:t>经办人：</w:t>
      </w:r>
    </w:p>
    <w:p w14:paraId="23E4B6A5">
      <w:pPr>
        <w:spacing w:line="600" w:lineRule="exact"/>
        <w:rPr>
          <w:rFonts w:ascii="方正仿宋_GBK" w:hAnsi="宋体" w:eastAsia="方正仿宋_GBK"/>
          <w:sz w:val="32"/>
          <w:szCs w:val="32"/>
        </w:rPr>
      </w:pPr>
    </w:p>
    <w:p w14:paraId="66970DD6">
      <w:pPr>
        <w:spacing w:line="600" w:lineRule="exact"/>
      </w:pPr>
      <w:r>
        <w:rPr>
          <w:rFonts w:hint="eastAsia" w:ascii="方正仿宋_GBK" w:hAnsi="宋体" w:eastAsia="方正仿宋_GBK"/>
          <w:sz w:val="32"/>
          <w:szCs w:val="32"/>
        </w:rPr>
        <w:t xml:space="preserve">乙方： </w:t>
      </w:r>
    </w:p>
    <w:p w14:paraId="6B2241C9">
      <w:pPr>
        <w:spacing w:line="600" w:lineRule="exact"/>
        <w:rPr>
          <w:rFonts w:ascii="方正仿宋_GBK" w:hAnsi="宋体" w:eastAsia="方正仿宋_GBK"/>
          <w:sz w:val="32"/>
          <w:szCs w:val="32"/>
        </w:rPr>
      </w:pPr>
      <w:r>
        <w:rPr>
          <w:rFonts w:hint="eastAsia" w:ascii="方正仿宋_GBK" w:hAnsi="宋体" w:eastAsia="方正仿宋_GBK"/>
          <w:sz w:val="32"/>
          <w:szCs w:val="32"/>
        </w:rPr>
        <w:t>法定代表人：</w:t>
      </w:r>
    </w:p>
    <w:p w14:paraId="6CFB42B5">
      <w:pPr>
        <w:spacing w:line="600" w:lineRule="exact"/>
        <w:rPr>
          <w:rFonts w:hint="eastAsia" w:ascii="方正仿宋_GBK" w:hAnsi="宋体" w:eastAsia="方正仿宋_GBK"/>
          <w:sz w:val="32"/>
          <w:szCs w:val="32"/>
        </w:rPr>
      </w:pPr>
      <w:r>
        <w:rPr>
          <w:rFonts w:hint="eastAsia" w:ascii="方正仿宋_GBK" w:hAnsi="宋体" w:eastAsia="方正仿宋_GBK"/>
          <w:sz w:val="32"/>
          <w:szCs w:val="32"/>
        </w:rPr>
        <w:t>经办人：</w:t>
      </w:r>
    </w:p>
    <w:p w14:paraId="0B492CEA">
      <w:pPr>
        <w:pStyle w:val="2"/>
        <w:rPr>
          <w:rFonts w:hint="default" w:eastAsia="方正仿宋_GBK"/>
          <w:lang w:val="en-US" w:eastAsia="zh-CN"/>
        </w:rPr>
      </w:pPr>
      <w:r>
        <w:rPr>
          <w:rFonts w:hint="eastAsia" w:ascii="方正仿宋_GBK" w:hAnsi="宋体" w:eastAsia="方正仿宋_GBK"/>
          <w:sz w:val="32"/>
          <w:szCs w:val="32"/>
          <w:lang w:val="en-US" w:eastAsia="zh-CN"/>
        </w:rPr>
        <w:t xml:space="preserve">                                      年  月  日</w:t>
      </w:r>
    </w:p>
    <w:p w14:paraId="4F9C6780">
      <w:pPr>
        <w:pStyle w:val="3"/>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方正仿宋_GBK" w:hAnsi="方正仿宋_GBK" w:eastAsia="方正仿宋_GBK" w:cs="方正仿宋_GBK"/>
          <w:kern w:val="2"/>
          <w:sz w:val="32"/>
          <w:szCs w:val="32"/>
          <w:highlight w:val="none"/>
          <w:lang w:val="en-US" w:eastAsia="zh-CN" w:bidi="ar-SA"/>
        </w:rPr>
        <w:sectPr>
          <w:pgSz w:w="11906" w:h="16838"/>
          <w:pgMar w:top="1440" w:right="1361" w:bottom="1440" w:left="1361" w:header="851" w:footer="992" w:gutter="0"/>
          <w:cols w:space="425" w:num="1"/>
          <w:docGrid w:type="lines" w:linePitch="312" w:charSpace="0"/>
        </w:sectPr>
      </w:pPr>
    </w:p>
    <w:p w14:paraId="60257A6F">
      <w:pPr>
        <w:pStyle w:val="4"/>
        <w:spacing w:before="0" w:beforeLines="0" w:after="0" w:afterLines="0" w:line="360" w:lineRule="auto"/>
        <w:rPr>
          <w:rFonts w:hint="eastAsia" w:ascii="宋体" w:hAnsi="宋体" w:eastAsia="宋体"/>
          <w:b/>
          <w:color w:val="000000"/>
        </w:rPr>
      </w:pPr>
    </w:p>
    <w:p w14:paraId="45BDAEFA">
      <w:pPr>
        <w:pStyle w:val="4"/>
        <w:spacing w:before="0" w:beforeLines="0" w:after="0" w:afterLines="0" w:line="360" w:lineRule="auto"/>
        <w:rPr>
          <w:rFonts w:hint="eastAsia" w:ascii="宋体" w:hAnsi="宋体" w:eastAsia="宋体"/>
          <w:b/>
          <w:color w:val="000000"/>
        </w:rPr>
      </w:pPr>
      <w:r>
        <w:rPr>
          <w:rFonts w:hint="eastAsia" w:ascii="宋体" w:hAnsi="宋体" w:eastAsia="宋体"/>
          <w:b/>
          <w:color w:val="000000"/>
        </w:rPr>
        <w:t>第</w:t>
      </w:r>
      <w:r>
        <w:rPr>
          <w:rFonts w:hint="eastAsia" w:ascii="宋体" w:hAnsi="宋体" w:eastAsia="宋体"/>
          <w:b/>
          <w:color w:val="000000"/>
          <w:lang w:eastAsia="zh-CN"/>
        </w:rPr>
        <w:t>七</w:t>
      </w:r>
      <w:r>
        <w:rPr>
          <w:rFonts w:hint="eastAsia" w:ascii="宋体" w:hAnsi="宋体" w:eastAsia="宋体"/>
          <w:b/>
          <w:color w:val="000000"/>
        </w:rPr>
        <w:t>篇  响应文件格式</w:t>
      </w:r>
      <w:bookmarkEnd w:id="91"/>
      <w:bookmarkEnd w:id="92"/>
      <w:bookmarkEnd w:id="93"/>
    </w:p>
    <w:p w14:paraId="18399B7F">
      <w:pPr>
        <w:snapToGrid w:val="0"/>
        <w:spacing w:line="400" w:lineRule="exact"/>
        <w:ind w:firstLine="482" w:firstLineChars="200"/>
        <w:rPr>
          <w:rFonts w:hint="eastAsia" w:ascii="宋体" w:hAnsi="宋体"/>
          <w:b/>
          <w:color w:val="000000"/>
          <w:sz w:val="24"/>
          <w:szCs w:val="24"/>
        </w:rPr>
      </w:pPr>
    </w:p>
    <w:p w14:paraId="30D96C68">
      <w:pPr>
        <w:shd w:val="clear" w:color="auto" w:fill="FFFFFF"/>
        <w:snapToGrid w:val="0"/>
        <w:spacing w:line="400" w:lineRule="exact"/>
        <w:ind w:firstLine="482" w:firstLineChars="200"/>
        <w:rPr>
          <w:rFonts w:hint="eastAsia" w:ascii="宋体" w:hAnsi="宋体"/>
          <w:b/>
          <w:color w:val="000000"/>
          <w:sz w:val="24"/>
          <w:szCs w:val="24"/>
        </w:rPr>
      </w:pPr>
      <w:r>
        <w:rPr>
          <w:rFonts w:hint="eastAsia" w:ascii="宋体" w:hAnsi="宋体"/>
          <w:b/>
          <w:color w:val="000000"/>
          <w:sz w:val="24"/>
          <w:szCs w:val="24"/>
        </w:rPr>
        <w:t>一、声明函</w:t>
      </w:r>
    </w:p>
    <w:p w14:paraId="76311B46">
      <w:pPr>
        <w:shd w:val="clear" w:color="auto" w:fill="FFFFFF"/>
        <w:snapToGrid w:val="0"/>
        <w:spacing w:line="400" w:lineRule="exact"/>
        <w:rPr>
          <w:rFonts w:hint="eastAsia" w:ascii="宋体" w:hAnsi="宋体"/>
          <w:b/>
          <w:color w:val="000000"/>
          <w:sz w:val="24"/>
          <w:szCs w:val="24"/>
        </w:rPr>
      </w:pPr>
    </w:p>
    <w:p w14:paraId="0BC28996">
      <w:pPr>
        <w:shd w:val="clear" w:color="auto" w:fill="FFFFFF"/>
        <w:snapToGrid w:val="0"/>
        <w:spacing w:line="400" w:lineRule="exact"/>
        <w:ind w:firstLine="482" w:firstLineChars="200"/>
        <w:rPr>
          <w:rFonts w:hint="eastAsia" w:ascii="宋体" w:hAnsi="宋体"/>
          <w:b/>
          <w:color w:val="000000"/>
          <w:sz w:val="24"/>
          <w:szCs w:val="24"/>
        </w:rPr>
      </w:pPr>
      <w:r>
        <w:rPr>
          <w:rFonts w:hint="eastAsia" w:ascii="宋体" w:hAnsi="宋体"/>
          <w:b/>
          <w:color w:val="000000"/>
          <w:sz w:val="24"/>
          <w:szCs w:val="24"/>
          <w:lang w:eastAsia="zh-CN"/>
        </w:rPr>
        <w:t>二</w:t>
      </w:r>
      <w:r>
        <w:rPr>
          <w:rFonts w:hint="eastAsia" w:ascii="宋体" w:hAnsi="宋体"/>
          <w:b/>
          <w:color w:val="000000"/>
          <w:sz w:val="24"/>
          <w:szCs w:val="24"/>
        </w:rPr>
        <w:t>、资格文件</w:t>
      </w:r>
    </w:p>
    <w:p w14:paraId="309351A5">
      <w:pPr>
        <w:shd w:val="clear" w:color="auto" w:fill="FFFFFF"/>
        <w:snapToGrid w:val="0"/>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highlight w:val="none"/>
        </w:rPr>
        <w:t>（一）</w:t>
      </w:r>
      <w:r>
        <w:rPr>
          <w:rFonts w:hint="eastAsia" w:ascii="宋体" w:hAnsi="宋体"/>
          <w:color w:val="000000"/>
          <w:sz w:val="24"/>
          <w:szCs w:val="24"/>
          <w:highlight w:val="none"/>
          <w:lang w:eastAsia="zh-CN"/>
        </w:rPr>
        <w:t>竞选人</w:t>
      </w:r>
      <w:r>
        <w:rPr>
          <w:rFonts w:hint="eastAsia" w:ascii="宋体" w:hAnsi="宋体"/>
          <w:color w:val="000000"/>
          <w:sz w:val="24"/>
          <w:szCs w:val="24"/>
          <w:highlight w:val="none"/>
        </w:rPr>
        <w:t>的营业执照（副本）或事业单位法人证书（副本）或社会团体法人登记证书</w:t>
      </w:r>
    </w:p>
    <w:p w14:paraId="14EE502D">
      <w:pPr>
        <w:shd w:val="clear" w:color="auto" w:fill="FFFFFF"/>
        <w:snapToGrid w:val="0"/>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highlight w:val="none"/>
        </w:rPr>
        <w:t>（二）</w:t>
      </w:r>
      <w:r>
        <w:rPr>
          <w:rFonts w:hint="eastAsia" w:ascii="宋体" w:hAnsi="宋体"/>
          <w:color w:val="000000"/>
          <w:sz w:val="24"/>
          <w:szCs w:val="24"/>
          <w:highlight w:val="none"/>
          <w:lang w:eastAsia="zh-CN"/>
        </w:rPr>
        <w:t>竞选人</w:t>
      </w:r>
      <w:r>
        <w:rPr>
          <w:rFonts w:hint="eastAsia" w:ascii="宋体" w:hAnsi="宋体"/>
          <w:color w:val="000000"/>
          <w:sz w:val="24"/>
          <w:szCs w:val="24"/>
          <w:highlight w:val="none"/>
        </w:rPr>
        <w:t>的基本资格条件承诺函（格式）</w:t>
      </w:r>
    </w:p>
    <w:p w14:paraId="79DE9612">
      <w:pPr>
        <w:shd w:val="clear" w:color="auto" w:fill="FFFFFF"/>
        <w:snapToGrid w:val="0"/>
        <w:spacing w:line="400" w:lineRule="exact"/>
        <w:ind w:firstLine="480" w:firstLineChars="200"/>
        <w:rPr>
          <w:rFonts w:hint="eastAsia" w:ascii="宋体" w:hAnsi="宋体"/>
          <w:color w:val="000000"/>
          <w:sz w:val="24"/>
          <w:szCs w:val="24"/>
          <w:highlight w:val="none"/>
        </w:rPr>
      </w:pPr>
      <w:r>
        <w:rPr>
          <w:rFonts w:hint="eastAsia" w:ascii="宋体" w:hAnsi="宋体"/>
          <w:color w:val="000000"/>
          <w:sz w:val="24"/>
          <w:szCs w:val="24"/>
          <w:highlight w:val="none"/>
        </w:rPr>
        <w:t>（三）</w:t>
      </w:r>
      <w:r>
        <w:rPr>
          <w:rFonts w:hint="eastAsia" w:ascii="宋体" w:hAnsi="宋体"/>
          <w:color w:val="000000"/>
          <w:sz w:val="24"/>
          <w:szCs w:val="24"/>
          <w:highlight w:val="none"/>
          <w:lang w:eastAsia="zh-CN"/>
        </w:rPr>
        <w:t>竞选人</w:t>
      </w:r>
      <w:r>
        <w:rPr>
          <w:rFonts w:hint="eastAsia" w:ascii="宋体" w:hAnsi="宋体"/>
          <w:color w:val="000000"/>
          <w:sz w:val="24"/>
          <w:szCs w:val="24"/>
          <w:highlight w:val="none"/>
        </w:rPr>
        <w:t>法定代表人身份证明</w:t>
      </w:r>
    </w:p>
    <w:p w14:paraId="528A4363">
      <w:pPr>
        <w:shd w:val="clear" w:color="auto" w:fill="FFFFFF"/>
        <w:snapToGrid w:val="0"/>
        <w:spacing w:line="400" w:lineRule="exact"/>
        <w:ind w:firstLine="480" w:firstLineChars="200"/>
        <w:rPr>
          <w:rFonts w:ascii="宋体" w:hAnsi="宋体"/>
          <w:color w:val="000000"/>
          <w:sz w:val="24"/>
          <w:szCs w:val="24"/>
          <w:highlight w:val="none"/>
        </w:rPr>
      </w:pPr>
      <w:r>
        <w:rPr>
          <w:rFonts w:hint="eastAsia" w:ascii="宋体" w:hAnsi="宋体"/>
          <w:color w:val="000000"/>
          <w:sz w:val="24"/>
          <w:szCs w:val="24"/>
          <w:highlight w:val="none"/>
        </w:rPr>
        <w:t>（四）法定代表人授权代表委托书</w:t>
      </w:r>
    </w:p>
    <w:p w14:paraId="2FBCE981">
      <w:pPr>
        <w:shd w:val="clear" w:color="auto" w:fill="FFFFFF"/>
        <w:snapToGrid w:val="0"/>
        <w:spacing w:line="400" w:lineRule="exact"/>
        <w:ind w:firstLine="480" w:firstLineChars="200"/>
        <w:rPr>
          <w:rFonts w:hint="eastAsia" w:ascii="宋体" w:hAnsi="宋体"/>
          <w:color w:val="000000"/>
          <w:sz w:val="24"/>
          <w:szCs w:val="24"/>
          <w:highlight w:val="none"/>
        </w:rPr>
      </w:pPr>
      <w:r>
        <w:rPr>
          <w:rFonts w:hint="eastAsia" w:ascii="宋体" w:hAnsi="宋体" w:cs="宋体"/>
          <w:color w:val="000000"/>
          <w:sz w:val="24"/>
          <w:szCs w:val="24"/>
          <w:highlight w:val="none"/>
        </w:rPr>
        <w:t>（五）特定资格要求的资料</w:t>
      </w:r>
    </w:p>
    <w:p w14:paraId="18153409">
      <w:pPr>
        <w:shd w:val="clear" w:color="auto" w:fill="FFFFFF"/>
        <w:snapToGrid w:val="0"/>
        <w:spacing w:line="400" w:lineRule="exact"/>
        <w:ind w:firstLine="482" w:firstLineChars="200"/>
        <w:rPr>
          <w:rFonts w:hint="eastAsia" w:ascii="宋体" w:hAnsi="宋体" w:cs="宋体"/>
          <w:b/>
          <w:color w:val="000000"/>
          <w:sz w:val="24"/>
          <w:szCs w:val="24"/>
          <w:highlight w:val="none"/>
        </w:rPr>
      </w:pPr>
      <w:r>
        <w:rPr>
          <w:rFonts w:hint="eastAsia" w:ascii="宋体" w:hAnsi="宋体" w:cs="宋体"/>
          <w:b/>
          <w:color w:val="000000"/>
          <w:sz w:val="24"/>
          <w:szCs w:val="24"/>
          <w:highlight w:val="none"/>
          <w:lang w:eastAsia="zh-CN"/>
        </w:rPr>
        <w:t>三</w:t>
      </w:r>
      <w:r>
        <w:rPr>
          <w:rFonts w:hint="eastAsia" w:ascii="宋体" w:hAnsi="宋体" w:cs="宋体"/>
          <w:b/>
          <w:color w:val="000000"/>
          <w:sz w:val="24"/>
          <w:szCs w:val="24"/>
          <w:highlight w:val="none"/>
        </w:rPr>
        <w:t>、</w:t>
      </w:r>
      <w:r>
        <w:rPr>
          <w:rFonts w:hint="eastAsia" w:ascii="宋体" w:hAnsi="宋体" w:cs="宋体"/>
          <w:b/>
          <w:color w:val="000000"/>
          <w:sz w:val="24"/>
          <w:szCs w:val="24"/>
          <w:highlight w:val="none"/>
          <w:lang w:eastAsia="zh-CN"/>
        </w:rPr>
        <w:t>竞选</w:t>
      </w:r>
      <w:r>
        <w:rPr>
          <w:rFonts w:hint="eastAsia" w:ascii="宋体" w:hAnsi="宋体" w:cs="宋体"/>
          <w:b/>
          <w:color w:val="000000"/>
          <w:sz w:val="24"/>
          <w:szCs w:val="24"/>
          <w:highlight w:val="none"/>
        </w:rPr>
        <w:t>需求条款差异表</w:t>
      </w:r>
    </w:p>
    <w:p w14:paraId="12316017">
      <w:pPr>
        <w:shd w:val="clear" w:color="auto" w:fill="FFFFFF"/>
        <w:snapToGrid w:val="0"/>
        <w:spacing w:line="400" w:lineRule="exact"/>
        <w:ind w:firstLine="482" w:firstLineChars="200"/>
        <w:rPr>
          <w:rFonts w:hint="eastAsia" w:ascii="宋体" w:hAnsi="宋体" w:cs="宋体"/>
          <w:b/>
          <w:color w:val="000000"/>
          <w:sz w:val="24"/>
          <w:szCs w:val="24"/>
          <w:highlight w:val="none"/>
        </w:rPr>
      </w:pPr>
    </w:p>
    <w:p w14:paraId="546BCFC0">
      <w:pPr>
        <w:shd w:val="clear" w:color="auto" w:fill="FFFFFF"/>
        <w:snapToGrid w:val="0"/>
        <w:spacing w:line="400" w:lineRule="exact"/>
        <w:ind w:firstLine="482" w:firstLineChars="200"/>
        <w:rPr>
          <w:rFonts w:hint="eastAsia" w:ascii="宋体" w:hAnsi="宋体" w:cs="宋体"/>
          <w:b/>
          <w:color w:val="000000"/>
          <w:sz w:val="24"/>
          <w:szCs w:val="24"/>
          <w:highlight w:val="none"/>
        </w:rPr>
      </w:pPr>
      <w:r>
        <w:rPr>
          <w:rFonts w:hint="eastAsia" w:ascii="宋体" w:hAnsi="宋体" w:cs="宋体"/>
          <w:b/>
          <w:color w:val="000000"/>
          <w:sz w:val="24"/>
          <w:szCs w:val="24"/>
          <w:highlight w:val="none"/>
          <w:lang w:eastAsia="zh-CN"/>
        </w:rPr>
        <w:t>四</w:t>
      </w:r>
      <w:r>
        <w:rPr>
          <w:rFonts w:hint="eastAsia" w:ascii="宋体" w:hAnsi="宋体" w:cs="宋体"/>
          <w:b/>
          <w:color w:val="000000"/>
          <w:sz w:val="24"/>
          <w:szCs w:val="24"/>
          <w:highlight w:val="none"/>
        </w:rPr>
        <w:t>、中小企业声明函、监狱企业证明文件、残疾人福利性单位声明函</w:t>
      </w:r>
    </w:p>
    <w:p w14:paraId="1C350FAE">
      <w:pPr>
        <w:shd w:val="clear" w:color="auto" w:fill="FFFFFF"/>
        <w:snapToGrid w:val="0"/>
        <w:spacing w:line="400" w:lineRule="exact"/>
        <w:ind w:firstLine="482" w:firstLineChars="200"/>
        <w:rPr>
          <w:rFonts w:hint="eastAsia" w:ascii="宋体" w:hAnsi="宋体" w:cs="宋体"/>
          <w:b/>
          <w:color w:val="000000"/>
          <w:sz w:val="24"/>
          <w:szCs w:val="24"/>
          <w:highlight w:val="none"/>
        </w:rPr>
      </w:pPr>
    </w:p>
    <w:p w14:paraId="5AC51727">
      <w:pPr>
        <w:shd w:val="clear" w:color="auto" w:fill="FFFFFF"/>
        <w:snapToGrid w:val="0"/>
        <w:spacing w:line="4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cs="宋体"/>
          <w:b/>
          <w:color w:val="000000"/>
          <w:sz w:val="24"/>
          <w:szCs w:val="24"/>
          <w:highlight w:val="none"/>
          <w:lang w:eastAsia="zh-CN"/>
        </w:rPr>
        <w:t>五</w:t>
      </w:r>
      <w:r>
        <w:rPr>
          <w:rFonts w:hint="eastAsia" w:ascii="宋体" w:hAnsi="宋体" w:cs="宋体"/>
          <w:b/>
          <w:color w:val="000000"/>
          <w:sz w:val="24"/>
          <w:szCs w:val="24"/>
          <w:highlight w:val="none"/>
        </w:rPr>
        <w:t>、</w:t>
      </w:r>
      <w:r>
        <w:rPr>
          <w:rFonts w:hint="eastAsia" w:ascii="宋体" w:hAnsi="宋体" w:cs="宋体"/>
          <w:b/>
          <w:color w:val="000000"/>
          <w:sz w:val="24"/>
          <w:szCs w:val="24"/>
          <w:highlight w:val="none"/>
          <w:lang w:eastAsia="zh-CN"/>
        </w:rPr>
        <w:t>承诺书</w:t>
      </w:r>
    </w:p>
    <w:p w14:paraId="72DF17B1">
      <w:pPr>
        <w:shd w:val="clear" w:color="auto" w:fill="FFFFFF"/>
        <w:snapToGrid w:val="0"/>
        <w:spacing w:line="400" w:lineRule="exact"/>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lang w:eastAsia="zh-CN"/>
        </w:rPr>
        <w:t>（一）</w:t>
      </w:r>
      <w:r>
        <w:rPr>
          <w:rFonts w:hint="eastAsia" w:ascii="宋体" w:hAnsi="宋体" w:eastAsia="宋体" w:cs="Times New Roman"/>
          <w:color w:val="000000"/>
          <w:sz w:val="24"/>
          <w:szCs w:val="24"/>
          <w:highlight w:val="none"/>
        </w:rPr>
        <w:t>行政许可</w:t>
      </w:r>
      <w:r>
        <w:rPr>
          <w:rFonts w:hint="eastAsia" w:ascii="宋体" w:hAnsi="宋体" w:eastAsia="宋体" w:cs="Times New Roman"/>
          <w:color w:val="000000"/>
          <w:sz w:val="24"/>
          <w:szCs w:val="24"/>
          <w:highlight w:val="none"/>
          <w:lang w:eastAsia="zh-CN"/>
        </w:rPr>
        <w:t>承诺书（</w:t>
      </w:r>
      <w:r>
        <w:rPr>
          <w:rFonts w:hint="eastAsia" w:ascii="宋体" w:hAnsi="宋体" w:eastAsia="宋体" w:cs="Times New Roman"/>
          <w:color w:val="000000"/>
          <w:sz w:val="24"/>
          <w:szCs w:val="24"/>
          <w:highlight w:val="none"/>
        </w:rPr>
        <w:t>格式自拟</w:t>
      </w:r>
      <w:r>
        <w:rPr>
          <w:rFonts w:hint="eastAsia" w:ascii="宋体" w:hAnsi="宋体" w:eastAsia="宋体" w:cs="Times New Roman"/>
          <w:color w:val="000000"/>
          <w:sz w:val="24"/>
          <w:szCs w:val="24"/>
          <w:highlight w:val="none"/>
          <w:lang w:eastAsia="zh-CN"/>
        </w:rPr>
        <w:t>）</w:t>
      </w:r>
    </w:p>
    <w:p w14:paraId="06E66500">
      <w:pPr>
        <w:shd w:val="clear" w:color="auto" w:fill="FFFFFF"/>
        <w:snapToGrid w:val="0"/>
        <w:spacing w:line="400" w:lineRule="exact"/>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lang w:eastAsia="zh-CN"/>
        </w:rPr>
        <w:t>（二）</w:t>
      </w:r>
      <w:r>
        <w:rPr>
          <w:rFonts w:hint="eastAsia" w:ascii="宋体" w:hAnsi="宋体" w:eastAsia="宋体" w:cs="Times New Roman"/>
          <w:color w:val="000000"/>
          <w:sz w:val="24"/>
          <w:szCs w:val="24"/>
          <w:highlight w:val="none"/>
        </w:rPr>
        <w:t>办公场地</w:t>
      </w:r>
      <w:r>
        <w:rPr>
          <w:rFonts w:hint="eastAsia" w:ascii="宋体" w:hAnsi="宋体" w:eastAsia="宋体" w:cs="Times New Roman"/>
          <w:color w:val="000000"/>
          <w:sz w:val="24"/>
          <w:szCs w:val="24"/>
          <w:highlight w:val="none"/>
          <w:lang w:eastAsia="zh-CN"/>
        </w:rPr>
        <w:t>承诺书（</w:t>
      </w:r>
      <w:r>
        <w:rPr>
          <w:rFonts w:hint="eastAsia" w:ascii="宋体" w:hAnsi="宋体" w:eastAsia="宋体" w:cs="Times New Roman"/>
          <w:color w:val="000000"/>
          <w:sz w:val="24"/>
          <w:szCs w:val="24"/>
          <w:highlight w:val="none"/>
        </w:rPr>
        <w:t>格式自拟</w:t>
      </w:r>
      <w:r>
        <w:rPr>
          <w:rFonts w:hint="eastAsia" w:ascii="宋体" w:hAnsi="宋体" w:eastAsia="宋体" w:cs="Times New Roman"/>
          <w:color w:val="000000"/>
          <w:sz w:val="24"/>
          <w:szCs w:val="24"/>
          <w:highlight w:val="none"/>
          <w:lang w:eastAsia="zh-CN"/>
        </w:rPr>
        <w:t>）</w:t>
      </w:r>
    </w:p>
    <w:p w14:paraId="506ADFAB">
      <w:pPr>
        <w:shd w:val="clear" w:color="auto" w:fill="FFFFFF"/>
        <w:snapToGrid w:val="0"/>
        <w:spacing w:line="400" w:lineRule="exact"/>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lang w:eastAsia="zh-CN"/>
        </w:rPr>
        <w:t>（三）</w:t>
      </w:r>
      <w:r>
        <w:rPr>
          <w:rFonts w:hint="eastAsia" w:ascii="宋体" w:hAnsi="宋体" w:eastAsia="宋体" w:cs="Times New Roman"/>
          <w:color w:val="000000"/>
          <w:sz w:val="24"/>
          <w:szCs w:val="24"/>
          <w:highlight w:val="none"/>
        </w:rPr>
        <w:t>环保要求</w:t>
      </w:r>
      <w:r>
        <w:rPr>
          <w:rFonts w:hint="eastAsia" w:ascii="宋体" w:hAnsi="宋体" w:eastAsia="宋体" w:cs="Times New Roman"/>
          <w:color w:val="000000"/>
          <w:sz w:val="24"/>
          <w:szCs w:val="24"/>
          <w:highlight w:val="none"/>
          <w:lang w:eastAsia="zh-CN"/>
        </w:rPr>
        <w:t>承诺书（</w:t>
      </w:r>
      <w:r>
        <w:rPr>
          <w:rFonts w:hint="eastAsia" w:ascii="宋体" w:hAnsi="宋体" w:eastAsia="宋体" w:cs="Times New Roman"/>
          <w:color w:val="000000"/>
          <w:sz w:val="24"/>
          <w:szCs w:val="24"/>
          <w:highlight w:val="none"/>
        </w:rPr>
        <w:t>格式自拟</w:t>
      </w:r>
      <w:r>
        <w:rPr>
          <w:rFonts w:hint="eastAsia" w:ascii="宋体" w:hAnsi="宋体" w:eastAsia="宋体" w:cs="Times New Roman"/>
          <w:color w:val="000000"/>
          <w:sz w:val="24"/>
          <w:szCs w:val="24"/>
          <w:highlight w:val="none"/>
          <w:lang w:eastAsia="zh-CN"/>
        </w:rPr>
        <w:t>）</w:t>
      </w:r>
    </w:p>
    <w:p w14:paraId="19643CE6">
      <w:pPr>
        <w:shd w:val="clear" w:color="auto" w:fill="FFFFFF"/>
        <w:snapToGrid w:val="0"/>
        <w:spacing w:line="400" w:lineRule="exact"/>
        <w:ind w:firstLine="480" w:firstLineChars="200"/>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lang w:eastAsia="zh-CN"/>
        </w:rPr>
        <w:t>（四）</w:t>
      </w:r>
      <w:r>
        <w:rPr>
          <w:rFonts w:hint="eastAsia" w:ascii="宋体" w:hAnsi="宋体" w:eastAsia="宋体" w:cs="Times New Roman"/>
          <w:color w:val="000000"/>
          <w:sz w:val="24"/>
          <w:szCs w:val="24"/>
          <w:highlight w:val="none"/>
        </w:rPr>
        <w:t>处置场要求</w:t>
      </w:r>
      <w:r>
        <w:rPr>
          <w:rFonts w:hint="eastAsia" w:ascii="宋体" w:hAnsi="宋体" w:eastAsia="宋体" w:cs="Times New Roman"/>
          <w:color w:val="000000"/>
          <w:sz w:val="24"/>
          <w:szCs w:val="24"/>
          <w:highlight w:val="none"/>
          <w:lang w:eastAsia="zh-CN"/>
        </w:rPr>
        <w:t>承诺书（</w:t>
      </w:r>
      <w:r>
        <w:rPr>
          <w:rFonts w:hint="eastAsia" w:ascii="宋体" w:hAnsi="宋体" w:eastAsia="宋体" w:cs="Times New Roman"/>
          <w:color w:val="000000"/>
          <w:sz w:val="24"/>
          <w:szCs w:val="24"/>
          <w:highlight w:val="none"/>
        </w:rPr>
        <w:t>格式自拟</w:t>
      </w:r>
      <w:r>
        <w:rPr>
          <w:rFonts w:hint="eastAsia" w:ascii="宋体" w:hAnsi="宋体" w:eastAsia="宋体" w:cs="Times New Roman"/>
          <w:color w:val="000000"/>
          <w:sz w:val="24"/>
          <w:szCs w:val="24"/>
          <w:highlight w:val="none"/>
          <w:lang w:eastAsia="zh-CN"/>
        </w:rPr>
        <w:t>）</w:t>
      </w:r>
    </w:p>
    <w:p w14:paraId="56AE15C3">
      <w:pPr>
        <w:shd w:val="clear" w:color="auto" w:fill="FFFFFF"/>
        <w:snapToGrid w:val="0"/>
        <w:spacing w:line="400" w:lineRule="exact"/>
        <w:ind w:firstLine="480" w:firstLineChars="200"/>
        <w:rPr>
          <w:rFonts w:hint="default"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eastAsia="zh-CN"/>
        </w:rPr>
        <w:t>（五）</w:t>
      </w:r>
      <w:r>
        <w:rPr>
          <w:rFonts w:hint="eastAsia" w:ascii="宋体" w:hAnsi="宋体" w:eastAsia="宋体" w:cs="Times New Roman"/>
          <w:color w:val="000000"/>
          <w:sz w:val="24"/>
          <w:szCs w:val="24"/>
          <w:highlight w:val="none"/>
        </w:rPr>
        <w:t>拟投入</w:t>
      </w:r>
      <w:r>
        <w:rPr>
          <w:rFonts w:hint="eastAsia" w:ascii="宋体" w:hAnsi="宋体" w:eastAsia="宋体" w:cs="Times New Roman"/>
          <w:color w:val="000000"/>
          <w:sz w:val="24"/>
          <w:szCs w:val="24"/>
          <w:highlight w:val="none"/>
          <w:lang w:eastAsia="zh-CN"/>
        </w:rPr>
        <w:t>本次竞选</w:t>
      </w:r>
      <w:r>
        <w:rPr>
          <w:rFonts w:hint="eastAsia" w:ascii="宋体" w:hAnsi="宋体" w:eastAsia="宋体" w:cs="Times New Roman"/>
          <w:color w:val="000000"/>
          <w:sz w:val="24"/>
          <w:szCs w:val="24"/>
          <w:highlight w:val="none"/>
        </w:rPr>
        <w:t>的收运车辆安装</w:t>
      </w:r>
      <w:r>
        <w:rPr>
          <w:rFonts w:hint="eastAsia" w:ascii="宋体" w:hAnsi="宋体" w:eastAsia="宋体" w:cs="Times New Roman"/>
          <w:color w:val="000000"/>
          <w:sz w:val="24"/>
          <w:szCs w:val="24"/>
          <w:highlight w:val="none"/>
          <w:lang w:eastAsia="zh-CN"/>
        </w:rPr>
        <w:t>相关设备及</w:t>
      </w:r>
      <w:r>
        <w:rPr>
          <w:rFonts w:hint="eastAsia" w:ascii="宋体" w:hAnsi="宋体" w:eastAsia="宋体" w:cs="Times New Roman"/>
          <w:color w:val="000000"/>
          <w:sz w:val="24"/>
          <w:szCs w:val="24"/>
          <w:highlight w:val="none"/>
        </w:rPr>
        <w:t>数据互联互通</w:t>
      </w:r>
      <w:r>
        <w:rPr>
          <w:rFonts w:hint="eastAsia" w:ascii="宋体" w:hAnsi="宋体" w:eastAsia="宋体" w:cs="Times New Roman"/>
          <w:color w:val="000000"/>
          <w:sz w:val="24"/>
          <w:szCs w:val="24"/>
          <w:highlight w:val="none"/>
          <w:lang w:eastAsia="zh-CN"/>
        </w:rPr>
        <w:t>承诺书（</w:t>
      </w:r>
      <w:r>
        <w:rPr>
          <w:rFonts w:hint="eastAsia" w:ascii="宋体" w:hAnsi="宋体" w:eastAsia="宋体" w:cs="Times New Roman"/>
          <w:color w:val="000000"/>
          <w:sz w:val="24"/>
          <w:szCs w:val="24"/>
          <w:highlight w:val="none"/>
        </w:rPr>
        <w:t>格式自拟</w:t>
      </w:r>
      <w:r>
        <w:rPr>
          <w:rFonts w:hint="eastAsia" w:ascii="宋体" w:hAnsi="宋体" w:eastAsia="宋体" w:cs="Times New Roman"/>
          <w:color w:val="000000"/>
          <w:sz w:val="24"/>
          <w:szCs w:val="24"/>
          <w:highlight w:val="none"/>
          <w:lang w:eastAsia="zh-CN"/>
        </w:rPr>
        <w:t>）</w:t>
      </w:r>
    </w:p>
    <w:p w14:paraId="2E14D765">
      <w:pPr>
        <w:shd w:val="clear" w:color="auto" w:fill="FFFFFF"/>
        <w:snapToGrid w:val="0"/>
        <w:spacing w:line="400" w:lineRule="exact"/>
        <w:rPr>
          <w:rFonts w:hint="eastAsia" w:ascii="宋体" w:hAnsi="宋体" w:eastAsia="宋体" w:cs="Times New Roman"/>
          <w:color w:val="000000"/>
          <w:sz w:val="24"/>
          <w:szCs w:val="24"/>
          <w:highlight w:val="none"/>
          <w:lang w:eastAsia="zh-CN"/>
        </w:rPr>
      </w:pPr>
    </w:p>
    <w:p w14:paraId="5639E532">
      <w:pPr>
        <w:shd w:val="clear" w:color="auto" w:fill="FFFFFF"/>
        <w:snapToGrid w:val="0"/>
        <w:spacing w:line="400" w:lineRule="exact"/>
        <w:ind w:firstLine="482" w:firstLineChars="200"/>
        <w:rPr>
          <w:rFonts w:hint="eastAsia" w:ascii="宋体" w:hAnsi="宋体" w:cs="宋体"/>
          <w:b/>
          <w:color w:val="000000"/>
          <w:sz w:val="24"/>
          <w:szCs w:val="24"/>
          <w:highlight w:val="none"/>
        </w:rPr>
      </w:pPr>
      <w:r>
        <w:rPr>
          <w:rFonts w:hint="eastAsia" w:ascii="宋体" w:hAnsi="宋体" w:cs="宋体"/>
          <w:b/>
          <w:color w:val="000000"/>
          <w:sz w:val="24"/>
          <w:szCs w:val="24"/>
          <w:highlight w:val="none"/>
          <w:lang w:eastAsia="zh-CN"/>
        </w:rPr>
        <w:t>六、</w:t>
      </w:r>
      <w:r>
        <w:rPr>
          <w:rFonts w:hint="eastAsia" w:ascii="宋体" w:hAnsi="宋体" w:cs="宋体"/>
          <w:b/>
          <w:color w:val="000000"/>
          <w:sz w:val="24"/>
          <w:szCs w:val="24"/>
          <w:highlight w:val="none"/>
        </w:rPr>
        <w:t>其他资料</w:t>
      </w:r>
    </w:p>
    <w:p w14:paraId="51EA2EA7">
      <w:pPr>
        <w:shd w:val="clear" w:color="auto" w:fill="FFFFFF"/>
        <w:snapToGrid w:val="0"/>
        <w:spacing w:line="400" w:lineRule="exact"/>
        <w:ind w:firstLine="482" w:firstLineChars="200"/>
        <w:rPr>
          <w:rFonts w:hint="eastAsia" w:ascii="宋体" w:hAnsi="宋体" w:eastAsia="宋体" w:cs="宋体"/>
          <w:b/>
          <w:color w:val="000000"/>
          <w:sz w:val="24"/>
          <w:szCs w:val="24"/>
          <w:highlight w:val="none"/>
          <w:lang w:eastAsia="zh-CN"/>
        </w:rPr>
      </w:pPr>
      <w:r>
        <w:rPr>
          <w:rFonts w:hint="eastAsia" w:ascii="宋体" w:hAnsi="宋体" w:cs="宋体"/>
          <w:b/>
          <w:color w:val="000000"/>
          <w:sz w:val="24"/>
          <w:szCs w:val="24"/>
          <w:highlight w:val="none"/>
          <w:lang w:eastAsia="zh-CN"/>
        </w:rPr>
        <w:t>评审因素</w:t>
      </w:r>
      <w:r>
        <w:rPr>
          <w:rFonts w:ascii="宋体" w:hAnsi="宋体" w:cs="宋体"/>
          <w:b/>
          <w:color w:val="000000"/>
          <w:sz w:val="24"/>
          <w:szCs w:val="24"/>
          <w:highlight w:val="none"/>
        </w:rPr>
        <w:t>要求</w:t>
      </w:r>
      <w:r>
        <w:rPr>
          <w:rFonts w:hint="eastAsia" w:ascii="宋体" w:hAnsi="宋体" w:cs="宋体"/>
          <w:b/>
          <w:color w:val="000000"/>
          <w:sz w:val="24"/>
          <w:szCs w:val="24"/>
          <w:highlight w:val="none"/>
          <w:lang w:eastAsia="zh-CN"/>
        </w:rPr>
        <w:t>（</w:t>
      </w:r>
      <w:r>
        <w:rPr>
          <w:rFonts w:hint="eastAsia" w:ascii="宋体" w:hAnsi="宋体" w:cs="宋体"/>
          <w:b/>
          <w:color w:val="000000"/>
          <w:sz w:val="24"/>
          <w:szCs w:val="24"/>
          <w:highlight w:val="none"/>
          <w:lang w:val="en-US" w:eastAsia="zh-CN"/>
        </w:rPr>
        <w:t>1 企业规模除外</w:t>
      </w:r>
      <w:r>
        <w:rPr>
          <w:rFonts w:hint="eastAsia" w:ascii="宋体" w:hAnsi="宋体" w:cs="宋体"/>
          <w:b/>
          <w:color w:val="000000"/>
          <w:sz w:val="24"/>
          <w:szCs w:val="24"/>
          <w:highlight w:val="none"/>
          <w:lang w:eastAsia="zh-CN"/>
        </w:rPr>
        <w:t>）</w:t>
      </w:r>
      <w:r>
        <w:rPr>
          <w:rFonts w:hint="eastAsia" w:ascii="宋体" w:hAnsi="宋体" w:cs="宋体"/>
          <w:b/>
          <w:color w:val="000000"/>
          <w:sz w:val="24"/>
          <w:szCs w:val="24"/>
          <w:highlight w:val="none"/>
        </w:rPr>
        <w:t>相关资料</w:t>
      </w:r>
      <w:r>
        <w:rPr>
          <w:rFonts w:hint="eastAsia" w:ascii="宋体" w:hAnsi="宋体" w:cs="宋体"/>
          <w:b/>
          <w:color w:val="000000"/>
          <w:sz w:val="24"/>
          <w:szCs w:val="24"/>
          <w:highlight w:val="none"/>
          <w:lang w:eastAsia="zh-CN"/>
        </w:rPr>
        <w:t>及其他</w:t>
      </w:r>
      <w:r>
        <w:rPr>
          <w:rFonts w:hint="eastAsia" w:ascii="宋体" w:hAnsi="宋体" w:eastAsia="宋体" w:cs="宋体"/>
          <w:b/>
          <w:color w:val="000000"/>
          <w:sz w:val="24"/>
          <w:szCs w:val="24"/>
          <w:highlight w:val="none"/>
          <w:lang w:eastAsia="zh-CN"/>
        </w:rPr>
        <w:t>与项目有关的资料</w:t>
      </w:r>
    </w:p>
    <w:p w14:paraId="6BA89D84">
      <w:pPr>
        <w:shd w:val="clear" w:color="auto" w:fill="FFFFFF"/>
        <w:snapToGrid w:val="0"/>
        <w:spacing w:line="400" w:lineRule="exact"/>
        <w:rPr>
          <w:rFonts w:hint="eastAsia" w:ascii="宋体" w:hAnsi="宋体" w:cs="宋体"/>
          <w:color w:val="000000"/>
          <w:sz w:val="24"/>
          <w:szCs w:val="24"/>
          <w:highlight w:val="none"/>
        </w:rPr>
      </w:pPr>
    </w:p>
    <w:p w14:paraId="4B80C05D">
      <w:pPr>
        <w:pStyle w:val="17"/>
        <w:shd w:val="clear" w:color="auto" w:fill="FFFFFF"/>
        <w:rPr>
          <w:rFonts w:hint="eastAsia"/>
          <w:color w:val="000000"/>
          <w:highlight w:val="none"/>
        </w:rPr>
      </w:pPr>
    </w:p>
    <w:p w14:paraId="4086FB3C">
      <w:pPr>
        <w:pStyle w:val="5"/>
        <w:shd w:val="clear" w:color="auto" w:fill="FFFFFF"/>
        <w:spacing w:line="500" w:lineRule="exact"/>
        <w:rPr>
          <w:rFonts w:hint="eastAsia"/>
          <w:color w:val="000000"/>
          <w:highlight w:val="none"/>
        </w:rPr>
        <w:sectPr>
          <w:headerReference r:id="rId11" w:type="default"/>
          <w:footerReference r:id="rId12" w:type="default"/>
          <w:pgSz w:w="11907" w:h="16840"/>
          <w:pgMar w:top="1134" w:right="1191" w:bottom="1134" w:left="1304" w:header="964" w:footer="992" w:gutter="0"/>
          <w:pgNumType w:fmt="decimal"/>
          <w:cols w:space="720" w:num="1"/>
          <w:docGrid w:linePitch="380" w:charSpace="-5735"/>
        </w:sectPr>
      </w:pPr>
      <w:bookmarkStart w:id="94" w:name="_Toc429584884"/>
      <w:bookmarkStart w:id="95" w:name="_Toc105687232"/>
    </w:p>
    <w:bookmarkEnd w:id="94"/>
    <w:bookmarkEnd w:id="95"/>
    <w:p w14:paraId="3F4A6C83">
      <w:pPr>
        <w:pStyle w:val="5"/>
        <w:shd w:val="clear" w:color="auto" w:fill="FFFFFF"/>
        <w:spacing w:line="500" w:lineRule="exact"/>
        <w:ind w:firstLine="562" w:firstLineChars="200"/>
        <w:rPr>
          <w:rFonts w:hint="eastAsia"/>
          <w:b/>
          <w:color w:val="000000"/>
          <w:szCs w:val="28"/>
        </w:rPr>
      </w:pPr>
      <w:bookmarkStart w:id="96" w:name="_Toc4768"/>
      <w:bookmarkStart w:id="97" w:name="_Toc19409"/>
      <w:bookmarkStart w:id="98" w:name="_Toc17684"/>
      <w:bookmarkStart w:id="99" w:name="_Toc8201"/>
      <w:r>
        <w:rPr>
          <w:rFonts w:hint="eastAsia"/>
          <w:b/>
          <w:color w:val="000000"/>
          <w:szCs w:val="28"/>
        </w:rPr>
        <w:t>一、</w:t>
      </w:r>
      <w:bookmarkEnd w:id="96"/>
      <w:bookmarkEnd w:id="97"/>
      <w:bookmarkEnd w:id="98"/>
      <w:bookmarkEnd w:id="99"/>
      <w:bookmarkStart w:id="100" w:name="_Toc12770"/>
      <w:bookmarkStart w:id="101" w:name="_Toc9929"/>
      <w:bookmarkStart w:id="102" w:name="_Toc3520"/>
      <w:bookmarkStart w:id="103" w:name="_Toc25942"/>
      <w:r>
        <w:rPr>
          <w:rFonts w:hint="eastAsia"/>
          <w:b/>
          <w:color w:val="000000"/>
          <w:szCs w:val="28"/>
        </w:rPr>
        <w:t>声明函</w:t>
      </w:r>
      <w:bookmarkEnd w:id="100"/>
      <w:bookmarkEnd w:id="101"/>
      <w:bookmarkEnd w:id="102"/>
      <w:bookmarkEnd w:id="103"/>
    </w:p>
    <w:p w14:paraId="6F520809">
      <w:pPr>
        <w:shd w:val="clear" w:color="auto" w:fill="FFFFFF"/>
        <w:spacing w:line="530" w:lineRule="exact"/>
        <w:jc w:val="center"/>
        <w:outlineLvl w:val="0"/>
        <w:rPr>
          <w:rFonts w:hint="eastAsia" w:ascii="宋体" w:hAnsi="宋体" w:cs="宋体"/>
          <w:b/>
          <w:bCs/>
          <w:color w:val="000000"/>
          <w:sz w:val="36"/>
          <w:szCs w:val="36"/>
        </w:rPr>
      </w:pPr>
      <w:r>
        <w:rPr>
          <w:rFonts w:hint="eastAsia" w:ascii="宋体" w:hAnsi="宋体"/>
          <w:b/>
          <w:color w:val="000000"/>
          <w:sz w:val="36"/>
          <w:szCs w:val="36"/>
        </w:rPr>
        <w:t>声明函</w:t>
      </w:r>
    </w:p>
    <w:p w14:paraId="34DD20FD">
      <w:pPr>
        <w:shd w:val="clear" w:color="auto" w:fill="FFFFFF"/>
        <w:spacing w:line="400" w:lineRule="exact"/>
        <w:ind w:firstLine="480" w:firstLineChars="200"/>
        <w:rPr>
          <w:rFonts w:hint="eastAsia" w:ascii="宋体" w:hAnsi="宋体"/>
          <w:color w:val="000000"/>
          <w:sz w:val="24"/>
          <w:szCs w:val="28"/>
          <w:u w:val="single"/>
        </w:rPr>
      </w:pPr>
    </w:p>
    <w:p w14:paraId="0FD0B584">
      <w:pPr>
        <w:shd w:val="clear" w:color="auto" w:fill="FFFFFF"/>
        <w:spacing w:line="400" w:lineRule="exact"/>
        <w:rPr>
          <w:rFonts w:ascii="宋体" w:hAnsi="宋体"/>
          <w:color w:val="000000"/>
          <w:sz w:val="24"/>
          <w:szCs w:val="28"/>
        </w:rPr>
      </w:pPr>
      <w:r>
        <w:rPr>
          <w:rFonts w:hint="eastAsia" w:ascii="宋体" w:hAnsi="宋体"/>
          <w:color w:val="000000"/>
          <w:sz w:val="24"/>
          <w:szCs w:val="28"/>
          <w:lang w:eastAsia="zh-CN"/>
        </w:rPr>
        <w:t>重庆方郡建设工程咨询有限公司</w:t>
      </w:r>
      <w:r>
        <w:rPr>
          <w:rFonts w:hint="eastAsia" w:ascii="宋体" w:hAnsi="宋体"/>
          <w:color w:val="000000"/>
          <w:sz w:val="24"/>
          <w:szCs w:val="28"/>
        </w:rPr>
        <w:t>：</w:t>
      </w:r>
    </w:p>
    <w:p w14:paraId="5F788680">
      <w:pPr>
        <w:shd w:val="clear" w:color="auto" w:fill="FFFFFF"/>
        <w:snapToGrid w:val="0"/>
        <w:spacing w:line="500" w:lineRule="exact"/>
        <w:ind w:firstLine="480" w:firstLineChars="200"/>
        <w:rPr>
          <w:rFonts w:hint="eastAsia" w:ascii="宋体" w:hAnsi="宋体"/>
          <w:color w:val="000000"/>
          <w:sz w:val="24"/>
          <w:szCs w:val="28"/>
        </w:rPr>
      </w:pPr>
      <w:r>
        <w:rPr>
          <w:rFonts w:hint="eastAsia" w:ascii="宋体" w:hAnsi="宋体"/>
          <w:color w:val="000000"/>
          <w:sz w:val="24"/>
          <w:szCs w:val="28"/>
        </w:rPr>
        <w:t>我单位现对本次参加的</w:t>
      </w:r>
      <w:r>
        <w:rPr>
          <w:rFonts w:hint="eastAsia" w:ascii="宋体" w:hAnsi="宋体"/>
          <w:color w:val="000000"/>
          <w:sz w:val="24"/>
          <w:szCs w:val="28"/>
          <w:lang w:eastAsia="zh-CN"/>
        </w:rPr>
        <w:t>竞选</w:t>
      </w:r>
      <w:r>
        <w:rPr>
          <w:rFonts w:hint="eastAsia" w:ascii="宋体" w:hAnsi="宋体"/>
          <w:color w:val="000000"/>
          <w:sz w:val="24"/>
          <w:szCs w:val="28"/>
        </w:rPr>
        <w:t>声明如下：</w:t>
      </w:r>
    </w:p>
    <w:p w14:paraId="5A05530F">
      <w:pPr>
        <w:shd w:val="clear" w:color="auto" w:fill="FFFFFF"/>
        <w:spacing w:line="500" w:lineRule="exact"/>
        <w:ind w:firstLine="480" w:firstLineChars="200"/>
        <w:rPr>
          <w:rFonts w:hint="eastAsia" w:ascii="宋体" w:hAnsi="宋体"/>
          <w:color w:val="000000"/>
          <w:sz w:val="24"/>
          <w:szCs w:val="28"/>
          <w:u w:val="single"/>
        </w:rPr>
      </w:pPr>
      <w:r>
        <w:rPr>
          <w:rFonts w:hint="eastAsia" w:ascii="宋体" w:hAnsi="宋体"/>
          <w:color w:val="000000"/>
          <w:sz w:val="24"/>
          <w:szCs w:val="28"/>
        </w:rPr>
        <w:t>项目名称：</w:t>
      </w:r>
      <w:r>
        <w:rPr>
          <w:rFonts w:hint="eastAsia" w:ascii="宋体" w:hAnsi="宋体"/>
          <w:color w:val="000000"/>
          <w:sz w:val="24"/>
          <w:szCs w:val="28"/>
          <w:u w:val="single"/>
        </w:rPr>
        <w:t xml:space="preserve">                              </w:t>
      </w:r>
    </w:p>
    <w:p w14:paraId="48713FD7">
      <w:pPr>
        <w:shd w:val="clear" w:color="auto" w:fill="FFFFFF"/>
        <w:snapToGrid w:val="0"/>
        <w:spacing w:line="500" w:lineRule="exact"/>
        <w:ind w:firstLine="480" w:firstLineChars="200"/>
        <w:rPr>
          <w:rFonts w:hint="eastAsia" w:ascii="宋体" w:hAnsi="宋体"/>
          <w:color w:val="000000"/>
          <w:sz w:val="24"/>
          <w:szCs w:val="28"/>
        </w:rPr>
      </w:pPr>
      <w:r>
        <w:rPr>
          <w:rFonts w:hint="eastAsia" w:ascii="宋体" w:hAnsi="宋体"/>
          <w:color w:val="000000"/>
          <w:sz w:val="24"/>
          <w:szCs w:val="28"/>
        </w:rPr>
        <w:t>（一）我方理解并接受该</w:t>
      </w:r>
      <w:r>
        <w:rPr>
          <w:rFonts w:hint="eastAsia" w:ascii="宋体" w:hAnsi="宋体"/>
          <w:color w:val="000000"/>
          <w:sz w:val="24"/>
          <w:szCs w:val="28"/>
          <w:lang w:eastAsia="zh-CN"/>
        </w:rPr>
        <w:t>竞选</w:t>
      </w:r>
      <w:r>
        <w:rPr>
          <w:rFonts w:hint="eastAsia" w:ascii="宋体" w:hAnsi="宋体"/>
          <w:color w:val="000000"/>
          <w:sz w:val="24"/>
          <w:szCs w:val="28"/>
        </w:rPr>
        <w:t>文件的</w:t>
      </w:r>
      <w:r>
        <w:rPr>
          <w:rFonts w:hint="eastAsia" w:ascii="宋体" w:hAnsi="宋体"/>
          <w:color w:val="000000"/>
          <w:sz w:val="24"/>
          <w:szCs w:val="28"/>
          <w:lang w:eastAsia="zh-CN"/>
        </w:rPr>
        <w:t>竞选</w:t>
      </w:r>
      <w:r>
        <w:rPr>
          <w:rFonts w:hint="eastAsia" w:ascii="宋体" w:hAnsi="宋体"/>
          <w:color w:val="000000"/>
          <w:sz w:val="24"/>
          <w:szCs w:val="28"/>
        </w:rPr>
        <w:t>需求。</w:t>
      </w:r>
    </w:p>
    <w:p w14:paraId="35FBF3C4">
      <w:pPr>
        <w:shd w:val="clear" w:color="auto" w:fill="FFFFFF"/>
        <w:tabs>
          <w:tab w:val="left" w:pos="6300"/>
        </w:tabs>
        <w:snapToGrid w:val="0"/>
        <w:spacing w:line="500" w:lineRule="exact"/>
        <w:ind w:firstLine="480" w:firstLineChars="200"/>
        <w:rPr>
          <w:rFonts w:hint="eastAsia" w:ascii="宋体" w:hAnsi="宋体"/>
          <w:color w:val="000000"/>
          <w:sz w:val="24"/>
          <w:szCs w:val="28"/>
          <w:highlight w:val="none"/>
        </w:rPr>
      </w:pPr>
      <w:r>
        <w:rPr>
          <w:rFonts w:hint="eastAsia" w:ascii="宋体" w:hAnsi="宋体"/>
          <w:color w:val="000000"/>
          <w:sz w:val="24"/>
          <w:szCs w:val="28"/>
        </w:rPr>
        <w:t>（二）我方提交的响应文</w:t>
      </w:r>
      <w:r>
        <w:rPr>
          <w:rFonts w:hint="eastAsia" w:ascii="宋体" w:hAnsi="宋体"/>
          <w:color w:val="000000"/>
          <w:sz w:val="24"/>
          <w:szCs w:val="28"/>
          <w:highlight w:val="none"/>
        </w:rPr>
        <w:t>件内容都是准确和真实的，如有虚假或隐瞒，由我方承担一切法律责任。</w:t>
      </w:r>
    </w:p>
    <w:p w14:paraId="52DEBFAB">
      <w:pPr>
        <w:shd w:val="clear" w:color="auto" w:fill="FFFFFF"/>
        <w:tabs>
          <w:tab w:val="left" w:pos="6300"/>
        </w:tabs>
        <w:snapToGrid w:val="0"/>
        <w:spacing w:line="500" w:lineRule="exact"/>
        <w:ind w:firstLine="480" w:firstLineChars="200"/>
        <w:rPr>
          <w:rFonts w:hint="eastAsia" w:ascii="宋体" w:hAnsi="宋体"/>
          <w:color w:val="000000"/>
          <w:sz w:val="24"/>
          <w:szCs w:val="28"/>
          <w:highlight w:val="none"/>
        </w:rPr>
      </w:pPr>
      <w:r>
        <w:rPr>
          <w:rFonts w:hint="eastAsia" w:ascii="宋体" w:hAnsi="宋体"/>
          <w:color w:val="000000"/>
          <w:sz w:val="24"/>
          <w:szCs w:val="28"/>
          <w:highlight w:val="none"/>
        </w:rPr>
        <w:t>（三）响应文件有效期为：</w:t>
      </w:r>
      <w:r>
        <w:rPr>
          <w:rFonts w:hint="eastAsia" w:ascii="宋体" w:hAnsi="宋体" w:cs="宋体"/>
          <w:color w:val="000000"/>
          <w:sz w:val="24"/>
          <w:szCs w:val="24"/>
          <w:highlight w:val="none"/>
        </w:rPr>
        <w:t>提交响应文件截止时间起90天</w:t>
      </w:r>
      <w:r>
        <w:rPr>
          <w:rFonts w:hint="eastAsia" w:ascii="宋体" w:hAnsi="宋体"/>
          <w:color w:val="000000"/>
          <w:sz w:val="24"/>
          <w:szCs w:val="28"/>
          <w:highlight w:val="none"/>
        </w:rPr>
        <w:t>。</w:t>
      </w:r>
    </w:p>
    <w:p w14:paraId="5EADB635">
      <w:pPr>
        <w:shd w:val="clear" w:color="auto" w:fill="FFFFFF"/>
        <w:tabs>
          <w:tab w:val="left" w:pos="6300"/>
        </w:tabs>
        <w:snapToGrid w:val="0"/>
        <w:spacing w:line="500" w:lineRule="exact"/>
        <w:ind w:firstLine="480" w:firstLineChars="200"/>
        <w:rPr>
          <w:rFonts w:hint="eastAsia" w:ascii="宋体" w:hAnsi="宋体"/>
          <w:color w:val="000000"/>
          <w:sz w:val="24"/>
          <w:szCs w:val="28"/>
          <w:highlight w:val="none"/>
        </w:rPr>
      </w:pPr>
      <w:r>
        <w:rPr>
          <w:rFonts w:hint="eastAsia" w:ascii="宋体" w:hAnsi="宋体"/>
          <w:color w:val="000000"/>
          <w:sz w:val="24"/>
          <w:szCs w:val="28"/>
          <w:highlight w:val="none"/>
        </w:rPr>
        <w:t>（</w:t>
      </w:r>
      <w:r>
        <w:rPr>
          <w:rFonts w:hint="eastAsia" w:ascii="宋体" w:hAnsi="宋体"/>
          <w:color w:val="000000"/>
          <w:sz w:val="24"/>
          <w:szCs w:val="28"/>
          <w:highlight w:val="none"/>
          <w:lang w:eastAsia="zh-CN"/>
        </w:rPr>
        <w:t>四</w:t>
      </w:r>
      <w:r>
        <w:rPr>
          <w:rFonts w:hint="eastAsia" w:ascii="宋体" w:hAnsi="宋体"/>
          <w:color w:val="000000"/>
          <w:sz w:val="24"/>
          <w:szCs w:val="28"/>
          <w:highlight w:val="none"/>
        </w:rPr>
        <w:t>）我方已知晓并了解本</w:t>
      </w:r>
      <w:r>
        <w:rPr>
          <w:rFonts w:hint="eastAsia" w:ascii="宋体" w:hAnsi="宋体"/>
          <w:color w:val="000000"/>
          <w:sz w:val="24"/>
          <w:szCs w:val="28"/>
          <w:highlight w:val="none"/>
          <w:lang w:eastAsia="zh-CN"/>
        </w:rPr>
        <w:t>竞选</w:t>
      </w:r>
      <w:r>
        <w:rPr>
          <w:rFonts w:hint="eastAsia" w:ascii="宋体" w:hAnsi="宋体"/>
          <w:color w:val="000000"/>
          <w:sz w:val="24"/>
          <w:szCs w:val="28"/>
          <w:highlight w:val="none"/>
        </w:rPr>
        <w:t>文件中的</w:t>
      </w:r>
      <w:r>
        <w:rPr>
          <w:rFonts w:hint="eastAsia" w:ascii="宋体" w:hAnsi="宋体"/>
          <w:color w:val="000000"/>
          <w:sz w:val="24"/>
          <w:szCs w:val="28"/>
          <w:highlight w:val="none"/>
          <w:lang w:eastAsia="zh-CN"/>
        </w:rPr>
        <w:t>竞选人</w:t>
      </w:r>
      <w:r>
        <w:rPr>
          <w:rFonts w:hint="eastAsia" w:ascii="宋体" w:hAnsi="宋体"/>
          <w:color w:val="000000"/>
          <w:sz w:val="24"/>
          <w:szCs w:val="28"/>
          <w:highlight w:val="none"/>
        </w:rPr>
        <w:t>须知和</w:t>
      </w:r>
      <w:r>
        <w:rPr>
          <w:rFonts w:hint="eastAsia" w:ascii="宋体" w:hAnsi="宋体"/>
          <w:color w:val="000000"/>
          <w:sz w:val="24"/>
          <w:szCs w:val="28"/>
          <w:highlight w:val="none"/>
          <w:lang w:eastAsia="zh-CN"/>
        </w:rPr>
        <w:t>竞选文件</w:t>
      </w:r>
      <w:r>
        <w:rPr>
          <w:rFonts w:hint="eastAsia" w:ascii="宋体" w:hAnsi="宋体"/>
          <w:color w:val="000000"/>
          <w:sz w:val="24"/>
          <w:szCs w:val="28"/>
          <w:highlight w:val="none"/>
        </w:rPr>
        <w:t>的</w:t>
      </w:r>
      <w:r>
        <w:rPr>
          <w:rFonts w:hint="eastAsia" w:ascii="宋体" w:hAnsi="宋体"/>
          <w:color w:val="000000"/>
          <w:sz w:val="24"/>
          <w:szCs w:val="28"/>
          <w:highlight w:val="none"/>
          <w:lang w:eastAsia="zh-CN"/>
        </w:rPr>
        <w:t>全部</w:t>
      </w:r>
      <w:r>
        <w:rPr>
          <w:rFonts w:hint="eastAsia" w:ascii="宋体" w:hAnsi="宋体"/>
          <w:color w:val="000000"/>
          <w:sz w:val="24"/>
          <w:szCs w:val="28"/>
          <w:highlight w:val="none"/>
        </w:rPr>
        <w:t>内容，对其内容无异议，愿意遵照其执行。</w:t>
      </w:r>
    </w:p>
    <w:p w14:paraId="6EA2A30E">
      <w:pPr>
        <w:shd w:val="clear" w:color="auto" w:fill="FFFFFF"/>
        <w:snapToGrid w:val="0"/>
        <w:spacing w:line="500" w:lineRule="exact"/>
        <w:ind w:firstLine="480" w:firstLineChars="200"/>
        <w:rPr>
          <w:rFonts w:hint="eastAsia" w:ascii="宋体" w:hAnsi="宋体"/>
          <w:color w:val="000000"/>
          <w:sz w:val="24"/>
          <w:szCs w:val="28"/>
          <w:highlight w:val="none"/>
        </w:rPr>
      </w:pPr>
      <w:r>
        <w:rPr>
          <w:rFonts w:hint="eastAsia" w:ascii="宋体" w:hAnsi="宋体"/>
          <w:color w:val="000000"/>
          <w:sz w:val="24"/>
          <w:szCs w:val="28"/>
          <w:highlight w:val="none"/>
        </w:rPr>
        <w:t>（六）如果我方</w:t>
      </w:r>
      <w:r>
        <w:rPr>
          <w:rFonts w:hint="eastAsia" w:ascii="宋体" w:hAnsi="宋体"/>
          <w:color w:val="000000"/>
          <w:sz w:val="24"/>
          <w:szCs w:val="28"/>
          <w:highlight w:val="none"/>
          <w:lang w:eastAsia="zh-CN"/>
        </w:rPr>
        <w:t>中选</w:t>
      </w:r>
      <w:r>
        <w:rPr>
          <w:rFonts w:hint="eastAsia" w:ascii="宋体" w:hAnsi="宋体"/>
          <w:color w:val="000000"/>
          <w:sz w:val="24"/>
          <w:szCs w:val="28"/>
          <w:highlight w:val="none"/>
        </w:rPr>
        <w:t>，我方将履行</w:t>
      </w:r>
      <w:r>
        <w:rPr>
          <w:rFonts w:hint="eastAsia" w:ascii="宋体" w:hAnsi="宋体"/>
          <w:color w:val="000000"/>
          <w:sz w:val="24"/>
          <w:szCs w:val="28"/>
          <w:highlight w:val="none"/>
          <w:lang w:eastAsia="zh-CN"/>
        </w:rPr>
        <w:t>竞选</w:t>
      </w:r>
      <w:r>
        <w:rPr>
          <w:rFonts w:hint="eastAsia" w:ascii="宋体" w:hAnsi="宋体"/>
          <w:color w:val="000000"/>
          <w:sz w:val="24"/>
          <w:szCs w:val="28"/>
          <w:highlight w:val="none"/>
        </w:rPr>
        <w:t>文件中规定的各项要求以及我方响应文件的各项承诺，按《中华人民共和国民法典》及</w:t>
      </w:r>
      <w:r>
        <w:rPr>
          <w:rFonts w:hint="eastAsia" w:ascii="宋体" w:hAnsi="宋体"/>
          <w:color w:val="000000"/>
          <w:sz w:val="24"/>
          <w:szCs w:val="28"/>
          <w:highlight w:val="none"/>
          <w:lang w:eastAsia="zh-CN"/>
        </w:rPr>
        <w:t>竞选</w:t>
      </w:r>
      <w:r>
        <w:rPr>
          <w:rFonts w:hint="eastAsia" w:ascii="宋体" w:hAnsi="宋体"/>
          <w:color w:val="000000"/>
          <w:sz w:val="24"/>
          <w:szCs w:val="28"/>
          <w:highlight w:val="none"/>
        </w:rPr>
        <w:t>协议约定条款承担相应的责任。</w:t>
      </w:r>
    </w:p>
    <w:p w14:paraId="1CBDDF6F">
      <w:pPr>
        <w:shd w:val="clear" w:color="auto" w:fill="FFFFFF"/>
        <w:tabs>
          <w:tab w:val="left" w:pos="6300"/>
        </w:tabs>
        <w:snapToGrid w:val="0"/>
        <w:spacing w:line="500" w:lineRule="exact"/>
        <w:ind w:firstLine="5460" w:firstLineChars="2275"/>
        <w:jc w:val="right"/>
        <w:rPr>
          <w:rFonts w:hint="eastAsia" w:ascii="宋体" w:hAnsi="宋体"/>
          <w:color w:val="000000"/>
          <w:sz w:val="24"/>
          <w:szCs w:val="28"/>
          <w:highlight w:val="none"/>
        </w:rPr>
      </w:pPr>
    </w:p>
    <w:p w14:paraId="506A3C56">
      <w:pPr>
        <w:shd w:val="clear" w:color="auto" w:fill="FFFFFF"/>
        <w:tabs>
          <w:tab w:val="left" w:pos="6300"/>
        </w:tabs>
        <w:snapToGrid w:val="0"/>
        <w:spacing w:line="500" w:lineRule="exact"/>
        <w:ind w:firstLine="5460" w:firstLineChars="2275"/>
        <w:jc w:val="right"/>
        <w:rPr>
          <w:rFonts w:hint="eastAsia" w:ascii="宋体" w:hAnsi="宋体"/>
          <w:color w:val="000000"/>
          <w:sz w:val="24"/>
          <w:szCs w:val="28"/>
          <w:highlight w:val="none"/>
        </w:rPr>
      </w:pPr>
      <w:r>
        <w:rPr>
          <w:rFonts w:hint="eastAsia" w:ascii="宋体" w:hAnsi="宋体"/>
          <w:color w:val="000000"/>
          <w:sz w:val="24"/>
          <w:szCs w:val="28"/>
          <w:highlight w:val="none"/>
        </w:rPr>
        <w:t>（</w:t>
      </w:r>
      <w:r>
        <w:rPr>
          <w:rFonts w:hint="eastAsia" w:ascii="宋体" w:hAnsi="宋体"/>
          <w:color w:val="000000"/>
          <w:sz w:val="24"/>
          <w:szCs w:val="28"/>
          <w:highlight w:val="none"/>
          <w:lang w:eastAsia="zh-CN"/>
        </w:rPr>
        <w:t>竞选人</w:t>
      </w:r>
      <w:r>
        <w:rPr>
          <w:rFonts w:hint="eastAsia" w:ascii="宋体" w:hAnsi="宋体"/>
          <w:color w:val="000000"/>
          <w:sz w:val="24"/>
          <w:szCs w:val="28"/>
          <w:highlight w:val="none"/>
        </w:rPr>
        <w:t>公章）</w:t>
      </w:r>
    </w:p>
    <w:p w14:paraId="3D61B7FC">
      <w:pPr>
        <w:shd w:val="clear" w:color="auto" w:fill="FFFFFF"/>
        <w:snapToGrid w:val="0"/>
        <w:spacing w:line="500" w:lineRule="exact"/>
        <w:ind w:firstLine="480" w:firstLineChars="200"/>
        <w:jc w:val="right"/>
        <w:rPr>
          <w:rFonts w:hint="eastAsia" w:ascii="宋体" w:hAnsi="宋体"/>
          <w:color w:val="000000"/>
          <w:sz w:val="24"/>
          <w:szCs w:val="28"/>
          <w:highlight w:val="none"/>
        </w:rPr>
      </w:pPr>
      <w:r>
        <w:rPr>
          <w:rFonts w:hint="eastAsia" w:ascii="宋体" w:hAnsi="宋体"/>
          <w:color w:val="000000"/>
          <w:sz w:val="24"/>
          <w:szCs w:val="28"/>
          <w:highlight w:val="none"/>
        </w:rPr>
        <w:t>年    月   日</w:t>
      </w:r>
    </w:p>
    <w:p w14:paraId="6A521DA2">
      <w:pPr>
        <w:pStyle w:val="17"/>
        <w:shd w:val="clear" w:color="auto" w:fill="FFFFFF"/>
        <w:rPr>
          <w:rFonts w:hint="eastAsia"/>
          <w:color w:val="000000"/>
          <w:highlight w:val="none"/>
        </w:rPr>
      </w:pPr>
    </w:p>
    <w:p w14:paraId="76AF1429">
      <w:pPr>
        <w:pStyle w:val="5"/>
        <w:shd w:val="clear" w:color="auto" w:fill="FFFFFF"/>
        <w:spacing w:line="500" w:lineRule="exact"/>
        <w:ind w:firstLine="482" w:firstLineChars="200"/>
        <w:rPr>
          <w:rFonts w:hint="eastAsia"/>
          <w:b/>
          <w:color w:val="000000"/>
          <w:szCs w:val="28"/>
          <w:highlight w:val="none"/>
        </w:rPr>
      </w:pPr>
      <w:r>
        <w:rPr>
          <w:rFonts w:hint="eastAsia" w:cs="宋体"/>
          <w:b/>
          <w:bCs/>
          <w:color w:val="000000"/>
          <w:sz w:val="24"/>
          <w:szCs w:val="28"/>
          <w:highlight w:val="none"/>
        </w:rPr>
        <w:br w:type="page"/>
      </w:r>
      <w:bookmarkStart w:id="104" w:name="_Toc29860"/>
      <w:bookmarkStart w:id="105" w:name="_Toc27598"/>
      <w:bookmarkStart w:id="106" w:name="_Toc12368"/>
      <w:r>
        <w:rPr>
          <w:rStyle w:val="76"/>
          <w:rFonts w:hint="eastAsia"/>
          <w:bCs/>
          <w:color w:val="000000"/>
          <w:highlight w:val="none"/>
          <w:lang w:eastAsia="zh-CN"/>
        </w:rPr>
        <w:t>二</w:t>
      </w:r>
      <w:r>
        <w:rPr>
          <w:rFonts w:hint="eastAsia"/>
          <w:b/>
          <w:color w:val="000000"/>
          <w:szCs w:val="28"/>
          <w:highlight w:val="none"/>
        </w:rPr>
        <w:t>、资格文件</w:t>
      </w:r>
      <w:bookmarkEnd w:id="104"/>
      <w:bookmarkEnd w:id="105"/>
      <w:bookmarkEnd w:id="106"/>
    </w:p>
    <w:p w14:paraId="0B0F369B">
      <w:pPr>
        <w:shd w:val="clear" w:color="auto" w:fill="FFFFFF"/>
        <w:tabs>
          <w:tab w:val="left" w:pos="6300"/>
        </w:tabs>
        <w:snapToGrid w:val="0"/>
        <w:spacing w:line="500" w:lineRule="exact"/>
        <w:ind w:firstLine="570"/>
        <w:rPr>
          <w:rFonts w:hint="eastAsia" w:ascii="宋体" w:hAnsi="宋体"/>
          <w:color w:val="000000"/>
          <w:highlight w:val="none"/>
        </w:rPr>
      </w:pPr>
    </w:p>
    <w:p w14:paraId="02940D1E">
      <w:pPr>
        <w:shd w:val="clear" w:color="auto" w:fill="FFFFFF"/>
        <w:tabs>
          <w:tab w:val="left" w:pos="6300"/>
        </w:tabs>
        <w:snapToGrid w:val="0"/>
        <w:spacing w:line="500" w:lineRule="exact"/>
        <w:ind w:firstLine="570"/>
        <w:rPr>
          <w:rFonts w:hint="eastAsia" w:ascii="宋体" w:hAnsi="宋体"/>
          <w:color w:val="000000"/>
          <w:highlight w:val="none"/>
        </w:rPr>
      </w:pPr>
      <w:r>
        <w:rPr>
          <w:rFonts w:hint="eastAsia" w:ascii="宋体" w:hAnsi="宋体"/>
          <w:color w:val="000000"/>
          <w:sz w:val="24"/>
          <w:szCs w:val="24"/>
          <w:highlight w:val="none"/>
        </w:rPr>
        <w:t>（一）</w:t>
      </w:r>
      <w:r>
        <w:rPr>
          <w:rFonts w:hint="eastAsia" w:ascii="宋体" w:hAnsi="宋体"/>
          <w:color w:val="000000"/>
          <w:sz w:val="24"/>
          <w:szCs w:val="24"/>
          <w:highlight w:val="none"/>
          <w:lang w:eastAsia="zh-CN"/>
        </w:rPr>
        <w:t>竞选人</w:t>
      </w:r>
      <w:r>
        <w:rPr>
          <w:rFonts w:hint="eastAsia" w:ascii="宋体" w:hAnsi="宋体"/>
          <w:color w:val="000000"/>
          <w:sz w:val="24"/>
          <w:szCs w:val="24"/>
          <w:highlight w:val="none"/>
        </w:rPr>
        <w:t>的营业执照（副本）或事业单位法人证书（副本）或社会团体法人登记证书</w:t>
      </w:r>
    </w:p>
    <w:p w14:paraId="42CAB5EE">
      <w:pPr>
        <w:shd w:val="clear" w:color="auto" w:fill="FFFFFF"/>
        <w:tabs>
          <w:tab w:val="left" w:pos="6300"/>
        </w:tabs>
        <w:snapToGrid w:val="0"/>
        <w:spacing w:line="500" w:lineRule="exact"/>
        <w:ind w:firstLine="570"/>
        <w:rPr>
          <w:rFonts w:hint="eastAsia" w:ascii="宋体" w:hAnsi="宋体"/>
          <w:color w:val="000000"/>
          <w:highlight w:val="none"/>
        </w:rPr>
      </w:pPr>
    </w:p>
    <w:p w14:paraId="6363D104">
      <w:pPr>
        <w:shd w:val="clear" w:color="auto" w:fill="FFFFFF"/>
        <w:tabs>
          <w:tab w:val="left" w:pos="6300"/>
        </w:tabs>
        <w:snapToGrid w:val="0"/>
        <w:spacing w:line="500" w:lineRule="exact"/>
        <w:ind w:firstLine="570"/>
        <w:rPr>
          <w:rFonts w:hint="eastAsia" w:ascii="宋体" w:hAnsi="宋体"/>
          <w:color w:val="000000"/>
        </w:rPr>
      </w:pPr>
    </w:p>
    <w:p w14:paraId="150C6F17">
      <w:pPr>
        <w:shd w:val="clear" w:color="auto" w:fill="FFFFFF"/>
        <w:tabs>
          <w:tab w:val="left" w:pos="6300"/>
        </w:tabs>
        <w:snapToGrid w:val="0"/>
        <w:spacing w:line="500" w:lineRule="exact"/>
        <w:ind w:firstLine="570"/>
        <w:rPr>
          <w:rFonts w:hint="eastAsia" w:ascii="宋体" w:hAnsi="宋体"/>
          <w:color w:val="000000"/>
        </w:rPr>
      </w:pPr>
    </w:p>
    <w:p w14:paraId="147FD354">
      <w:pPr>
        <w:shd w:val="clear" w:color="auto" w:fill="FFFFFF"/>
        <w:tabs>
          <w:tab w:val="left" w:pos="6300"/>
        </w:tabs>
        <w:snapToGrid w:val="0"/>
        <w:spacing w:line="500" w:lineRule="exact"/>
        <w:ind w:firstLine="570"/>
        <w:rPr>
          <w:rFonts w:hint="eastAsia" w:ascii="宋体" w:hAnsi="宋体"/>
          <w:color w:val="000000"/>
        </w:rPr>
      </w:pPr>
    </w:p>
    <w:p w14:paraId="65D9F592">
      <w:pPr>
        <w:shd w:val="clear" w:color="auto" w:fill="FFFFFF"/>
        <w:tabs>
          <w:tab w:val="left" w:pos="6300"/>
        </w:tabs>
        <w:snapToGrid w:val="0"/>
        <w:spacing w:line="500" w:lineRule="exact"/>
        <w:ind w:firstLine="570"/>
        <w:rPr>
          <w:rFonts w:hint="eastAsia" w:ascii="宋体" w:hAnsi="宋体"/>
          <w:color w:val="000000"/>
        </w:rPr>
      </w:pPr>
    </w:p>
    <w:p w14:paraId="316A2522">
      <w:pPr>
        <w:shd w:val="clear" w:color="auto" w:fill="FFFFFF"/>
        <w:tabs>
          <w:tab w:val="left" w:pos="6300"/>
        </w:tabs>
        <w:snapToGrid w:val="0"/>
        <w:spacing w:line="500" w:lineRule="exact"/>
        <w:ind w:firstLine="570"/>
        <w:rPr>
          <w:rFonts w:hint="eastAsia" w:ascii="宋体" w:hAnsi="宋体"/>
          <w:color w:val="000000"/>
        </w:rPr>
      </w:pPr>
    </w:p>
    <w:p w14:paraId="1624ACB3">
      <w:pPr>
        <w:widowControl/>
        <w:shd w:val="clear" w:color="auto" w:fill="FFFFFF"/>
        <w:jc w:val="left"/>
        <w:rPr>
          <w:rFonts w:hint="eastAsia" w:ascii="宋体" w:hAnsi="宋体"/>
          <w:color w:val="000000"/>
        </w:rPr>
      </w:pPr>
      <w:r>
        <w:rPr>
          <w:rFonts w:ascii="宋体" w:hAnsi="宋体"/>
          <w:color w:val="000000"/>
        </w:rPr>
        <w:br w:type="page"/>
      </w:r>
      <w:r>
        <w:rPr>
          <w:rFonts w:hint="eastAsia" w:ascii="宋体" w:hAnsi="宋体"/>
          <w:color w:val="000000"/>
        </w:rPr>
        <w:t>（二）基本资格条件承诺函（格式）</w:t>
      </w:r>
    </w:p>
    <w:p w14:paraId="453AF6B5">
      <w:pPr>
        <w:pStyle w:val="17"/>
        <w:shd w:val="clear" w:color="auto" w:fill="FFFFFF"/>
        <w:rPr>
          <w:rFonts w:hint="eastAsia"/>
          <w:color w:val="000000"/>
        </w:rPr>
      </w:pPr>
    </w:p>
    <w:p w14:paraId="76205FA3">
      <w:pPr>
        <w:shd w:val="clear" w:color="auto" w:fill="FFFFFF"/>
        <w:spacing w:line="530" w:lineRule="exact"/>
        <w:jc w:val="center"/>
        <w:outlineLvl w:val="0"/>
        <w:rPr>
          <w:rFonts w:hint="eastAsia" w:ascii="宋体" w:hAnsi="宋体" w:cs="宋体"/>
          <w:b/>
          <w:bCs/>
          <w:color w:val="000000"/>
          <w:sz w:val="36"/>
          <w:szCs w:val="36"/>
        </w:rPr>
      </w:pPr>
      <w:r>
        <w:rPr>
          <w:rFonts w:hint="eastAsia" w:ascii="宋体" w:hAnsi="宋体" w:cs="宋体"/>
          <w:b/>
          <w:bCs/>
          <w:color w:val="000000"/>
          <w:sz w:val="36"/>
          <w:szCs w:val="36"/>
        </w:rPr>
        <w:t>基本资格条件承诺函</w:t>
      </w:r>
    </w:p>
    <w:p w14:paraId="4F98631D">
      <w:pPr>
        <w:shd w:val="clear" w:color="auto" w:fill="FFFFFF"/>
        <w:tabs>
          <w:tab w:val="left" w:pos="6300"/>
        </w:tabs>
        <w:snapToGrid w:val="0"/>
        <w:spacing w:line="530" w:lineRule="exact"/>
        <w:rPr>
          <w:color w:val="000000"/>
          <w:sz w:val="24"/>
        </w:rPr>
      </w:pPr>
    </w:p>
    <w:p w14:paraId="2446F979">
      <w:pPr>
        <w:shd w:val="clear" w:color="auto" w:fill="FFFFFF"/>
        <w:tabs>
          <w:tab w:val="left" w:pos="6300"/>
        </w:tabs>
        <w:snapToGrid w:val="0"/>
        <w:spacing w:line="530" w:lineRule="exact"/>
        <w:rPr>
          <w:rFonts w:hint="eastAsia" w:ascii="宋体" w:hAnsi="宋体" w:eastAsia="宋体" w:cs="宋体"/>
          <w:color w:val="000000"/>
          <w:sz w:val="24"/>
          <w:szCs w:val="24"/>
          <w:lang w:eastAsia="zh-CN"/>
        </w:rPr>
      </w:pPr>
      <w:r>
        <w:rPr>
          <w:rFonts w:hint="eastAsia" w:ascii="宋体" w:hAnsi="宋体" w:cs="宋体"/>
          <w:color w:val="000000"/>
          <w:sz w:val="24"/>
          <w:szCs w:val="24"/>
        </w:rPr>
        <w:t>致：</w:t>
      </w:r>
      <w:r>
        <w:rPr>
          <w:rFonts w:hint="eastAsia" w:ascii="宋体" w:hAnsi="宋体"/>
          <w:color w:val="000000"/>
          <w:sz w:val="24"/>
          <w:szCs w:val="28"/>
          <w:u w:val="single"/>
          <w:lang w:eastAsia="zh-CN"/>
        </w:rPr>
        <w:t>重庆方郡建设工程咨询有限公司</w:t>
      </w:r>
    </w:p>
    <w:p w14:paraId="4FB426BD">
      <w:pPr>
        <w:shd w:val="clear" w:color="auto" w:fill="FFFFFF"/>
        <w:tabs>
          <w:tab w:val="left" w:pos="6300"/>
        </w:tabs>
        <w:snapToGrid w:val="0"/>
        <w:spacing w:line="530" w:lineRule="exact"/>
        <w:ind w:firstLine="480" w:firstLineChars="200"/>
        <w:rPr>
          <w:rFonts w:hint="eastAsia" w:ascii="宋体" w:hAnsi="宋体" w:cs="宋体"/>
          <w:color w:val="000000"/>
          <w:sz w:val="24"/>
          <w:szCs w:val="24"/>
        </w:rPr>
      </w:pPr>
      <w:r>
        <w:rPr>
          <w:rFonts w:hint="eastAsia" w:ascii="宋体" w:hAnsi="宋体" w:cs="宋体"/>
          <w:color w:val="000000"/>
          <w:sz w:val="24"/>
          <w:szCs w:val="24"/>
          <w:u w:val="single"/>
        </w:rPr>
        <w:t xml:space="preserve">       （</w:t>
      </w:r>
      <w:r>
        <w:rPr>
          <w:rFonts w:hint="eastAsia" w:ascii="宋体" w:hAnsi="宋体" w:cs="宋体"/>
          <w:color w:val="000000"/>
          <w:sz w:val="24"/>
          <w:szCs w:val="24"/>
          <w:u w:val="single"/>
          <w:lang w:eastAsia="zh-CN"/>
        </w:rPr>
        <w:t>竞选人</w:t>
      </w:r>
      <w:r>
        <w:rPr>
          <w:rFonts w:hint="eastAsia" w:ascii="宋体" w:hAnsi="宋体" w:cs="宋体"/>
          <w:color w:val="000000"/>
          <w:sz w:val="24"/>
          <w:szCs w:val="24"/>
          <w:u w:val="single"/>
        </w:rPr>
        <w:t xml:space="preserve">名称）         </w:t>
      </w:r>
      <w:r>
        <w:rPr>
          <w:rFonts w:hint="eastAsia" w:ascii="宋体" w:hAnsi="宋体" w:cs="宋体"/>
          <w:color w:val="000000"/>
          <w:sz w:val="24"/>
          <w:szCs w:val="24"/>
        </w:rPr>
        <w:t>郑重承诺：</w:t>
      </w:r>
    </w:p>
    <w:p w14:paraId="0813215A">
      <w:pPr>
        <w:shd w:val="clear" w:color="auto" w:fill="FFFFFF"/>
        <w:spacing w:line="53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1.我方具有良好的商业信誉和健全的财务会计制度，具有履行</w:t>
      </w:r>
      <w:r>
        <w:rPr>
          <w:rFonts w:hint="eastAsia" w:ascii="宋体" w:hAnsi="宋体" w:cs="宋体"/>
          <w:color w:val="000000"/>
          <w:sz w:val="24"/>
          <w:szCs w:val="24"/>
          <w:lang w:eastAsia="zh-CN"/>
        </w:rPr>
        <w:t>协议</w:t>
      </w:r>
      <w:r>
        <w:rPr>
          <w:rFonts w:hint="eastAsia" w:ascii="宋体" w:hAnsi="宋体" w:cs="宋体"/>
          <w:color w:val="000000"/>
          <w:sz w:val="24"/>
          <w:szCs w:val="24"/>
        </w:rPr>
        <w:t>所必需的设备和专业技术能力，具</w:t>
      </w:r>
      <w:r>
        <w:rPr>
          <w:rFonts w:hint="eastAsia" w:ascii="宋体" w:hAnsi="宋体" w:cs="宋体"/>
          <w:color w:val="000000"/>
          <w:sz w:val="24"/>
          <w:szCs w:val="24"/>
          <w:lang w:val="zh-CN"/>
        </w:rPr>
        <w:t>有依法缴纳税收和社会保障金的良好记录</w:t>
      </w:r>
      <w:r>
        <w:rPr>
          <w:rFonts w:hint="eastAsia" w:ascii="宋体" w:hAnsi="宋体" w:cs="宋体"/>
          <w:color w:val="000000"/>
          <w:sz w:val="24"/>
          <w:szCs w:val="24"/>
        </w:rPr>
        <w:t>，参加本项目</w:t>
      </w:r>
      <w:r>
        <w:rPr>
          <w:rFonts w:hint="eastAsia" w:ascii="宋体" w:hAnsi="宋体" w:cs="宋体"/>
          <w:color w:val="000000"/>
          <w:sz w:val="24"/>
          <w:szCs w:val="24"/>
          <w:lang w:eastAsia="zh-CN"/>
        </w:rPr>
        <w:t>竞选</w:t>
      </w:r>
      <w:r>
        <w:rPr>
          <w:rFonts w:hint="eastAsia" w:ascii="宋体" w:hAnsi="宋体" w:cs="宋体"/>
          <w:color w:val="000000"/>
          <w:sz w:val="24"/>
          <w:szCs w:val="24"/>
        </w:rPr>
        <w:t>活动前三年内无重大违法活动记录。</w:t>
      </w:r>
    </w:p>
    <w:p w14:paraId="3DA479B4">
      <w:pPr>
        <w:shd w:val="clear" w:color="auto" w:fill="FFFFFF"/>
        <w:spacing w:line="530" w:lineRule="exact"/>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rPr>
        <w:t>2.我方未列入在信用中国网站（www.creditchina.gov.cn）“失信被执行人”、“重大税收违法案</w:t>
      </w:r>
      <w:r>
        <w:rPr>
          <w:rFonts w:hint="eastAsia" w:ascii="宋体" w:hAnsi="宋体" w:cs="宋体"/>
          <w:color w:val="000000"/>
          <w:sz w:val="24"/>
          <w:szCs w:val="24"/>
          <w:highlight w:val="none"/>
        </w:rPr>
        <w:t>件当事人名单”中，也未列入中国政府</w:t>
      </w:r>
      <w:r>
        <w:rPr>
          <w:rFonts w:hint="eastAsia" w:ascii="宋体" w:hAnsi="宋体" w:cs="宋体"/>
          <w:color w:val="000000"/>
          <w:sz w:val="24"/>
          <w:szCs w:val="24"/>
          <w:highlight w:val="none"/>
          <w:lang w:eastAsia="zh-CN"/>
        </w:rPr>
        <w:t>采购</w:t>
      </w:r>
      <w:r>
        <w:rPr>
          <w:rFonts w:hint="eastAsia" w:ascii="宋体" w:hAnsi="宋体" w:cs="宋体"/>
          <w:color w:val="000000"/>
          <w:sz w:val="24"/>
          <w:szCs w:val="24"/>
          <w:highlight w:val="none"/>
        </w:rPr>
        <w:t>网（www.ccgp.gov.cn）“政府</w:t>
      </w:r>
      <w:r>
        <w:rPr>
          <w:rFonts w:hint="eastAsia" w:ascii="宋体" w:hAnsi="宋体" w:cs="宋体"/>
          <w:color w:val="000000"/>
          <w:sz w:val="24"/>
          <w:szCs w:val="24"/>
          <w:highlight w:val="none"/>
          <w:lang w:eastAsia="zh-CN"/>
        </w:rPr>
        <w:t>采购</w:t>
      </w:r>
      <w:r>
        <w:rPr>
          <w:rFonts w:hint="eastAsia" w:ascii="宋体" w:hAnsi="宋体" w:cs="宋体"/>
          <w:color w:val="000000"/>
          <w:sz w:val="24"/>
          <w:szCs w:val="24"/>
          <w:highlight w:val="none"/>
        </w:rPr>
        <w:t>严重违法失信行为记录名单”中。</w:t>
      </w:r>
    </w:p>
    <w:p w14:paraId="19DABCAC">
      <w:pPr>
        <w:shd w:val="clear" w:color="auto" w:fill="FFFFFF"/>
        <w:spacing w:line="530" w:lineRule="exact"/>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3.我方在</w:t>
      </w:r>
      <w:r>
        <w:rPr>
          <w:rFonts w:hint="eastAsia" w:ascii="宋体" w:hAnsi="宋体" w:cs="宋体"/>
          <w:color w:val="000000"/>
          <w:sz w:val="24"/>
          <w:szCs w:val="24"/>
          <w:highlight w:val="none"/>
          <w:lang w:eastAsia="zh-CN"/>
        </w:rPr>
        <w:t>竞选</w:t>
      </w:r>
      <w:r>
        <w:rPr>
          <w:rFonts w:hint="eastAsia" w:ascii="宋体" w:hAnsi="宋体" w:cs="宋体"/>
          <w:color w:val="000000"/>
          <w:sz w:val="24"/>
          <w:szCs w:val="24"/>
          <w:highlight w:val="none"/>
        </w:rPr>
        <w:t>项目评审环节结束后，随时接受</w:t>
      </w:r>
      <w:r>
        <w:rPr>
          <w:rFonts w:hint="eastAsia" w:ascii="宋体" w:hAnsi="宋体" w:cs="宋体"/>
          <w:color w:val="000000"/>
          <w:sz w:val="24"/>
          <w:szCs w:val="24"/>
          <w:highlight w:val="none"/>
          <w:lang w:eastAsia="zh-CN"/>
        </w:rPr>
        <w:t>竞选组织人</w:t>
      </w:r>
      <w:r>
        <w:rPr>
          <w:rFonts w:hint="eastAsia" w:ascii="宋体" w:hAnsi="宋体" w:cs="宋体"/>
          <w:color w:val="000000"/>
          <w:sz w:val="24"/>
          <w:szCs w:val="24"/>
          <w:highlight w:val="none"/>
        </w:rPr>
        <w:t>的检查验证，配合提供相关证明材料，证明符合</w:t>
      </w:r>
      <w:r>
        <w:rPr>
          <w:rFonts w:hint="eastAsia" w:ascii="宋体" w:hAnsi="宋体" w:cs="宋体"/>
          <w:color w:val="000000"/>
          <w:sz w:val="24"/>
          <w:szCs w:val="24"/>
          <w:highlight w:val="none"/>
          <w:lang w:eastAsia="zh-CN"/>
        </w:rPr>
        <w:t>竞选文件</w:t>
      </w:r>
      <w:r>
        <w:rPr>
          <w:rFonts w:hint="eastAsia" w:ascii="宋体" w:hAnsi="宋体" w:cs="宋体"/>
          <w:color w:val="000000"/>
          <w:sz w:val="24"/>
          <w:szCs w:val="24"/>
          <w:highlight w:val="none"/>
        </w:rPr>
        <w:t>规定的</w:t>
      </w:r>
      <w:r>
        <w:rPr>
          <w:rFonts w:hint="eastAsia" w:ascii="宋体" w:hAnsi="宋体" w:cs="宋体"/>
          <w:color w:val="000000"/>
          <w:sz w:val="24"/>
          <w:szCs w:val="24"/>
          <w:highlight w:val="none"/>
          <w:lang w:eastAsia="zh-CN"/>
        </w:rPr>
        <w:t>竞选人</w:t>
      </w:r>
      <w:r>
        <w:rPr>
          <w:rFonts w:hint="eastAsia" w:ascii="宋体" w:hAnsi="宋体" w:cs="宋体"/>
          <w:color w:val="000000"/>
          <w:sz w:val="24"/>
          <w:szCs w:val="24"/>
          <w:highlight w:val="none"/>
        </w:rPr>
        <w:t>基本资格条件。</w:t>
      </w:r>
    </w:p>
    <w:p w14:paraId="714038F5">
      <w:pPr>
        <w:shd w:val="clear" w:color="auto" w:fill="FFFFFF"/>
        <w:tabs>
          <w:tab w:val="left" w:pos="6300"/>
        </w:tabs>
        <w:snapToGrid w:val="0"/>
        <w:spacing w:line="530" w:lineRule="exact"/>
        <w:ind w:firstLine="480" w:firstLineChars="200"/>
        <w:rPr>
          <w:rFonts w:hint="eastAsia" w:ascii="宋体" w:hAnsi="宋体" w:cs="宋体"/>
          <w:color w:val="000000"/>
          <w:sz w:val="24"/>
          <w:szCs w:val="24"/>
          <w:highlight w:val="none"/>
        </w:rPr>
      </w:pPr>
      <w:r>
        <w:rPr>
          <w:rFonts w:hint="eastAsia" w:ascii="宋体" w:hAnsi="宋体" w:cs="宋体"/>
          <w:color w:val="000000"/>
          <w:sz w:val="24"/>
          <w:szCs w:val="24"/>
          <w:highlight w:val="none"/>
        </w:rPr>
        <w:t>我方对以上承诺负全部法律责任。</w:t>
      </w:r>
    </w:p>
    <w:p w14:paraId="6737125E">
      <w:pPr>
        <w:shd w:val="clear" w:color="auto" w:fill="FFFFFF"/>
        <w:tabs>
          <w:tab w:val="left" w:pos="6300"/>
        </w:tabs>
        <w:snapToGrid w:val="0"/>
        <w:spacing w:line="53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特此承诺。</w:t>
      </w:r>
    </w:p>
    <w:p w14:paraId="5DDD2C34">
      <w:pPr>
        <w:shd w:val="clear" w:color="auto" w:fill="FFFFFF"/>
        <w:tabs>
          <w:tab w:val="left" w:pos="6300"/>
        </w:tabs>
        <w:snapToGrid w:val="0"/>
        <w:spacing w:line="530" w:lineRule="exact"/>
        <w:rPr>
          <w:rFonts w:hint="eastAsia" w:ascii="宋体" w:hAnsi="宋体" w:cs="宋体"/>
          <w:color w:val="000000"/>
          <w:sz w:val="24"/>
          <w:szCs w:val="24"/>
        </w:rPr>
      </w:pPr>
    </w:p>
    <w:p w14:paraId="478F3443">
      <w:pPr>
        <w:shd w:val="clear" w:color="auto" w:fill="FFFFFF"/>
        <w:tabs>
          <w:tab w:val="left" w:pos="6300"/>
        </w:tabs>
        <w:snapToGrid w:val="0"/>
        <w:spacing w:line="530" w:lineRule="exact"/>
        <w:ind w:right="424" w:firstLine="570"/>
        <w:jc w:val="right"/>
        <w:rPr>
          <w:rFonts w:hint="eastAsia" w:ascii="宋体" w:hAnsi="宋体" w:cs="宋体"/>
          <w:color w:val="000000"/>
          <w:sz w:val="24"/>
          <w:szCs w:val="24"/>
        </w:rPr>
      </w:pPr>
      <w:r>
        <w:rPr>
          <w:rFonts w:hint="eastAsia" w:ascii="宋体" w:hAnsi="宋体" w:cs="宋体"/>
          <w:color w:val="000000"/>
          <w:sz w:val="24"/>
          <w:szCs w:val="24"/>
        </w:rPr>
        <w:t>（</w:t>
      </w:r>
      <w:r>
        <w:rPr>
          <w:rFonts w:hint="eastAsia" w:ascii="宋体" w:hAnsi="宋体" w:cs="宋体"/>
          <w:color w:val="000000"/>
          <w:sz w:val="24"/>
          <w:szCs w:val="24"/>
          <w:lang w:eastAsia="zh-CN"/>
        </w:rPr>
        <w:t>竞选人</w:t>
      </w:r>
      <w:r>
        <w:rPr>
          <w:rFonts w:hint="eastAsia" w:ascii="宋体" w:hAnsi="宋体" w:cs="宋体"/>
          <w:color w:val="000000"/>
          <w:sz w:val="24"/>
          <w:szCs w:val="24"/>
        </w:rPr>
        <w:t>公章）</w:t>
      </w:r>
    </w:p>
    <w:p w14:paraId="52FC96A8">
      <w:pPr>
        <w:shd w:val="clear" w:color="auto" w:fill="FFFFFF"/>
        <w:tabs>
          <w:tab w:val="left" w:pos="6300"/>
        </w:tabs>
        <w:snapToGrid w:val="0"/>
        <w:spacing w:line="500" w:lineRule="exact"/>
        <w:ind w:firstLine="570"/>
        <w:jc w:val="right"/>
        <w:rPr>
          <w:rFonts w:hint="eastAsia" w:ascii="宋体" w:hAnsi="宋体"/>
          <w:color w:val="000000"/>
          <w:sz w:val="24"/>
        </w:rPr>
      </w:pPr>
      <w:r>
        <w:rPr>
          <w:rFonts w:hint="eastAsia" w:ascii="宋体" w:hAnsi="宋体" w:cs="宋体"/>
          <w:color w:val="000000"/>
          <w:sz w:val="24"/>
          <w:szCs w:val="24"/>
        </w:rPr>
        <w:t>年   月   日</w:t>
      </w:r>
    </w:p>
    <w:p w14:paraId="606569C1">
      <w:pPr>
        <w:shd w:val="clear" w:color="auto" w:fill="FFFFFF"/>
        <w:tabs>
          <w:tab w:val="left" w:pos="6300"/>
        </w:tabs>
        <w:snapToGrid w:val="0"/>
        <w:spacing w:line="500" w:lineRule="exact"/>
        <w:ind w:firstLine="570"/>
        <w:rPr>
          <w:rFonts w:hint="eastAsia" w:ascii="宋体" w:hAnsi="宋体"/>
          <w:color w:val="000000"/>
        </w:rPr>
      </w:pPr>
    </w:p>
    <w:p w14:paraId="360635CF">
      <w:pPr>
        <w:shd w:val="clear" w:color="auto" w:fill="FFFFFF"/>
        <w:tabs>
          <w:tab w:val="left" w:pos="6300"/>
        </w:tabs>
        <w:snapToGrid w:val="0"/>
        <w:spacing w:line="500" w:lineRule="exact"/>
        <w:ind w:firstLine="570"/>
        <w:rPr>
          <w:rFonts w:hint="eastAsia" w:ascii="宋体" w:hAnsi="宋体"/>
          <w:color w:val="000000"/>
        </w:rPr>
      </w:pPr>
    </w:p>
    <w:p w14:paraId="55244420">
      <w:pPr>
        <w:shd w:val="clear" w:color="auto" w:fill="FFFFFF"/>
        <w:snapToGrid w:val="0"/>
        <w:spacing w:line="400" w:lineRule="exact"/>
        <w:rPr>
          <w:rFonts w:hint="eastAsia" w:ascii="宋体" w:hAnsi="宋体"/>
          <w:color w:val="000000"/>
          <w:sz w:val="24"/>
          <w:szCs w:val="24"/>
        </w:rPr>
      </w:pPr>
      <w:r>
        <w:rPr>
          <w:rFonts w:ascii="宋体" w:hAnsi="宋体"/>
          <w:color w:val="000000"/>
        </w:rPr>
        <w:br w:type="page"/>
      </w:r>
      <w:bookmarkStart w:id="107" w:name="_Toc136885392"/>
      <w:bookmarkStart w:id="108" w:name="_Toc136884801"/>
      <w:r>
        <w:rPr>
          <w:rFonts w:hint="eastAsia" w:ascii="宋体" w:hAnsi="宋体"/>
          <w:color w:val="000000"/>
        </w:rPr>
        <w:t>（三）</w:t>
      </w:r>
      <w:r>
        <w:rPr>
          <w:rFonts w:hint="eastAsia" w:ascii="宋体" w:hAnsi="宋体"/>
          <w:color w:val="000000"/>
          <w:lang w:eastAsia="zh-CN"/>
        </w:rPr>
        <w:t>竞选人</w:t>
      </w:r>
      <w:r>
        <w:rPr>
          <w:rFonts w:hint="eastAsia" w:ascii="宋体" w:hAnsi="宋体"/>
          <w:color w:val="000000"/>
        </w:rPr>
        <w:t>法定代表人身份证明</w:t>
      </w:r>
    </w:p>
    <w:p w14:paraId="1C19E49C">
      <w:pPr>
        <w:widowControl/>
        <w:shd w:val="clear" w:color="auto" w:fill="FFFFFF"/>
        <w:jc w:val="left"/>
        <w:rPr>
          <w:rFonts w:hint="eastAsia" w:ascii="宋体" w:hAnsi="宋体"/>
          <w:color w:val="000000"/>
        </w:rPr>
      </w:pPr>
    </w:p>
    <w:p w14:paraId="5370A15F">
      <w:pPr>
        <w:shd w:val="clear" w:color="auto" w:fill="FFFFFF"/>
        <w:tabs>
          <w:tab w:val="left" w:pos="6300"/>
        </w:tabs>
        <w:snapToGrid w:val="0"/>
        <w:spacing w:line="500" w:lineRule="exact"/>
        <w:rPr>
          <w:rFonts w:hint="eastAsia" w:ascii="宋体" w:hAnsi="宋体"/>
          <w:color w:val="000000"/>
          <w:sz w:val="24"/>
        </w:rPr>
      </w:pPr>
    </w:p>
    <w:p w14:paraId="6C4312A5">
      <w:pPr>
        <w:shd w:val="clear" w:color="auto" w:fill="FFFFFF"/>
        <w:spacing w:line="530" w:lineRule="exact"/>
        <w:ind w:firstLine="723" w:firstLineChars="200"/>
        <w:jc w:val="center"/>
        <w:outlineLvl w:val="0"/>
        <w:rPr>
          <w:rFonts w:hint="eastAsia" w:ascii="宋体" w:hAnsi="宋体"/>
          <w:color w:val="000000"/>
          <w:sz w:val="24"/>
        </w:rPr>
      </w:pPr>
      <w:r>
        <w:rPr>
          <w:rFonts w:hint="eastAsia" w:ascii="宋体" w:hAnsi="宋体" w:cs="宋体"/>
          <w:b/>
          <w:bCs/>
          <w:color w:val="000000"/>
          <w:sz w:val="36"/>
          <w:szCs w:val="36"/>
          <w:lang w:eastAsia="zh-CN"/>
        </w:rPr>
        <w:t>竞选人</w:t>
      </w:r>
      <w:r>
        <w:rPr>
          <w:rFonts w:hint="eastAsia" w:ascii="宋体" w:hAnsi="宋体" w:cs="宋体"/>
          <w:b/>
          <w:bCs/>
          <w:color w:val="000000"/>
          <w:sz w:val="36"/>
          <w:szCs w:val="36"/>
        </w:rPr>
        <w:t>法定代表人身份证明</w:t>
      </w:r>
    </w:p>
    <w:p w14:paraId="41774868">
      <w:pPr>
        <w:shd w:val="clear" w:color="auto" w:fill="FFFFFF"/>
        <w:tabs>
          <w:tab w:val="left" w:pos="6300"/>
        </w:tabs>
        <w:snapToGrid w:val="0"/>
        <w:spacing w:line="500" w:lineRule="exact"/>
        <w:ind w:firstLine="570"/>
        <w:rPr>
          <w:rFonts w:hint="eastAsia" w:ascii="宋体" w:hAnsi="宋体"/>
          <w:color w:val="000000"/>
          <w:sz w:val="24"/>
        </w:rPr>
      </w:pPr>
    </w:p>
    <w:p w14:paraId="71AC1EFF">
      <w:pPr>
        <w:shd w:val="clear" w:color="auto" w:fill="FFFFFF"/>
        <w:tabs>
          <w:tab w:val="left" w:pos="6300"/>
        </w:tabs>
        <w:snapToGrid w:val="0"/>
        <w:spacing w:line="500" w:lineRule="exact"/>
        <w:ind w:firstLine="570"/>
        <w:rPr>
          <w:rFonts w:hint="eastAsia" w:ascii="宋体" w:hAnsi="宋体"/>
          <w:color w:val="000000"/>
          <w:sz w:val="24"/>
        </w:rPr>
      </w:pPr>
      <w:r>
        <w:rPr>
          <w:rFonts w:hint="eastAsia" w:ascii="宋体" w:hAnsi="宋体"/>
          <w:color w:val="000000"/>
          <w:sz w:val="24"/>
        </w:rPr>
        <w:t>项目名称：</w:t>
      </w:r>
      <w:r>
        <w:rPr>
          <w:rFonts w:hint="eastAsia" w:ascii="宋体" w:hAnsi="宋体"/>
          <w:color w:val="000000"/>
          <w:sz w:val="24"/>
          <w:u w:val="single"/>
        </w:rPr>
        <w:t xml:space="preserve">                                                </w:t>
      </w:r>
    </w:p>
    <w:p w14:paraId="71BAD911">
      <w:pPr>
        <w:shd w:val="clear" w:color="auto" w:fill="FFFFFF"/>
        <w:tabs>
          <w:tab w:val="left" w:pos="6300"/>
        </w:tabs>
        <w:snapToGrid w:val="0"/>
        <w:spacing w:line="500" w:lineRule="exact"/>
        <w:ind w:firstLine="570"/>
        <w:rPr>
          <w:rFonts w:hint="eastAsia" w:ascii="宋体" w:hAnsi="宋体"/>
          <w:color w:val="000000"/>
          <w:sz w:val="24"/>
        </w:rPr>
      </w:pPr>
    </w:p>
    <w:p w14:paraId="3523C4A9">
      <w:pPr>
        <w:shd w:val="clear" w:color="auto" w:fill="FFFFFF"/>
        <w:tabs>
          <w:tab w:val="left" w:pos="6300"/>
        </w:tabs>
        <w:snapToGrid w:val="0"/>
        <w:spacing w:line="500" w:lineRule="exact"/>
        <w:rPr>
          <w:rFonts w:hint="eastAsia" w:ascii="宋体" w:hAnsi="宋体" w:eastAsia="宋体"/>
          <w:color w:val="000000"/>
          <w:sz w:val="24"/>
          <w:lang w:eastAsia="zh-CN"/>
        </w:rPr>
      </w:pPr>
      <w:r>
        <w:rPr>
          <w:rFonts w:hint="eastAsia" w:ascii="宋体" w:hAnsi="宋体"/>
          <w:color w:val="000000"/>
          <w:sz w:val="24"/>
        </w:rPr>
        <w:t>致：</w:t>
      </w:r>
      <w:r>
        <w:rPr>
          <w:rFonts w:hint="eastAsia" w:ascii="宋体" w:hAnsi="宋体"/>
          <w:color w:val="000000"/>
          <w:sz w:val="24"/>
          <w:szCs w:val="28"/>
          <w:u w:val="single"/>
          <w:lang w:eastAsia="zh-CN"/>
        </w:rPr>
        <w:t>重庆方郡建设工程咨询有限公司</w:t>
      </w:r>
    </w:p>
    <w:p w14:paraId="13121C08">
      <w:pPr>
        <w:shd w:val="clear" w:color="auto" w:fill="FFFFFF"/>
        <w:tabs>
          <w:tab w:val="left" w:pos="6300"/>
        </w:tabs>
        <w:snapToGrid w:val="0"/>
        <w:spacing w:line="500" w:lineRule="exact"/>
        <w:ind w:firstLine="570"/>
        <w:rPr>
          <w:rFonts w:hint="eastAsia" w:ascii="宋体" w:hAnsi="宋体"/>
          <w:color w:val="000000"/>
          <w:sz w:val="24"/>
        </w:rPr>
      </w:pPr>
      <w:r>
        <w:rPr>
          <w:rFonts w:hint="eastAsia" w:ascii="宋体" w:hAnsi="宋体"/>
          <w:color w:val="000000"/>
          <w:sz w:val="24"/>
          <w:u w:val="single"/>
        </w:rPr>
        <w:t>（法定代表人姓名）</w:t>
      </w:r>
      <w:r>
        <w:rPr>
          <w:rFonts w:hint="eastAsia" w:ascii="宋体" w:hAnsi="宋体"/>
          <w:color w:val="000000"/>
          <w:sz w:val="24"/>
        </w:rPr>
        <w:t>在</w:t>
      </w:r>
      <w:r>
        <w:rPr>
          <w:rFonts w:hint="eastAsia" w:ascii="宋体" w:hAnsi="宋体"/>
          <w:color w:val="000000"/>
          <w:sz w:val="24"/>
          <w:u w:val="single"/>
        </w:rPr>
        <w:t xml:space="preserve">  （</w:t>
      </w:r>
      <w:r>
        <w:rPr>
          <w:rFonts w:hint="eastAsia" w:ascii="宋体" w:hAnsi="宋体"/>
          <w:color w:val="000000"/>
          <w:sz w:val="24"/>
          <w:u w:val="single"/>
          <w:lang w:eastAsia="zh-CN"/>
        </w:rPr>
        <w:t>竞选人</w:t>
      </w:r>
      <w:r>
        <w:rPr>
          <w:rFonts w:hint="eastAsia" w:ascii="宋体" w:hAnsi="宋体"/>
          <w:color w:val="000000"/>
          <w:sz w:val="24"/>
          <w:u w:val="single"/>
        </w:rPr>
        <w:t>名称）</w:t>
      </w:r>
      <w:r>
        <w:rPr>
          <w:rFonts w:hint="eastAsia" w:ascii="宋体" w:hAnsi="宋体"/>
          <w:color w:val="000000"/>
          <w:sz w:val="24"/>
        </w:rPr>
        <w:t>任</w:t>
      </w:r>
      <w:r>
        <w:rPr>
          <w:rFonts w:hint="eastAsia" w:ascii="宋体" w:hAnsi="宋体"/>
          <w:color w:val="000000"/>
          <w:sz w:val="24"/>
          <w:u w:val="single"/>
        </w:rPr>
        <w:t xml:space="preserve">    （职务名称）</w:t>
      </w:r>
      <w:r>
        <w:rPr>
          <w:rFonts w:hint="eastAsia" w:ascii="宋体" w:hAnsi="宋体"/>
          <w:color w:val="000000"/>
          <w:sz w:val="24"/>
        </w:rPr>
        <w:t>职务，是</w:t>
      </w:r>
      <w:r>
        <w:rPr>
          <w:rFonts w:hint="eastAsia" w:ascii="宋体" w:hAnsi="宋体"/>
          <w:color w:val="000000"/>
          <w:sz w:val="24"/>
          <w:u w:val="single"/>
        </w:rPr>
        <w:t>（</w:t>
      </w:r>
      <w:r>
        <w:rPr>
          <w:rFonts w:hint="eastAsia" w:ascii="宋体" w:hAnsi="宋体"/>
          <w:color w:val="000000"/>
          <w:sz w:val="24"/>
          <w:u w:val="single"/>
          <w:lang w:eastAsia="zh-CN"/>
        </w:rPr>
        <w:t>竞选人</w:t>
      </w:r>
      <w:r>
        <w:rPr>
          <w:rFonts w:hint="eastAsia" w:ascii="宋体" w:hAnsi="宋体"/>
          <w:color w:val="000000"/>
          <w:sz w:val="24"/>
          <w:u w:val="single"/>
        </w:rPr>
        <w:t xml:space="preserve">名称）   </w:t>
      </w:r>
      <w:r>
        <w:rPr>
          <w:rFonts w:hint="eastAsia" w:ascii="宋体" w:hAnsi="宋体"/>
          <w:color w:val="000000"/>
          <w:sz w:val="24"/>
        </w:rPr>
        <w:t>的</w:t>
      </w:r>
      <w:r>
        <w:rPr>
          <w:rFonts w:hint="eastAsia" w:ascii="宋体" w:hAnsi="宋体"/>
          <w:color w:val="000000"/>
          <w:sz w:val="24"/>
          <w:u w:val="single"/>
        </w:rPr>
        <w:t>法定代表人</w:t>
      </w:r>
      <w:r>
        <w:rPr>
          <w:rFonts w:hint="eastAsia" w:ascii="宋体" w:hAnsi="宋体"/>
          <w:color w:val="000000"/>
          <w:sz w:val="24"/>
        </w:rPr>
        <w:t>。</w:t>
      </w:r>
    </w:p>
    <w:p w14:paraId="342A3209">
      <w:pPr>
        <w:shd w:val="clear" w:color="auto" w:fill="FFFFFF"/>
        <w:tabs>
          <w:tab w:val="left" w:pos="6300"/>
        </w:tabs>
        <w:snapToGrid w:val="0"/>
        <w:spacing w:line="500" w:lineRule="exact"/>
        <w:ind w:firstLine="570"/>
        <w:rPr>
          <w:rFonts w:hint="eastAsia" w:ascii="宋体" w:hAnsi="宋体"/>
          <w:color w:val="000000"/>
          <w:sz w:val="24"/>
        </w:rPr>
      </w:pPr>
    </w:p>
    <w:p w14:paraId="07E0BB03">
      <w:pPr>
        <w:shd w:val="clear" w:color="auto" w:fill="FFFFFF"/>
        <w:tabs>
          <w:tab w:val="left" w:pos="6300"/>
        </w:tabs>
        <w:snapToGrid w:val="0"/>
        <w:spacing w:line="500" w:lineRule="exact"/>
        <w:ind w:firstLine="570"/>
        <w:rPr>
          <w:rFonts w:hint="eastAsia" w:ascii="宋体" w:hAnsi="宋体"/>
          <w:color w:val="000000"/>
          <w:sz w:val="24"/>
        </w:rPr>
      </w:pPr>
      <w:r>
        <w:rPr>
          <w:rFonts w:hint="eastAsia" w:ascii="宋体" w:hAnsi="宋体"/>
          <w:color w:val="000000"/>
          <w:sz w:val="24"/>
        </w:rPr>
        <w:t>特此证明。</w:t>
      </w:r>
    </w:p>
    <w:p w14:paraId="3BDD30E6">
      <w:pPr>
        <w:shd w:val="clear" w:color="auto" w:fill="FFFFFF"/>
        <w:tabs>
          <w:tab w:val="left" w:pos="6300"/>
        </w:tabs>
        <w:snapToGrid w:val="0"/>
        <w:spacing w:line="500" w:lineRule="exact"/>
        <w:ind w:firstLine="570"/>
        <w:rPr>
          <w:rFonts w:hint="eastAsia" w:ascii="宋体" w:hAnsi="宋体"/>
          <w:color w:val="000000"/>
          <w:sz w:val="24"/>
        </w:rPr>
      </w:pPr>
    </w:p>
    <w:p w14:paraId="5C401DA2">
      <w:pPr>
        <w:shd w:val="clear" w:color="auto" w:fill="FFFFFF"/>
        <w:tabs>
          <w:tab w:val="left" w:pos="6300"/>
        </w:tabs>
        <w:snapToGrid w:val="0"/>
        <w:spacing w:line="500" w:lineRule="exact"/>
        <w:ind w:firstLine="570"/>
        <w:rPr>
          <w:rFonts w:hint="eastAsia" w:ascii="宋体" w:hAnsi="宋体"/>
          <w:color w:val="000000"/>
          <w:sz w:val="24"/>
        </w:rPr>
      </w:pPr>
      <w:r>
        <w:rPr>
          <w:rFonts w:hint="eastAsia" w:ascii="宋体" w:hAnsi="宋体"/>
          <w:color w:val="000000"/>
          <w:sz w:val="24"/>
        </w:rPr>
        <w:t xml:space="preserve">                                             （</w:t>
      </w:r>
      <w:r>
        <w:rPr>
          <w:rFonts w:hint="eastAsia" w:ascii="宋体" w:hAnsi="宋体"/>
          <w:color w:val="000000"/>
          <w:sz w:val="24"/>
          <w:lang w:eastAsia="zh-CN"/>
        </w:rPr>
        <w:t>竞选人</w:t>
      </w:r>
      <w:r>
        <w:rPr>
          <w:rFonts w:hint="eastAsia" w:ascii="宋体" w:hAnsi="宋体"/>
          <w:color w:val="000000"/>
          <w:sz w:val="24"/>
        </w:rPr>
        <w:t>公章）</w:t>
      </w:r>
    </w:p>
    <w:p w14:paraId="60650AE5">
      <w:pPr>
        <w:shd w:val="clear" w:color="auto" w:fill="FFFFFF"/>
        <w:tabs>
          <w:tab w:val="left" w:pos="6300"/>
        </w:tabs>
        <w:snapToGrid w:val="0"/>
        <w:spacing w:line="500" w:lineRule="exact"/>
        <w:ind w:firstLine="570"/>
        <w:rPr>
          <w:rFonts w:hint="eastAsia" w:ascii="宋体" w:hAnsi="宋体"/>
          <w:color w:val="000000"/>
          <w:sz w:val="24"/>
        </w:rPr>
      </w:pPr>
    </w:p>
    <w:p w14:paraId="05D12CF2">
      <w:pPr>
        <w:shd w:val="clear" w:color="auto" w:fill="FFFFFF"/>
        <w:tabs>
          <w:tab w:val="left" w:pos="6300"/>
        </w:tabs>
        <w:snapToGrid w:val="0"/>
        <w:spacing w:line="500" w:lineRule="exact"/>
        <w:ind w:firstLine="570"/>
        <w:rPr>
          <w:rFonts w:hint="eastAsia" w:ascii="宋体" w:hAnsi="宋体"/>
          <w:color w:val="000000"/>
          <w:sz w:val="24"/>
        </w:rPr>
      </w:pPr>
      <w:r>
        <w:rPr>
          <w:rFonts w:hint="eastAsia" w:ascii="宋体" w:hAnsi="宋体"/>
          <w:color w:val="000000"/>
          <w:sz w:val="24"/>
        </w:rPr>
        <w:t xml:space="preserve">                                             年   月   日</w:t>
      </w:r>
    </w:p>
    <w:p w14:paraId="5A1F35F1">
      <w:pPr>
        <w:shd w:val="clear" w:color="auto" w:fill="FFFFFF"/>
        <w:tabs>
          <w:tab w:val="left" w:pos="6300"/>
        </w:tabs>
        <w:snapToGrid w:val="0"/>
        <w:spacing w:line="500" w:lineRule="exact"/>
        <w:ind w:firstLine="570"/>
        <w:rPr>
          <w:rFonts w:hint="eastAsia" w:ascii="宋体" w:hAnsi="宋体"/>
          <w:color w:val="000000"/>
          <w:sz w:val="24"/>
        </w:rPr>
      </w:pPr>
    </w:p>
    <w:p w14:paraId="7BB241AB">
      <w:pPr>
        <w:shd w:val="clear" w:color="auto" w:fill="FFFFFF"/>
        <w:tabs>
          <w:tab w:val="left" w:pos="6300"/>
        </w:tabs>
        <w:snapToGrid w:val="0"/>
        <w:spacing w:line="500" w:lineRule="exact"/>
        <w:rPr>
          <w:rFonts w:hint="eastAsia" w:ascii="宋体" w:hAnsi="宋体"/>
          <w:color w:val="000000"/>
          <w:sz w:val="24"/>
        </w:rPr>
      </w:pPr>
      <w:r>
        <w:rPr>
          <w:rFonts w:hint="eastAsia" w:ascii="宋体" w:hAnsi="宋体"/>
          <w:color w:val="000000"/>
          <w:sz w:val="24"/>
          <w:u w:val="none"/>
        </w:rPr>
        <w:t>法定代表人</w:t>
      </w:r>
      <w:r>
        <w:rPr>
          <w:rFonts w:hint="eastAsia" w:ascii="宋体" w:hAnsi="宋体"/>
          <w:color w:val="000000"/>
          <w:sz w:val="24"/>
        </w:rPr>
        <w:t>电话：XXXXXXX     电子邮箱：XXXXXX@XXXXX（若授权他人办理并签署响应文件的，电子邮箱可不填写）</w:t>
      </w:r>
    </w:p>
    <w:p w14:paraId="2E469BD1">
      <w:pPr>
        <w:shd w:val="clear" w:color="auto" w:fill="FFFFFF"/>
        <w:tabs>
          <w:tab w:val="left" w:pos="6300"/>
        </w:tabs>
        <w:snapToGrid w:val="0"/>
        <w:spacing w:line="500" w:lineRule="exact"/>
        <w:ind w:firstLine="570"/>
        <w:rPr>
          <w:rFonts w:hint="eastAsia" w:ascii="宋体" w:hAnsi="宋体"/>
          <w:color w:val="000000"/>
          <w:sz w:val="24"/>
        </w:rPr>
      </w:pPr>
    </w:p>
    <w:p w14:paraId="476BDEB3">
      <w:pPr>
        <w:shd w:val="clear" w:color="auto" w:fill="FFFFFF"/>
        <w:tabs>
          <w:tab w:val="left" w:pos="6300"/>
        </w:tabs>
        <w:snapToGrid w:val="0"/>
        <w:spacing w:line="500" w:lineRule="exact"/>
        <w:ind w:firstLine="570"/>
        <w:rPr>
          <w:rFonts w:hint="eastAsia" w:ascii="宋体" w:hAnsi="宋体"/>
          <w:color w:val="000000"/>
          <w:sz w:val="24"/>
        </w:rPr>
      </w:pPr>
      <w:r>
        <w:rPr>
          <w:rFonts w:hint="eastAsia" w:ascii="宋体" w:hAnsi="宋体"/>
          <w:color w:val="000000"/>
          <w:sz w:val="24"/>
        </w:rPr>
        <w:t>（附：</w:t>
      </w:r>
      <w:r>
        <w:rPr>
          <w:rFonts w:hint="eastAsia" w:ascii="宋体" w:hAnsi="宋体"/>
          <w:color w:val="000000"/>
          <w:sz w:val="24"/>
          <w:lang w:eastAsia="zh-CN"/>
        </w:rPr>
        <w:t>竞选人</w:t>
      </w:r>
      <w:r>
        <w:rPr>
          <w:rFonts w:hint="eastAsia" w:ascii="宋体" w:hAnsi="宋体"/>
          <w:color w:val="000000"/>
          <w:sz w:val="24"/>
          <w:u w:val="none"/>
        </w:rPr>
        <w:t>法定代表人身</w:t>
      </w:r>
      <w:r>
        <w:rPr>
          <w:rFonts w:hint="eastAsia" w:ascii="宋体" w:hAnsi="宋体"/>
          <w:color w:val="000000"/>
          <w:sz w:val="24"/>
        </w:rPr>
        <w:t>份证正反面）</w:t>
      </w:r>
    </w:p>
    <w:p w14:paraId="6EC4802E">
      <w:pPr>
        <w:shd w:val="clear" w:color="auto" w:fill="FFFFFF"/>
        <w:tabs>
          <w:tab w:val="left" w:pos="6300"/>
        </w:tabs>
        <w:snapToGrid w:val="0"/>
        <w:spacing w:line="500" w:lineRule="exact"/>
        <w:rPr>
          <w:rFonts w:hint="eastAsia" w:ascii="宋体" w:hAnsi="宋体"/>
          <w:color w:val="000000"/>
          <w:sz w:val="24"/>
        </w:rPr>
      </w:pPr>
    </w:p>
    <w:p w14:paraId="0174E781">
      <w:pPr>
        <w:shd w:val="clear" w:color="auto" w:fill="FFFFFF"/>
        <w:tabs>
          <w:tab w:val="left" w:pos="6300"/>
        </w:tabs>
        <w:snapToGrid w:val="0"/>
        <w:spacing w:line="500" w:lineRule="exact"/>
        <w:ind w:firstLine="570"/>
        <w:rPr>
          <w:rFonts w:hint="eastAsia" w:ascii="宋体" w:hAnsi="宋体"/>
          <w:color w:val="000000"/>
          <w:sz w:val="24"/>
        </w:rPr>
      </w:pPr>
    </w:p>
    <w:p w14:paraId="3220DCE3">
      <w:pPr>
        <w:widowControl/>
        <w:shd w:val="clear" w:color="auto" w:fill="FFFFFF"/>
        <w:jc w:val="left"/>
        <w:rPr>
          <w:rFonts w:hint="eastAsia" w:ascii="宋体" w:hAnsi="宋体"/>
          <w:color w:val="000000"/>
        </w:rPr>
      </w:pPr>
    </w:p>
    <w:p w14:paraId="5F46B4B8">
      <w:pPr>
        <w:widowControl/>
        <w:shd w:val="clear" w:color="auto" w:fill="FFFFFF"/>
        <w:jc w:val="left"/>
        <w:rPr>
          <w:rFonts w:hint="eastAsia" w:ascii="宋体" w:hAnsi="宋体"/>
          <w:color w:val="000000"/>
        </w:rPr>
      </w:pPr>
    </w:p>
    <w:p w14:paraId="4510ED2F">
      <w:pPr>
        <w:shd w:val="clear" w:color="auto" w:fill="FFFFFF"/>
        <w:snapToGrid w:val="0"/>
        <w:spacing w:line="400" w:lineRule="exact"/>
        <w:rPr>
          <w:rFonts w:hint="eastAsia" w:ascii="宋体" w:hAnsi="宋体"/>
          <w:color w:val="000000"/>
        </w:rPr>
      </w:pPr>
      <w:r>
        <w:rPr>
          <w:rFonts w:ascii="宋体" w:hAnsi="宋体"/>
          <w:color w:val="000000"/>
        </w:rPr>
        <w:br w:type="page"/>
      </w:r>
      <w:r>
        <w:rPr>
          <w:rFonts w:hint="eastAsia" w:ascii="宋体" w:hAnsi="宋体"/>
          <w:color w:val="000000"/>
        </w:rPr>
        <w:t xml:space="preserve"> （四）法定代表人授权代表委托书</w:t>
      </w:r>
    </w:p>
    <w:p w14:paraId="5A81B55F">
      <w:pPr>
        <w:shd w:val="clear" w:color="auto" w:fill="FFFFFF"/>
        <w:spacing w:line="530" w:lineRule="exact"/>
        <w:jc w:val="center"/>
        <w:outlineLvl w:val="0"/>
        <w:rPr>
          <w:rFonts w:hint="eastAsia" w:ascii="宋体" w:hAnsi="宋体" w:cs="宋体"/>
          <w:b/>
          <w:bCs/>
          <w:color w:val="000000"/>
          <w:sz w:val="36"/>
          <w:szCs w:val="36"/>
        </w:rPr>
      </w:pPr>
      <w:r>
        <w:rPr>
          <w:rFonts w:hint="eastAsia" w:ascii="宋体" w:hAnsi="宋体" w:cs="宋体"/>
          <w:b/>
          <w:bCs/>
          <w:color w:val="000000"/>
          <w:sz w:val="36"/>
          <w:szCs w:val="36"/>
          <w:lang w:eastAsia="zh-CN"/>
        </w:rPr>
        <w:t>竞选人</w:t>
      </w:r>
      <w:r>
        <w:rPr>
          <w:rFonts w:hint="eastAsia" w:ascii="宋体" w:hAnsi="宋体" w:cs="宋体"/>
          <w:b/>
          <w:bCs/>
          <w:color w:val="000000"/>
          <w:sz w:val="36"/>
          <w:szCs w:val="36"/>
        </w:rPr>
        <w:t>法定代表人授权委托书</w:t>
      </w:r>
    </w:p>
    <w:p w14:paraId="18730A54">
      <w:pPr>
        <w:shd w:val="clear" w:color="auto" w:fill="FFFFFF"/>
        <w:tabs>
          <w:tab w:val="left" w:pos="6300"/>
        </w:tabs>
        <w:snapToGrid w:val="0"/>
        <w:spacing w:line="500" w:lineRule="exact"/>
        <w:ind w:firstLine="570"/>
        <w:rPr>
          <w:rFonts w:hint="eastAsia" w:ascii="宋体" w:hAnsi="宋体"/>
          <w:color w:val="000000"/>
          <w:sz w:val="24"/>
        </w:rPr>
      </w:pPr>
    </w:p>
    <w:p w14:paraId="1EBD408A">
      <w:pPr>
        <w:shd w:val="clear" w:color="auto" w:fill="FFFFFF"/>
        <w:tabs>
          <w:tab w:val="left" w:pos="6300"/>
        </w:tabs>
        <w:snapToGrid w:val="0"/>
        <w:spacing w:line="500" w:lineRule="exact"/>
        <w:ind w:firstLine="480" w:firstLineChars="200"/>
        <w:rPr>
          <w:rFonts w:hint="eastAsia" w:ascii="宋体" w:hAnsi="宋体"/>
          <w:color w:val="000000"/>
          <w:sz w:val="24"/>
        </w:rPr>
      </w:pPr>
      <w:r>
        <w:rPr>
          <w:rFonts w:hint="eastAsia" w:ascii="宋体" w:hAnsi="宋体"/>
          <w:color w:val="000000"/>
          <w:sz w:val="24"/>
          <w:szCs w:val="28"/>
        </w:rPr>
        <w:t>项目名称</w:t>
      </w:r>
      <w:r>
        <w:rPr>
          <w:rFonts w:hint="eastAsia" w:ascii="宋体" w:hAnsi="宋体"/>
          <w:color w:val="000000"/>
          <w:sz w:val="24"/>
        </w:rPr>
        <w:t>：</w:t>
      </w:r>
      <w:r>
        <w:rPr>
          <w:rFonts w:hint="eastAsia" w:ascii="宋体" w:hAnsi="宋体"/>
          <w:color w:val="000000"/>
          <w:sz w:val="24"/>
          <w:u w:val="single"/>
        </w:rPr>
        <w:t xml:space="preserve">                                                </w:t>
      </w:r>
    </w:p>
    <w:p w14:paraId="3DA29454">
      <w:pPr>
        <w:shd w:val="clear" w:color="auto" w:fill="FFFFFF"/>
        <w:tabs>
          <w:tab w:val="left" w:pos="6300"/>
        </w:tabs>
        <w:snapToGrid w:val="0"/>
        <w:spacing w:line="500" w:lineRule="exact"/>
        <w:ind w:firstLine="570"/>
        <w:rPr>
          <w:rFonts w:hint="eastAsia" w:ascii="宋体" w:hAnsi="宋体"/>
          <w:color w:val="000000"/>
          <w:sz w:val="24"/>
        </w:rPr>
      </w:pPr>
    </w:p>
    <w:p w14:paraId="7B17555A">
      <w:pPr>
        <w:shd w:val="clear" w:color="auto" w:fill="FFFFFF"/>
        <w:tabs>
          <w:tab w:val="left" w:pos="6300"/>
        </w:tabs>
        <w:snapToGrid w:val="0"/>
        <w:spacing w:line="500" w:lineRule="exact"/>
        <w:rPr>
          <w:rFonts w:hint="eastAsia" w:ascii="宋体" w:hAnsi="宋体"/>
          <w:color w:val="000000"/>
          <w:sz w:val="24"/>
        </w:rPr>
      </w:pPr>
      <w:r>
        <w:rPr>
          <w:rFonts w:hint="eastAsia" w:ascii="宋体" w:hAnsi="宋体"/>
          <w:color w:val="000000"/>
          <w:sz w:val="24"/>
        </w:rPr>
        <w:t>致：</w:t>
      </w:r>
      <w:r>
        <w:rPr>
          <w:rFonts w:hint="eastAsia" w:ascii="宋体" w:hAnsi="宋体"/>
          <w:color w:val="000000"/>
          <w:sz w:val="24"/>
          <w:szCs w:val="28"/>
          <w:u w:val="single"/>
          <w:lang w:eastAsia="zh-CN"/>
        </w:rPr>
        <w:t>重庆方郡建设工程咨询有限公司</w:t>
      </w:r>
    </w:p>
    <w:p w14:paraId="50752779">
      <w:pPr>
        <w:shd w:val="clear" w:color="auto" w:fill="FFFFFF"/>
        <w:tabs>
          <w:tab w:val="left" w:pos="6300"/>
        </w:tabs>
        <w:snapToGrid w:val="0"/>
        <w:spacing w:line="500" w:lineRule="exact"/>
        <w:ind w:firstLine="480" w:firstLineChars="200"/>
        <w:rPr>
          <w:rFonts w:hint="eastAsia" w:ascii="宋体" w:hAnsi="宋体"/>
          <w:color w:val="000000"/>
          <w:sz w:val="24"/>
          <w:u w:val="single"/>
        </w:rPr>
      </w:pPr>
    </w:p>
    <w:p w14:paraId="02CC8D81">
      <w:pPr>
        <w:shd w:val="clear" w:color="auto" w:fill="FFFFFF"/>
        <w:tabs>
          <w:tab w:val="left" w:pos="6300"/>
        </w:tabs>
        <w:snapToGrid w:val="0"/>
        <w:spacing w:line="500" w:lineRule="exact"/>
        <w:ind w:firstLine="480" w:firstLineChars="200"/>
        <w:rPr>
          <w:rFonts w:hint="eastAsia" w:ascii="宋体" w:hAnsi="宋体"/>
          <w:color w:val="000000"/>
          <w:sz w:val="24"/>
        </w:rPr>
      </w:pPr>
      <w:r>
        <w:rPr>
          <w:rFonts w:hint="eastAsia" w:ascii="宋体" w:hAnsi="宋体"/>
          <w:color w:val="000000"/>
          <w:sz w:val="24"/>
          <w:u w:val="single"/>
          <w:lang w:eastAsia="zh-CN"/>
        </w:rPr>
        <w:t>（竞选人</w:t>
      </w:r>
      <w:r>
        <w:rPr>
          <w:rFonts w:hint="eastAsia" w:ascii="宋体" w:hAnsi="宋体"/>
          <w:color w:val="000000"/>
          <w:sz w:val="24"/>
          <w:u w:val="single"/>
        </w:rPr>
        <w:t>法定代表人姓名</w:t>
      </w:r>
      <w:r>
        <w:rPr>
          <w:rFonts w:hint="eastAsia" w:ascii="宋体" w:hAnsi="宋体"/>
          <w:color w:val="000000"/>
          <w:sz w:val="24"/>
          <w:u w:val="single"/>
          <w:lang w:eastAsia="zh-CN"/>
        </w:rPr>
        <w:t>）</w:t>
      </w:r>
      <w:r>
        <w:rPr>
          <w:rFonts w:hint="eastAsia" w:ascii="宋体" w:hAnsi="宋体"/>
          <w:color w:val="000000"/>
          <w:sz w:val="24"/>
        </w:rPr>
        <w:t>是</w:t>
      </w:r>
      <w:r>
        <w:rPr>
          <w:rFonts w:hint="eastAsia" w:ascii="宋体" w:hAnsi="宋体"/>
          <w:color w:val="000000"/>
          <w:sz w:val="24"/>
          <w:u w:val="single"/>
        </w:rPr>
        <w:t xml:space="preserve"> </w:t>
      </w:r>
      <w:r>
        <w:rPr>
          <w:rFonts w:hint="eastAsia" w:ascii="宋体" w:hAnsi="宋体"/>
          <w:color w:val="000000"/>
          <w:sz w:val="24"/>
          <w:highlight w:val="none"/>
          <w:u w:val="single"/>
        </w:rPr>
        <w:t>（</w:t>
      </w:r>
      <w:r>
        <w:rPr>
          <w:rFonts w:hint="eastAsia" w:ascii="宋体" w:hAnsi="宋体"/>
          <w:color w:val="000000"/>
          <w:sz w:val="24"/>
          <w:highlight w:val="none"/>
          <w:u w:val="single"/>
          <w:lang w:eastAsia="zh-CN"/>
        </w:rPr>
        <w:t>竞选人</w:t>
      </w:r>
      <w:r>
        <w:rPr>
          <w:rFonts w:hint="eastAsia" w:ascii="宋体" w:hAnsi="宋体"/>
          <w:color w:val="000000"/>
          <w:sz w:val="24"/>
          <w:highlight w:val="none"/>
          <w:u w:val="single"/>
        </w:rPr>
        <w:t>名称）</w:t>
      </w:r>
      <w:r>
        <w:rPr>
          <w:rFonts w:hint="eastAsia" w:ascii="宋体" w:hAnsi="宋体"/>
          <w:color w:val="000000"/>
          <w:sz w:val="24"/>
          <w:highlight w:val="none"/>
        </w:rPr>
        <w:t>的</w:t>
      </w:r>
      <w:r>
        <w:rPr>
          <w:rFonts w:hint="eastAsia" w:ascii="宋体" w:hAnsi="宋体"/>
          <w:color w:val="000000"/>
          <w:sz w:val="24"/>
          <w:highlight w:val="none"/>
          <w:u w:val="single"/>
        </w:rPr>
        <w:t>法定代表人</w:t>
      </w:r>
      <w:r>
        <w:rPr>
          <w:rFonts w:hint="eastAsia" w:ascii="宋体" w:hAnsi="宋体"/>
          <w:color w:val="000000"/>
          <w:sz w:val="24"/>
          <w:highlight w:val="none"/>
        </w:rPr>
        <w:t>，特授权</w:t>
      </w:r>
      <w:r>
        <w:rPr>
          <w:rFonts w:hint="eastAsia" w:ascii="宋体" w:hAnsi="宋体"/>
          <w:color w:val="000000"/>
          <w:sz w:val="24"/>
          <w:highlight w:val="none"/>
          <w:u w:val="single"/>
        </w:rPr>
        <w:t xml:space="preserve"> （被授权人姓名及身份证号码）</w:t>
      </w:r>
      <w:r>
        <w:rPr>
          <w:rFonts w:hint="eastAsia" w:ascii="宋体" w:hAnsi="宋体"/>
          <w:color w:val="000000"/>
          <w:sz w:val="24"/>
          <w:highlight w:val="none"/>
        </w:rPr>
        <w:t>作为代表，全权办理上述项目的竞</w:t>
      </w:r>
      <w:r>
        <w:rPr>
          <w:rFonts w:hint="eastAsia" w:ascii="宋体" w:hAnsi="宋体"/>
          <w:color w:val="000000"/>
          <w:sz w:val="24"/>
          <w:highlight w:val="none"/>
          <w:lang w:eastAsia="zh-CN"/>
        </w:rPr>
        <w:t>选</w:t>
      </w:r>
      <w:r>
        <w:rPr>
          <w:rFonts w:hint="eastAsia" w:ascii="宋体" w:hAnsi="宋体"/>
          <w:color w:val="000000"/>
          <w:sz w:val="24"/>
          <w:highlight w:val="none"/>
        </w:rPr>
        <w:t>、签约等</w:t>
      </w:r>
      <w:r>
        <w:rPr>
          <w:rFonts w:hint="eastAsia" w:ascii="宋体" w:hAnsi="宋体"/>
          <w:color w:val="000000"/>
          <w:sz w:val="24"/>
        </w:rPr>
        <w:t>具体工作，并签署全部有关文件、</w:t>
      </w:r>
      <w:r>
        <w:rPr>
          <w:rFonts w:hint="eastAsia" w:ascii="宋体" w:hAnsi="宋体"/>
          <w:color w:val="000000"/>
          <w:sz w:val="24"/>
          <w:lang w:eastAsia="zh-CN"/>
        </w:rPr>
        <w:t>合同</w:t>
      </w:r>
      <w:r>
        <w:rPr>
          <w:rFonts w:hint="eastAsia" w:ascii="宋体" w:hAnsi="宋体"/>
          <w:color w:val="000000"/>
          <w:sz w:val="24"/>
        </w:rPr>
        <w:t>及</w:t>
      </w:r>
      <w:r>
        <w:rPr>
          <w:rFonts w:hint="eastAsia" w:ascii="宋体" w:hAnsi="宋体"/>
          <w:color w:val="000000"/>
          <w:sz w:val="24"/>
          <w:lang w:eastAsia="zh-CN"/>
        </w:rPr>
        <w:t xml:space="preserve">协议 </w:t>
      </w:r>
      <w:r>
        <w:rPr>
          <w:rFonts w:hint="eastAsia" w:ascii="宋体" w:hAnsi="宋体"/>
          <w:color w:val="000000"/>
          <w:sz w:val="24"/>
        </w:rPr>
        <w:t>。</w:t>
      </w:r>
    </w:p>
    <w:p w14:paraId="3803B743">
      <w:pPr>
        <w:shd w:val="clear" w:color="auto" w:fill="FFFFFF"/>
        <w:tabs>
          <w:tab w:val="left" w:pos="6300"/>
        </w:tabs>
        <w:snapToGrid w:val="0"/>
        <w:spacing w:line="500" w:lineRule="exact"/>
        <w:ind w:firstLine="480" w:firstLineChars="200"/>
        <w:rPr>
          <w:rFonts w:hint="eastAsia" w:ascii="宋体" w:hAnsi="宋体"/>
          <w:color w:val="000000"/>
          <w:sz w:val="24"/>
        </w:rPr>
      </w:pPr>
      <w:r>
        <w:rPr>
          <w:rFonts w:hint="eastAsia" w:ascii="宋体" w:hAnsi="宋体"/>
          <w:color w:val="000000"/>
          <w:sz w:val="24"/>
        </w:rPr>
        <w:t>我单位对被授权人的签署负全部责任。</w:t>
      </w:r>
    </w:p>
    <w:p w14:paraId="04FDD108">
      <w:pPr>
        <w:shd w:val="clear" w:color="auto" w:fill="FFFFFF"/>
        <w:tabs>
          <w:tab w:val="left" w:pos="6300"/>
        </w:tabs>
        <w:snapToGrid w:val="0"/>
        <w:spacing w:line="500" w:lineRule="exact"/>
        <w:ind w:firstLine="480" w:firstLineChars="200"/>
        <w:rPr>
          <w:rFonts w:hint="eastAsia" w:ascii="宋体" w:hAnsi="宋体"/>
          <w:color w:val="000000"/>
          <w:sz w:val="24"/>
        </w:rPr>
      </w:pPr>
      <w:r>
        <w:rPr>
          <w:rFonts w:hint="eastAsia" w:ascii="宋体" w:hAnsi="宋体"/>
          <w:color w:val="000000"/>
          <w:sz w:val="24"/>
        </w:rPr>
        <w:t>在撤销授权的书面通知以前，本授权书一直有效。被授权人在授权书有效期内签署的所有文件不因授权的撤销而失效。</w:t>
      </w:r>
    </w:p>
    <w:p w14:paraId="4AB9C0B3">
      <w:pPr>
        <w:shd w:val="clear" w:color="auto" w:fill="FFFFFF"/>
        <w:tabs>
          <w:tab w:val="left" w:pos="6300"/>
        </w:tabs>
        <w:snapToGrid w:val="0"/>
        <w:spacing w:line="500" w:lineRule="exact"/>
        <w:ind w:firstLine="570"/>
        <w:rPr>
          <w:rFonts w:hint="eastAsia" w:ascii="宋体" w:hAnsi="宋体"/>
          <w:color w:val="000000"/>
          <w:sz w:val="24"/>
        </w:rPr>
      </w:pPr>
    </w:p>
    <w:p w14:paraId="35014B5E">
      <w:pPr>
        <w:shd w:val="clear" w:color="auto" w:fill="FFFFFF"/>
        <w:tabs>
          <w:tab w:val="left" w:pos="6300"/>
        </w:tabs>
        <w:snapToGrid w:val="0"/>
        <w:spacing w:line="500" w:lineRule="exact"/>
        <w:ind w:firstLine="570"/>
        <w:rPr>
          <w:rFonts w:hint="eastAsia" w:ascii="宋体" w:hAnsi="宋体"/>
          <w:color w:val="000000"/>
          <w:sz w:val="24"/>
        </w:rPr>
      </w:pPr>
      <w:r>
        <w:rPr>
          <w:rFonts w:hint="eastAsia" w:ascii="宋体" w:hAnsi="宋体"/>
          <w:color w:val="000000"/>
          <w:sz w:val="24"/>
        </w:rPr>
        <w:t xml:space="preserve">被授权人：           </w:t>
      </w:r>
      <w:r>
        <w:rPr>
          <w:rFonts w:hint="eastAsia" w:ascii="宋体" w:hAnsi="宋体"/>
          <w:color w:val="000000"/>
          <w:sz w:val="24"/>
          <w:lang w:val="en-US" w:eastAsia="zh-CN"/>
        </w:rPr>
        <w:t xml:space="preserve">                 </w:t>
      </w:r>
      <w:r>
        <w:rPr>
          <w:rFonts w:hint="eastAsia" w:ascii="宋体" w:hAnsi="宋体"/>
          <w:color w:val="000000"/>
          <w:sz w:val="24"/>
          <w:u w:val="none"/>
        </w:rPr>
        <w:t xml:space="preserve"> </w:t>
      </w:r>
      <w:r>
        <w:rPr>
          <w:rFonts w:hint="eastAsia" w:ascii="宋体" w:hAnsi="宋体"/>
          <w:color w:val="000000"/>
          <w:sz w:val="24"/>
          <w:u w:val="none"/>
          <w:lang w:eastAsia="zh-CN"/>
        </w:rPr>
        <w:t>竞选人</w:t>
      </w:r>
      <w:r>
        <w:rPr>
          <w:rFonts w:hint="eastAsia" w:ascii="宋体" w:hAnsi="宋体"/>
          <w:color w:val="000000"/>
          <w:sz w:val="24"/>
          <w:u w:val="none"/>
        </w:rPr>
        <w:t>法定代表人</w:t>
      </w:r>
      <w:r>
        <w:rPr>
          <w:rFonts w:hint="eastAsia" w:ascii="宋体" w:hAnsi="宋体"/>
          <w:color w:val="000000"/>
          <w:sz w:val="24"/>
        </w:rPr>
        <w:t>：</w:t>
      </w:r>
    </w:p>
    <w:p w14:paraId="01164955">
      <w:pPr>
        <w:shd w:val="clear" w:color="auto" w:fill="FFFFFF"/>
        <w:tabs>
          <w:tab w:val="left" w:pos="6300"/>
        </w:tabs>
        <w:snapToGrid w:val="0"/>
        <w:spacing w:line="500" w:lineRule="exact"/>
        <w:ind w:firstLine="570"/>
        <w:rPr>
          <w:rFonts w:hint="eastAsia" w:ascii="宋体" w:hAnsi="宋体"/>
          <w:color w:val="000000"/>
          <w:sz w:val="24"/>
          <w:szCs w:val="28"/>
        </w:rPr>
      </w:pPr>
      <w:r>
        <w:rPr>
          <w:rFonts w:hint="eastAsia" w:ascii="宋体" w:hAnsi="宋体"/>
          <w:color w:val="000000"/>
          <w:sz w:val="24"/>
          <w:szCs w:val="28"/>
        </w:rPr>
        <w:t>（签署或盖章）                          （签署或盖章）</w:t>
      </w:r>
    </w:p>
    <w:p w14:paraId="29D5243D">
      <w:pPr>
        <w:shd w:val="clear" w:color="auto" w:fill="FFFFFF"/>
        <w:tabs>
          <w:tab w:val="left" w:pos="6300"/>
        </w:tabs>
        <w:snapToGrid w:val="0"/>
        <w:spacing w:line="500" w:lineRule="exact"/>
        <w:ind w:firstLine="570"/>
        <w:rPr>
          <w:rFonts w:hint="eastAsia" w:ascii="宋体" w:hAnsi="宋体"/>
          <w:color w:val="000000"/>
          <w:sz w:val="24"/>
        </w:rPr>
      </w:pPr>
    </w:p>
    <w:p w14:paraId="1F70FB04">
      <w:pPr>
        <w:shd w:val="clear" w:color="auto" w:fill="FFFFFF"/>
        <w:tabs>
          <w:tab w:val="left" w:pos="6300"/>
        </w:tabs>
        <w:snapToGrid w:val="0"/>
        <w:spacing w:line="500" w:lineRule="exact"/>
        <w:ind w:firstLine="570"/>
        <w:rPr>
          <w:rFonts w:hint="eastAsia" w:ascii="宋体" w:hAnsi="宋体"/>
          <w:color w:val="000000"/>
          <w:sz w:val="24"/>
        </w:rPr>
      </w:pPr>
      <w:r>
        <w:rPr>
          <w:rFonts w:hint="eastAsia" w:ascii="宋体" w:hAnsi="宋体"/>
          <w:color w:val="000000"/>
          <w:sz w:val="24"/>
        </w:rPr>
        <w:t>（附：被授权人身份证正反面）</w:t>
      </w:r>
    </w:p>
    <w:p w14:paraId="0EF95C0B">
      <w:pPr>
        <w:shd w:val="clear" w:color="auto" w:fill="FFFFFF"/>
        <w:tabs>
          <w:tab w:val="left" w:pos="6300"/>
        </w:tabs>
        <w:snapToGrid w:val="0"/>
        <w:spacing w:line="500" w:lineRule="exact"/>
        <w:ind w:firstLine="570"/>
        <w:rPr>
          <w:rFonts w:hint="eastAsia" w:ascii="宋体" w:hAnsi="宋体"/>
          <w:color w:val="000000"/>
          <w:sz w:val="24"/>
        </w:rPr>
      </w:pPr>
      <w:r>
        <w:rPr>
          <w:rFonts w:hint="eastAsia" w:ascii="宋体" w:hAnsi="宋体"/>
          <w:color w:val="000000"/>
          <w:sz w:val="24"/>
        </w:rPr>
        <w:t xml:space="preserve">                                          </w:t>
      </w:r>
    </w:p>
    <w:p w14:paraId="5C6006AD">
      <w:pPr>
        <w:shd w:val="clear" w:color="auto" w:fill="FFFFFF"/>
        <w:tabs>
          <w:tab w:val="left" w:pos="6300"/>
        </w:tabs>
        <w:snapToGrid w:val="0"/>
        <w:spacing w:line="500" w:lineRule="exact"/>
        <w:ind w:right="480" w:firstLine="570"/>
        <w:jc w:val="right"/>
        <w:rPr>
          <w:rFonts w:hint="eastAsia" w:ascii="宋体" w:hAnsi="宋体"/>
          <w:color w:val="000000"/>
          <w:sz w:val="24"/>
        </w:rPr>
      </w:pPr>
      <w:r>
        <w:rPr>
          <w:rFonts w:hint="eastAsia" w:ascii="宋体" w:hAnsi="宋体"/>
          <w:color w:val="000000"/>
          <w:sz w:val="24"/>
        </w:rPr>
        <w:t>（</w:t>
      </w:r>
      <w:r>
        <w:rPr>
          <w:rFonts w:hint="eastAsia" w:ascii="宋体" w:hAnsi="宋体"/>
          <w:color w:val="000000"/>
          <w:sz w:val="24"/>
          <w:lang w:eastAsia="zh-CN"/>
        </w:rPr>
        <w:t>竞选人</w:t>
      </w:r>
      <w:r>
        <w:rPr>
          <w:rFonts w:hint="eastAsia" w:ascii="宋体" w:hAnsi="宋体"/>
          <w:color w:val="000000"/>
          <w:sz w:val="24"/>
        </w:rPr>
        <w:t>公章）</w:t>
      </w:r>
    </w:p>
    <w:p w14:paraId="7CF51FB6">
      <w:pPr>
        <w:shd w:val="clear" w:color="auto" w:fill="FFFFFF"/>
        <w:tabs>
          <w:tab w:val="left" w:pos="6300"/>
        </w:tabs>
        <w:snapToGrid w:val="0"/>
        <w:spacing w:line="500" w:lineRule="exact"/>
        <w:ind w:right="480" w:firstLine="570"/>
        <w:jc w:val="right"/>
        <w:rPr>
          <w:rFonts w:hint="eastAsia" w:ascii="宋体" w:hAnsi="宋体"/>
          <w:color w:val="000000"/>
          <w:sz w:val="24"/>
        </w:rPr>
      </w:pPr>
      <w:r>
        <w:rPr>
          <w:rFonts w:hint="eastAsia" w:ascii="宋体" w:hAnsi="宋体"/>
          <w:color w:val="000000"/>
          <w:sz w:val="24"/>
        </w:rPr>
        <w:t>年   月   日</w:t>
      </w:r>
    </w:p>
    <w:p w14:paraId="0975ADC7">
      <w:pPr>
        <w:shd w:val="clear" w:color="auto" w:fill="FFFFFF"/>
        <w:tabs>
          <w:tab w:val="left" w:pos="6300"/>
        </w:tabs>
        <w:snapToGrid w:val="0"/>
        <w:spacing w:line="500" w:lineRule="exact"/>
        <w:ind w:right="480" w:firstLine="570"/>
        <w:jc w:val="left"/>
        <w:rPr>
          <w:rFonts w:hint="eastAsia" w:ascii="宋体" w:hAnsi="宋体"/>
          <w:color w:val="000000"/>
          <w:sz w:val="24"/>
        </w:rPr>
      </w:pPr>
      <w:r>
        <w:rPr>
          <w:rFonts w:hint="eastAsia" w:ascii="宋体" w:hAnsi="宋体"/>
          <w:color w:val="000000"/>
          <w:sz w:val="24"/>
        </w:rPr>
        <w:t>被授权人电话：XXXXXXX     电子邮箱：XXXXXX@XXXXX（若法定代表人办理并签署响应文件的可不填写）</w:t>
      </w:r>
    </w:p>
    <w:p w14:paraId="2058F2CB">
      <w:pPr>
        <w:widowControl/>
        <w:shd w:val="clear" w:color="auto" w:fill="FFFFFF"/>
        <w:jc w:val="left"/>
        <w:rPr>
          <w:rFonts w:hint="eastAsia" w:ascii="宋体" w:hAnsi="宋体"/>
          <w:color w:val="000000"/>
          <w:sz w:val="24"/>
        </w:rPr>
      </w:pPr>
    </w:p>
    <w:p w14:paraId="18645824">
      <w:pPr>
        <w:widowControl/>
        <w:shd w:val="clear" w:color="auto" w:fill="FFFFFF"/>
        <w:jc w:val="left"/>
        <w:rPr>
          <w:rFonts w:hint="eastAsia" w:ascii="宋体" w:hAnsi="宋体"/>
          <w:color w:val="000000"/>
          <w:sz w:val="24"/>
        </w:rPr>
      </w:pPr>
      <w:r>
        <w:rPr>
          <w:rFonts w:hint="eastAsia" w:ascii="宋体" w:hAnsi="宋体"/>
          <w:color w:val="000000"/>
          <w:sz w:val="24"/>
        </w:rPr>
        <w:t>注：若为法定代表人办理并签署响应文件的，不提供此文件。</w:t>
      </w:r>
    </w:p>
    <w:p w14:paraId="0349F6C9">
      <w:pPr>
        <w:shd w:val="clear" w:color="auto" w:fill="FFFFFF"/>
        <w:tabs>
          <w:tab w:val="left" w:pos="6300"/>
        </w:tabs>
        <w:snapToGrid w:val="0"/>
        <w:spacing w:line="500" w:lineRule="exact"/>
        <w:ind w:right="480" w:firstLine="570"/>
        <w:jc w:val="left"/>
        <w:rPr>
          <w:rFonts w:hint="eastAsia" w:ascii="宋体" w:hAnsi="宋体" w:cs="宋体"/>
          <w:color w:val="000000"/>
          <w:sz w:val="24"/>
          <w:szCs w:val="24"/>
        </w:rPr>
      </w:pPr>
      <w:r>
        <w:rPr>
          <w:rFonts w:hint="eastAsia" w:ascii="宋体" w:hAnsi="宋体" w:cs="宋体"/>
          <w:color w:val="000000"/>
          <w:sz w:val="24"/>
          <w:szCs w:val="24"/>
        </w:rPr>
        <w:br w:type="page"/>
      </w:r>
    </w:p>
    <w:p w14:paraId="2435FC9A">
      <w:pPr>
        <w:shd w:val="clear" w:color="auto" w:fill="FFFFFF"/>
        <w:tabs>
          <w:tab w:val="left" w:pos="6300"/>
        </w:tabs>
        <w:snapToGrid w:val="0"/>
        <w:spacing w:line="500" w:lineRule="exact"/>
        <w:ind w:right="480" w:firstLine="570"/>
        <w:jc w:val="left"/>
        <w:rPr>
          <w:rFonts w:hint="eastAsia" w:ascii="宋体" w:hAnsi="宋体"/>
          <w:color w:val="000000"/>
          <w:sz w:val="24"/>
        </w:rPr>
      </w:pPr>
      <w:r>
        <w:rPr>
          <w:rFonts w:hint="eastAsia" w:ascii="宋体" w:hAnsi="宋体" w:cs="宋体"/>
          <w:color w:val="000000"/>
          <w:sz w:val="24"/>
          <w:szCs w:val="24"/>
        </w:rPr>
        <w:t>（五）特定资格要求的资料</w:t>
      </w:r>
    </w:p>
    <w:p w14:paraId="716C1C4A">
      <w:pPr>
        <w:shd w:val="clear" w:color="auto" w:fill="FFFFFF"/>
        <w:tabs>
          <w:tab w:val="left" w:pos="6300"/>
        </w:tabs>
        <w:snapToGrid w:val="0"/>
        <w:spacing w:line="500" w:lineRule="exact"/>
        <w:ind w:right="480" w:firstLine="570"/>
        <w:jc w:val="left"/>
        <w:rPr>
          <w:rFonts w:hint="eastAsia" w:ascii="宋体" w:hAnsi="宋体"/>
          <w:color w:val="000000"/>
          <w:sz w:val="24"/>
        </w:rPr>
      </w:pPr>
    </w:p>
    <w:p w14:paraId="5501A1F6">
      <w:pPr>
        <w:shd w:val="clear" w:color="auto" w:fill="FFFFFF"/>
        <w:tabs>
          <w:tab w:val="left" w:pos="6300"/>
        </w:tabs>
        <w:snapToGrid w:val="0"/>
        <w:spacing w:line="500" w:lineRule="exact"/>
        <w:ind w:right="480" w:firstLine="570"/>
        <w:jc w:val="left"/>
        <w:rPr>
          <w:rFonts w:hint="eastAsia" w:ascii="宋体" w:hAnsi="宋体"/>
          <w:color w:val="000000"/>
          <w:sz w:val="24"/>
        </w:rPr>
      </w:pPr>
    </w:p>
    <w:p w14:paraId="02D317FF">
      <w:pPr>
        <w:shd w:val="clear" w:color="auto" w:fill="FFFFFF"/>
        <w:tabs>
          <w:tab w:val="left" w:pos="6300"/>
        </w:tabs>
        <w:snapToGrid w:val="0"/>
        <w:spacing w:line="500" w:lineRule="exact"/>
        <w:ind w:right="480" w:firstLine="570"/>
        <w:jc w:val="left"/>
        <w:rPr>
          <w:rFonts w:hint="eastAsia" w:ascii="宋体" w:hAnsi="宋体"/>
          <w:color w:val="000000"/>
          <w:sz w:val="24"/>
        </w:rPr>
      </w:pPr>
    </w:p>
    <w:p w14:paraId="1835B0B7">
      <w:pPr>
        <w:shd w:val="clear" w:color="auto" w:fill="FFFFFF"/>
        <w:tabs>
          <w:tab w:val="left" w:pos="6300"/>
        </w:tabs>
        <w:snapToGrid w:val="0"/>
        <w:spacing w:line="500" w:lineRule="exact"/>
        <w:ind w:right="480" w:firstLine="570"/>
        <w:jc w:val="left"/>
        <w:rPr>
          <w:rFonts w:hint="eastAsia" w:ascii="宋体" w:hAnsi="宋体"/>
          <w:color w:val="000000"/>
          <w:sz w:val="24"/>
        </w:rPr>
      </w:pPr>
    </w:p>
    <w:p w14:paraId="7F9F55BE">
      <w:pPr>
        <w:shd w:val="clear" w:color="auto" w:fill="FFFFFF"/>
        <w:tabs>
          <w:tab w:val="left" w:pos="6300"/>
        </w:tabs>
        <w:snapToGrid w:val="0"/>
        <w:spacing w:line="500" w:lineRule="exact"/>
        <w:ind w:right="480" w:firstLine="570"/>
        <w:jc w:val="left"/>
        <w:rPr>
          <w:rFonts w:hint="eastAsia" w:ascii="宋体" w:hAnsi="宋体"/>
          <w:color w:val="000000"/>
          <w:sz w:val="24"/>
        </w:rPr>
      </w:pPr>
    </w:p>
    <w:p w14:paraId="3E681E1C">
      <w:pPr>
        <w:shd w:val="clear" w:color="auto" w:fill="FFFFFF"/>
        <w:tabs>
          <w:tab w:val="left" w:pos="6300"/>
        </w:tabs>
        <w:snapToGrid w:val="0"/>
        <w:spacing w:line="500" w:lineRule="exact"/>
        <w:ind w:right="480" w:firstLine="570"/>
        <w:jc w:val="left"/>
        <w:rPr>
          <w:rFonts w:hint="eastAsia" w:ascii="宋体" w:hAnsi="宋体"/>
          <w:color w:val="000000"/>
          <w:sz w:val="24"/>
        </w:rPr>
      </w:pPr>
    </w:p>
    <w:p w14:paraId="668D2F55">
      <w:pPr>
        <w:shd w:val="clear" w:color="auto" w:fill="FFFFFF"/>
        <w:tabs>
          <w:tab w:val="left" w:pos="6300"/>
        </w:tabs>
        <w:snapToGrid w:val="0"/>
        <w:spacing w:line="500" w:lineRule="exact"/>
        <w:ind w:right="480" w:firstLine="570"/>
        <w:jc w:val="left"/>
        <w:rPr>
          <w:rFonts w:hint="eastAsia" w:ascii="宋体" w:hAnsi="宋体"/>
          <w:color w:val="000000"/>
          <w:sz w:val="24"/>
        </w:rPr>
      </w:pPr>
    </w:p>
    <w:p w14:paraId="3D97E1D8">
      <w:pPr>
        <w:shd w:val="clear" w:color="auto" w:fill="FFFFFF"/>
        <w:tabs>
          <w:tab w:val="left" w:pos="6300"/>
        </w:tabs>
        <w:snapToGrid w:val="0"/>
        <w:spacing w:line="500" w:lineRule="exact"/>
        <w:ind w:right="480" w:firstLine="570"/>
        <w:jc w:val="left"/>
        <w:rPr>
          <w:rFonts w:hint="eastAsia" w:ascii="宋体" w:hAnsi="宋体"/>
          <w:color w:val="000000"/>
          <w:sz w:val="24"/>
        </w:rPr>
      </w:pPr>
    </w:p>
    <w:p w14:paraId="40EC9913">
      <w:pPr>
        <w:pStyle w:val="17"/>
        <w:shd w:val="clear" w:color="auto" w:fill="FFFFFF"/>
        <w:rPr>
          <w:rFonts w:hint="eastAsia"/>
          <w:color w:val="000000"/>
        </w:rPr>
      </w:pPr>
    </w:p>
    <w:p w14:paraId="23EA60CC">
      <w:pPr>
        <w:pStyle w:val="17"/>
        <w:shd w:val="clear" w:color="auto" w:fill="FFFFFF"/>
        <w:rPr>
          <w:rFonts w:hint="eastAsia"/>
          <w:color w:val="000000"/>
        </w:rPr>
      </w:pPr>
    </w:p>
    <w:p w14:paraId="03215B1A">
      <w:pPr>
        <w:pStyle w:val="17"/>
        <w:shd w:val="clear" w:color="auto" w:fill="FFFFFF"/>
        <w:rPr>
          <w:rFonts w:hint="eastAsia"/>
          <w:color w:val="000000"/>
        </w:rPr>
      </w:pPr>
    </w:p>
    <w:p w14:paraId="4F27352A">
      <w:pPr>
        <w:widowControl/>
        <w:shd w:val="clear" w:color="auto" w:fill="FFFFFF"/>
        <w:jc w:val="left"/>
        <w:rPr>
          <w:rFonts w:hint="eastAsia"/>
          <w:color w:val="000000"/>
        </w:rPr>
      </w:pPr>
    </w:p>
    <w:p w14:paraId="523A0905">
      <w:pPr>
        <w:pStyle w:val="17"/>
        <w:shd w:val="clear" w:color="auto" w:fill="FFFFFF"/>
        <w:rPr>
          <w:rFonts w:hint="eastAsia"/>
          <w:color w:val="000000"/>
        </w:rPr>
      </w:pPr>
    </w:p>
    <w:p w14:paraId="07B9FCC0">
      <w:pPr>
        <w:pStyle w:val="17"/>
        <w:shd w:val="clear" w:color="auto" w:fill="FFFFFF"/>
        <w:rPr>
          <w:rFonts w:hint="eastAsia"/>
          <w:color w:val="000000"/>
        </w:rPr>
      </w:pPr>
    </w:p>
    <w:p w14:paraId="16418CAB">
      <w:pPr>
        <w:pStyle w:val="17"/>
        <w:shd w:val="clear" w:color="auto" w:fill="FFFFFF"/>
        <w:rPr>
          <w:rFonts w:hint="eastAsia"/>
          <w:color w:val="000000"/>
        </w:rPr>
      </w:pPr>
    </w:p>
    <w:p w14:paraId="1FBE4524">
      <w:pPr>
        <w:pStyle w:val="5"/>
        <w:shd w:val="clear" w:color="auto" w:fill="FFFFFF"/>
        <w:spacing w:line="500" w:lineRule="exact"/>
        <w:ind w:firstLine="560" w:firstLineChars="200"/>
        <w:rPr>
          <w:rFonts w:hint="eastAsia"/>
          <w:b/>
          <w:color w:val="000000"/>
          <w:szCs w:val="28"/>
        </w:rPr>
      </w:pPr>
      <w:r>
        <w:rPr>
          <w:rFonts w:hint="eastAsia"/>
          <w:color w:val="000000"/>
        </w:rPr>
        <w:br w:type="page"/>
      </w:r>
      <w:bookmarkStart w:id="109" w:name="_Toc14416"/>
      <w:bookmarkStart w:id="110" w:name="_Toc11000"/>
      <w:bookmarkStart w:id="111" w:name="_Toc1473"/>
      <w:bookmarkStart w:id="112" w:name="_Toc12101"/>
      <w:bookmarkStart w:id="113" w:name="_Toc17893"/>
      <w:r>
        <w:rPr>
          <w:rFonts w:hint="eastAsia"/>
          <w:b/>
          <w:color w:val="000000"/>
          <w:lang w:eastAsia="zh-CN"/>
        </w:rPr>
        <w:t>三</w:t>
      </w:r>
      <w:r>
        <w:rPr>
          <w:rFonts w:hint="eastAsia"/>
          <w:b/>
          <w:color w:val="000000"/>
        </w:rPr>
        <w:t>、</w:t>
      </w:r>
      <w:r>
        <w:rPr>
          <w:rFonts w:hint="eastAsia"/>
          <w:b/>
          <w:color w:val="000000"/>
          <w:szCs w:val="28"/>
          <w:lang w:eastAsia="zh-CN"/>
        </w:rPr>
        <w:t>竞选</w:t>
      </w:r>
      <w:r>
        <w:rPr>
          <w:rFonts w:hint="eastAsia"/>
          <w:b/>
          <w:color w:val="000000"/>
          <w:szCs w:val="28"/>
        </w:rPr>
        <w:t>需求条款差异表</w:t>
      </w:r>
      <w:bookmarkEnd w:id="107"/>
      <w:bookmarkEnd w:id="108"/>
      <w:bookmarkEnd w:id="109"/>
      <w:bookmarkEnd w:id="110"/>
      <w:bookmarkEnd w:id="111"/>
      <w:bookmarkEnd w:id="112"/>
      <w:bookmarkEnd w:id="113"/>
    </w:p>
    <w:p w14:paraId="157E1C60">
      <w:pPr>
        <w:snapToGrid w:val="0"/>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项目名称：</w:t>
      </w: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2969"/>
        <w:gridCol w:w="3081"/>
        <w:gridCol w:w="2307"/>
      </w:tblGrid>
      <w:tr w14:paraId="0042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271" w:type="dxa"/>
            <w:noWrap w:val="0"/>
            <w:vAlign w:val="center"/>
          </w:tcPr>
          <w:p w14:paraId="466B744C">
            <w:pPr>
              <w:tabs>
                <w:tab w:val="left" w:pos="6300"/>
              </w:tabs>
              <w:snapToGrid w:val="0"/>
              <w:spacing w:line="500" w:lineRule="exact"/>
              <w:jc w:val="center"/>
              <w:outlineLvl w:val="0"/>
              <w:rPr>
                <w:rFonts w:hint="eastAsia" w:ascii="宋体" w:hAnsi="宋体" w:eastAsia="宋体" w:cs="宋体"/>
                <w:color w:val="auto"/>
                <w:sz w:val="21"/>
                <w:szCs w:val="21"/>
                <w:highlight w:val="none"/>
              </w:rPr>
            </w:pPr>
            <w:bookmarkStart w:id="114" w:name="_Toc19703"/>
            <w:bookmarkStart w:id="115" w:name="_Toc15308"/>
            <w:r>
              <w:rPr>
                <w:rFonts w:hint="eastAsia" w:ascii="宋体" w:hAnsi="宋体" w:eastAsia="宋体" w:cs="宋体"/>
                <w:color w:val="auto"/>
                <w:sz w:val="21"/>
                <w:szCs w:val="21"/>
                <w:highlight w:val="none"/>
              </w:rPr>
              <w:t>序号</w:t>
            </w:r>
            <w:bookmarkEnd w:id="114"/>
            <w:bookmarkEnd w:id="115"/>
          </w:p>
        </w:tc>
        <w:tc>
          <w:tcPr>
            <w:tcW w:w="2969" w:type="dxa"/>
            <w:noWrap w:val="0"/>
            <w:vAlign w:val="center"/>
          </w:tcPr>
          <w:p w14:paraId="1246ED51">
            <w:pPr>
              <w:tabs>
                <w:tab w:val="left" w:pos="6300"/>
              </w:tabs>
              <w:snapToGrid w:val="0"/>
              <w:spacing w:line="500" w:lineRule="exact"/>
              <w:jc w:val="center"/>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竞选需求</w:t>
            </w:r>
          </w:p>
        </w:tc>
        <w:tc>
          <w:tcPr>
            <w:tcW w:w="3081" w:type="dxa"/>
            <w:noWrap w:val="0"/>
            <w:vAlign w:val="center"/>
          </w:tcPr>
          <w:p w14:paraId="1566BF18">
            <w:pPr>
              <w:tabs>
                <w:tab w:val="left" w:pos="6300"/>
              </w:tabs>
              <w:snapToGrid w:val="0"/>
              <w:spacing w:line="500" w:lineRule="exact"/>
              <w:jc w:val="center"/>
              <w:outlineLvl w:val="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响应情况</w:t>
            </w:r>
          </w:p>
        </w:tc>
        <w:tc>
          <w:tcPr>
            <w:tcW w:w="2307" w:type="dxa"/>
            <w:noWrap w:val="0"/>
            <w:vAlign w:val="center"/>
          </w:tcPr>
          <w:p w14:paraId="6F099547">
            <w:pPr>
              <w:tabs>
                <w:tab w:val="left" w:pos="6300"/>
              </w:tabs>
              <w:snapToGrid w:val="0"/>
              <w:spacing w:line="500" w:lineRule="exact"/>
              <w:jc w:val="center"/>
              <w:outlineLvl w:val="0"/>
              <w:rPr>
                <w:rFonts w:hint="eastAsia" w:ascii="宋体" w:hAnsi="宋体" w:eastAsia="宋体" w:cs="宋体"/>
                <w:color w:val="auto"/>
                <w:sz w:val="21"/>
                <w:szCs w:val="21"/>
                <w:highlight w:val="none"/>
              </w:rPr>
            </w:pPr>
            <w:bookmarkStart w:id="116" w:name="_Toc16122"/>
            <w:bookmarkStart w:id="117" w:name="_Toc29955"/>
            <w:r>
              <w:rPr>
                <w:rFonts w:hint="eastAsia" w:ascii="宋体" w:hAnsi="宋体" w:eastAsia="宋体" w:cs="宋体"/>
                <w:color w:val="auto"/>
                <w:sz w:val="21"/>
                <w:szCs w:val="21"/>
                <w:highlight w:val="none"/>
              </w:rPr>
              <w:t>差异说明</w:t>
            </w:r>
            <w:bookmarkEnd w:id="116"/>
            <w:bookmarkEnd w:id="117"/>
          </w:p>
        </w:tc>
      </w:tr>
      <w:tr w14:paraId="16E6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36E3C3EA">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969" w:type="dxa"/>
            <w:noWrap w:val="0"/>
            <w:vAlign w:val="center"/>
          </w:tcPr>
          <w:p w14:paraId="02219835">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3081" w:type="dxa"/>
            <w:noWrap w:val="0"/>
            <w:vAlign w:val="center"/>
          </w:tcPr>
          <w:p w14:paraId="352A817F">
            <w:pPr>
              <w:tabs>
                <w:tab w:val="left" w:pos="6300"/>
              </w:tabs>
              <w:snapToGrid w:val="0"/>
              <w:spacing w:line="500" w:lineRule="exact"/>
              <w:outlineLvl w:val="0"/>
              <w:rPr>
                <w:rFonts w:hint="eastAsia" w:ascii="宋体" w:hAnsi="宋体" w:eastAsia="宋体" w:cs="宋体"/>
                <w:color w:val="auto"/>
                <w:sz w:val="21"/>
                <w:szCs w:val="21"/>
                <w:highlight w:val="none"/>
              </w:rPr>
            </w:pPr>
          </w:p>
        </w:tc>
        <w:tc>
          <w:tcPr>
            <w:tcW w:w="2307" w:type="dxa"/>
            <w:noWrap w:val="0"/>
            <w:vAlign w:val="center"/>
          </w:tcPr>
          <w:p w14:paraId="029168A1">
            <w:pPr>
              <w:tabs>
                <w:tab w:val="left" w:pos="6300"/>
              </w:tabs>
              <w:snapToGrid w:val="0"/>
              <w:spacing w:line="500" w:lineRule="exact"/>
              <w:jc w:val="center"/>
              <w:rPr>
                <w:rFonts w:hint="eastAsia" w:ascii="宋体" w:hAnsi="宋体" w:eastAsia="宋体" w:cs="宋体"/>
                <w:color w:val="auto"/>
                <w:sz w:val="21"/>
                <w:szCs w:val="21"/>
                <w:highlight w:val="none"/>
              </w:rPr>
            </w:pPr>
          </w:p>
        </w:tc>
      </w:tr>
      <w:tr w14:paraId="4F5DF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3B3626D7">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969" w:type="dxa"/>
            <w:noWrap w:val="0"/>
            <w:vAlign w:val="center"/>
          </w:tcPr>
          <w:p w14:paraId="40070E34">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3081" w:type="dxa"/>
            <w:noWrap w:val="0"/>
            <w:vAlign w:val="center"/>
          </w:tcPr>
          <w:p w14:paraId="0AD1BA97">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307" w:type="dxa"/>
            <w:noWrap w:val="0"/>
            <w:vAlign w:val="center"/>
          </w:tcPr>
          <w:p w14:paraId="0246BD4B">
            <w:pPr>
              <w:tabs>
                <w:tab w:val="left" w:pos="6300"/>
              </w:tabs>
              <w:snapToGrid w:val="0"/>
              <w:spacing w:line="500" w:lineRule="exact"/>
              <w:jc w:val="center"/>
              <w:rPr>
                <w:rFonts w:hint="eastAsia" w:ascii="宋体" w:hAnsi="宋体" w:eastAsia="宋体" w:cs="宋体"/>
                <w:color w:val="auto"/>
                <w:sz w:val="21"/>
                <w:szCs w:val="21"/>
                <w:highlight w:val="none"/>
              </w:rPr>
            </w:pPr>
          </w:p>
        </w:tc>
      </w:tr>
      <w:tr w14:paraId="0B13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04EB51F9">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969" w:type="dxa"/>
            <w:noWrap w:val="0"/>
            <w:vAlign w:val="center"/>
          </w:tcPr>
          <w:p w14:paraId="188B61CF">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3081" w:type="dxa"/>
            <w:noWrap w:val="0"/>
            <w:vAlign w:val="center"/>
          </w:tcPr>
          <w:p w14:paraId="0CD8F758">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307" w:type="dxa"/>
            <w:noWrap w:val="0"/>
            <w:vAlign w:val="center"/>
          </w:tcPr>
          <w:p w14:paraId="57B34A02">
            <w:pPr>
              <w:tabs>
                <w:tab w:val="left" w:pos="6300"/>
              </w:tabs>
              <w:snapToGrid w:val="0"/>
              <w:spacing w:line="500" w:lineRule="exact"/>
              <w:jc w:val="center"/>
              <w:rPr>
                <w:rFonts w:hint="eastAsia" w:ascii="宋体" w:hAnsi="宋体" w:eastAsia="宋体" w:cs="宋体"/>
                <w:color w:val="auto"/>
                <w:sz w:val="21"/>
                <w:szCs w:val="21"/>
                <w:highlight w:val="none"/>
              </w:rPr>
            </w:pPr>
          </w:p>
        </w:tc>
      </w:tr>
      <w:tr w14:paraId="1C8F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4E157CF9">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969" w:type="dxa"/>
            <w:noWrap w:val="0"/>
            <w:vAlign w:val="center"/>
          </w:tcPr>
          <w:p w14:paraId="4B9AFA83">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3081" w:type="dxa"/>
            <w:noWrap w:val="0"/>
            <w:vAlign w:val="center"/>
          </w:tcPr>
          <w:p w14:paraId="194DD238">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307" w:type="dxa"/>
            <w:noWrap w:val="0"/>
            <w:vAlign w:val="center"/>
          </w:tcPr>
          <w:p w14:paraId="2DF2A8B7">
            <w:pPr>
              <w:tabs>
                <w:tab w:val="left" w:pos="6300"/>
              </w:tabs>
              <w:snapToGrid w:val="0"/>
              <w:spacing w:line="500" w:lineRule="exact"/>
              <w:jc w:val="center"/>
              <w:rPr>
                <w:rFonts w:hint="eastAsia" w:ascii="宋体" w:hAnsi="宋体" w:eastAsia="宋体" w:cs="宋体"/>
                <w:color w:val="auto"/>
                <w:sz w:val="21"/>
                <w:szCs w:val="21"/>
                <w:highlight w:val="none"/>
              </w:rPr>
            </w:pPr>
          </w:p>
        </w:tc>
      </w:tr>
      <w:tr w14:paraId="4E2F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69E004B2">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969" w:type="dxa"/>
            <w:noWrap w:val="0"/>
            <w:vAlign w:val="center"/>
          </w:tcPr>
          <w:p w14:paraId="5FF11564">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3081" w:type="dxa"/>
            <w:noWrap w:val="0"/>
            <w:vAlign w:val="center"/>
          </w:tcPr>
          <w:p w14:paraId="23C6CBAA">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307" w:type="dxa"/>
            <w:noWrap w:val="0"/>
            <w:vAlign w:val="center"/>
          </w:tcPr>
          <w:p w14:paraId="36A856AF">
            <w:pPr>
              <w:tabs>
                <w:tab w:val="left" w:pos="6300"/>
              </w:tabs>
              <w:snapToGrid w:val="0"/>
              <w:spacing w:line="500" w:lineRule="exact"/>
              <w:jc w:val="center"/>
              <w:rPr>
                <w:rFonts w:hint="eastAsia" w:ascii="宋体" w:hAnsi="宋体" w:eastAsia="宋体" w:cs="宋体"/>
                <w:color w:val="auto"/>
                <w:sz w:val="21"/>
                <w:szCs w:val="21"/>
                <w:highlight w:val="none"/>
              </w:rPr>
            </w:pPr>
          </w:p>
        </w:tc>
      </w:tr>
      <w:tr w14:paraId="4E40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49BE4153">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969" w:type="dxa"/>
            <w:noWrap w:val="0"/>
            <w:vAlign w:val="center"/>
          </w:tcPr>
          <w:p w14:paraId="2C20A3D4">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3081" w:type="dxa"/>
            <w:noWrap w:val="0"/>
            <w:vAlign w:val="center"/>
          </w:tcPr>
          <w:p w14:paraId="39723F72">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307" w:type="dxa"/>
            <w:noWrap w:val="0"/>
            <w:vAlign w:val="center"/>
          </w:tcPr>
          <w:p w14:paraId="0EE5180F">
            <w:pPr>
              <w:tabs>
                <w:tab w:val="left" w:pos="6300"/>
              </w:tabs>
              <w:snapToGrid w:val="0"/>
              <w:spacing w:line="500" w:lineRule="exact"/>
              <w:jc w:val="center"/>
              <w:rPr>
                <w:rFonts w:hint="eastAsia" w:ascii="宋体" w:hAnsi="宋体" w:eastAsia="宋体" w:cs="宋体"/>
                <w:color w:val="auto"/>
                <w:sz w:val="21"/>
                <w:szCs w:val="21"/>
                <w:highlight w:val="none"/>
              </w:rPr>
            </w:pPr>
          </w:p>
        </w:tc>
      </w:tr>
      <w:tr w14:paraId="3EAD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01EB7170">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969" w:type="dxa"/>
            <w:noWrap w:val="0"/>
            <w:vAlign w:val="center"/>
          </w:tcPr>
          <w:p w14:paraId="7A232B13">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3081" w:type="dxa"/>
            <w:noWrap w:val="0"/>
            <w:vAlign w:val="center"/>
          </w:tcPr>
          <w:p w14:paraId="7B9465E8">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307" w:type="dxa"/>
            <w:noWrap w:val="0"/>
            <w:vAlign w:val="center"/>
          </w:tcPr>
          <w:p w14:paraId="16D2B1DA">
            <w:pPr>
              <w:tabs>
                <w:tab w:val="left" w:pos="6300"/>
              </w:tabs>
              <w:snapToGrid w:val="0"/>
              <w:spacing w:line="500" w:lineRule="exact"/>
              <w:jc w:val="center"/>
              <w:rPr>
                <w:rFonts w:hint="eastAsia" w:ascii="宋体" w:hAnsi="宋体" w:eastAsia="宋体" w:cs="宋体"/>
                <w:color w:val="auto"/>
                <w:sz w:val="21"/>
                <w:szCs w:val="21"/>
                <w:highlight w:val="none"/>
              </w:rPr>
            </w:pPr>
          </w:p>
        </w:tc>
      </w:tr>
      <w:tr w14:paraId="7FCB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383A8ABE">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969" w:type="dxa"/>
            <w:noWrap w:val="0"/>
            <w:vAlign w:val="center"/>
          </w:tcPr>
          <w:p w14:paraId="5C3605AE">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3081" w:type="dxa"/>
            <w:noWrap w:val="0"/>
            <w:vAlign w:val="center"/>
          </w:tcPr>
          <w:p w14:paraId="6E5081C8">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307" w:type="dxa"/>
            <w:noWrap w:val="0"/>
            <w:vAlign w:val="center"/>
          </w:tcPr>
          <w:p w14:paraId="706DAB6D">
            <w:pPr>
              <w:tabs>
                <w:tab w:val="left" w:pos="6300"/>
              </w:tabs>
              <w:snapToGrid w:val="0"/>
              <w:spacing w:line="500" w:lineRule="exact"/>
              <w:jc w:val="center"/>
              <w:rPr>
                <w:rFonts w:hint="eastAsia" w:ascii="宋体" w:hAnsi="宋体" w:eastAsia="宋体" w:cs="宋体"/>
                <w:color w:val="auto"/>
                <w:sz w:val="21"/>
                <w:szCs w:val="21"/>
                <w:highlight w:val="none"/>
              </w:rPr>
            </w:pPr>
          </w:p>
        </w:tc>
      </w:tr>
      <w:tr w14:paraId="19AA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7DB1CBBC">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969" w:type="dxa"/>
            <w:noWrap w:val="0"/>
            <w:vAlign w:val="center"/>
          </w:tcPr>
          <w:p w14:paraId="20A29DD6">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3081" w:type="dxa"/>
            <w:noWrap w:val="0"/>
            <w:vAlign w:val="center"/>
          </w:tcPr>
          <w:p w14:paraId="268BD9A7">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307" w:type="dxa"/>
            <w:noWrap w:val="0"/>
            <w:vAlign w:val="center"/>
          </w:tcPr>
          <w:p w14:paraId="288EBC3E">
            <w:pPr>
              <w:tabs>
                <w:tab w:val="left" w:pos="6300"/>
              </w:tabs>
              <w:snapToGrid w:val="0"/>
              <w:spacing w:line="500" w:lineRule="exact"/>
              <w:jc w:val="center"/>
              <w:rPr>
                <w:rFonts w:hint="eastAsia" w:ascii="宋体" w:hAnsi="宋体" w:eastAsia="宋体" w:cs="宋体"/>
                <w:color w:val="auto"/>
                <w:sz w:val="21"/>
                <w:szCs w:val="21"/>
                <w:highlight w:val="none"/>
              </w:rPr>
            </w:pPr>
          </w:p>
        </w:tc>
      </w:tr>
      <w:tr w14:paraId="330D4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271" w:type="dxa"/>
            <w:noWrap w:val="0"/>
            <w:vAlign w:val="center"/>
          </w:tcPr>
          <w:p w14:paraId="7C18BF84">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969" w:type="dxa"/>
            <w:noWrap w:val="0"/>
            <w:vAlign w:val="center"/>
          </w:tcPr>
          <w:p w14:paraId="28A32CFB">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3081" w:type="dxa"/>
            <w:noWrap w:val="0"/>
            <w:vAlign w:val="center"/>
          </w:tcPr>
          <w:p w14:paraId="15C04166">
            <w:pPr>
              <w:tabs>
                <w:tab w:val="left" w:pos="6300"/>
              </w:tabs>
              <w:snapToGrid w:val="0"/>
              <w:spacing w:line="500" w:lineRule="exact"/>
              <w:jc w:val="center"/>
              <w:rPr>
                <w:rFonts w:hint="eastAsia" w:ascii="宋体" w:hAnsi="宋体" w:eastAsia="宋体" w:cs="宋体"/>
                <w:color w:val="auto"/>
                <w:sz w:val="21"/>
                <w:szCs w:val="21"/>
                <w:highlight w:val="none"/>
              </w:rPr>
            </w:pPr>
          </w:p>
        </w:tc>
        <w:tc>
          <w:tcPr>
            <w:tcW w:w="2307" w:type="dxa"/>
            <w:noWrap w:val="0"/>
            <w:vAlign w:val="center"/>
          </w:tcPr>
          <w:p w14:paraId="3E443169">
            <w:pPr>
              <w:tabs>
                <w:tab w:val="left" w:pos="6300"/>
              </w:tabs>
              <w:snapToGrid w:val="0"/>
              <w:spacing w:line="500" w:lineRule="exact"/>
              <w:jc w:val="center"/>
              <w:rPr>
                <w:rFonts w:hint="eastAsia" w:ascii="宋体" w:hAnsi="宋体" w:eastAsia="宋体" w:cs="宋体"/>
                <w:color w:val="auto"/>
                <w:sz w:val="21"/>
                <w:szCs w:val="21"/>
                <w:highlight w:val="none"/>
              </w:rPr>
            </w:pPr>
          </w:p>
        </w:tc>
      </w:tr>
    </w:tbl>
    <w:p w14:paraId="6CABB055">
      <w:pPr>
        <w:spacing w:line="500" w:lineRule="exact"/>
        <w:ind w:firstLine="600" w:firstLineChars="25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eastAsia="zh-CN"/>
        </w:rPr>
        <w:t>竞选人</w:t>
      </w:r>
      <w:r>
        <w:rPr>
          <w:rFonts w:hint="eastAsia" w:ascii="宋体" w:hAnsi="宋体" w:eastAsia="宋体" w:cs="宋体"/>
          <w:color w:val="auto"/>
          <w:sz w:val="24"/>
          <w:szCs w:val="28"/>
          <w:highlight w:val="none"/>
        </w:rPr>
        <w:t>：                      法定代表人（或法定代表人授权代表）：</w:t>
      </w:r>
    </w:p>
    <w:p w14:paraId="3A23A754">
      <w:pPr>
        <w:spacing w:line="500" w:lineRule="exact"/>
        <w:ind w:firstLine="720" w:firstLineChars="3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eastAsia="zh-CN"/>
        </w:rPr>
        <w:t>竞选人</w:t>
      </w:r>
      <w:r>
        <w:rPr>
          <w:rFonts w:hint="eastAsia" w:ascii="宋体" w:hAnsi="宋体" w:eastAsia="宋体" w:cs="宋体"/>
          <w:color w:val="auto"/>
          <w:sz w:val="24"/>
          <w:szCs w:val="28"/>
          <w:highlight w:val="none"/>
        </w:rPr>
        <w:t>公章）                               （签署或盖章）</w:t>
      </w:r>
    </w:p>
    <w:p w14:paraId="48149DBC">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szCs w:val="28"/>
          <w:highlight w:val="none"/>
        </w:rPr>
        <w:t xml:space="preserve">                                            年     月     日</w:t>
      </w:r>
    </w:p>
    <w:p w14:paraId="0D4EF936">
      <w:pPr>
        <w:tabs>
          <w:tab w:val="left" w:pos="6300"/>
        </w:tabs>
        <w:snapToGrid w:val="0"/>
        <w:spacing w:line="500" w:lineRule="exact"/>
        <w:ind w:firstLine="57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p>
    <w:p w14:paraId="0C2E0CFF">
      <w:pPr>
        <w:tabs>
          <w:tab w:val="left" w:pos="6300"/>
        </w:tabs>
        <w:snapToGrid w:val="0"/>
        <w:spacing w:line="500" w:lineRule="exact"/>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1.本表即为对本项目“第二篇  </w:t>
      </w:r>
      <w:r>
        <w:rPr>
          <w:rFonts w:hint="eastAsia" w:ascii="宋体" w:hAnsi="宋体" w:eastAsia="宋体" w:cs="宋体"/>
          <w:color w:val="auto"/>
          <w:sz w:val="24"/>
          <w:szCs w:val="24"/>
          <w:highlight w:val="none"/>
          <w:lang w:eastAsia="zh-CN"/>
        </w:rPr>
        <w:t>竞选</w:t>
      </w:r>
      <w:r>
        <w:rPr>
          <w:rFonts w:hint="eastAsia" w:ascii="宋体" w:hAnsi="宋体" w:eastAsia="宋体" w:cs="宋体"/>
          <w:color w:val="auto"/>
          <w:sz w:val="24"/>
          <w:szCs w:val="24"/>
          <w:highlight w:val="none"/>
        </w:rPr>
        <w:t>需求”中所列条款进行比较和响应；</w:t>
      </w:r>
    </w:p>
    <w:p w14:paraId="4EA1E6B2">
      <w:pPr>
        <w:tabs>
          <w:tab w:val="left" w:pos="6300"/>
        </w:tabs>
        <w:snapToGrid w:val="0"/>
        <w:spacing w:line="500" w:lineRule="exact"/>
        <w:ind w:firstLine="57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2.本表可扩展；</w:t>
      </w:r>
    </w:p>
    <w:p w14:paraId="143788AD">
      <w:pPr>
        <w:tabs>
          <w:tab w:val="left" w:pos="6300"/>
        </w:tabs>
        <w:snapToGrid w:val="0"/>
        <w:spacing w:line="500" w:lineRule="exact"/>
        <w:ind w:firstLine="570"/>
        <w:rPr>
          <w:rFonts w:hint="eastAsia"/>
          <w:color w:val="000000"/>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需根据竞选需求提供</w:t>
      </w:r>
      <w:r>
        <w:rPr>
          <w:rFonts w:hint="eastAsia" w:ascii="宋体" w:hAnsi="宋体" w:eastAsia="宋体" w:cs="宋体"/>
          <w:color w:val="auto"/>
          <w:sz w:val="24"/>
          <w:szCs w:val="24"/>
          <w:highlight w:val="none"/>
        </w:rPr>
        <w:t>相关支撑材料（格式自</w:t>
      </w:r>
      <w:r>
        <w:rPr>
          <w:rFonts w:hint="eastAsia" w:ascii="宋体" w:hAnsi="宋体" w:eastAsia="宋体" w:cs="宋体"/>
          <w:color w:val="auto"/>
          <w:sz w:val="24"/>
          <w:szCs w:val="24"/>
          <w:highlight w:val="none"/>
          <w:lang w:eastAsia="zh-CN"/>
        </w:rPr>
        <w:t>拟</w:t>
      </w:r>
      <w:r>
        <w:rPr>
          <w:rFonts w:hint="eastAsia" w:ascii="宋体" w:hAnsi="宋体" w:eastAsia="宋体" w:cs="宋体"/>
          <w:color w:val="auto"/>
          <w:sz w:val="24"/>
          <w:szCs w:val="24"/>
          <w:highlight w:val="none"/>
        </w:rPr>
        <w:t>）。</w:t>
      </w:r>
    </w:p>
    <w:p w14:paraId="230309F4">
      <w:pPr>
        <w:pStyle w:val="17"/>
        <w:shd w:val="clear" w:color="auto" w:fill="FFFFFF"/>
        <w:rPr>
          <w:rFonts w:hint="eastAsia"/>
          <w:color w:val="000000"/>
        </w:rPr>
      </w:pPr>
    </w:p>
    <w:p w14:paraId="7D3B82BE">
      <w:pPr>
        <w:shd w:val="clear" w:color="auto" w:fill="FFFFFF"/>
        <w:tabs>
          <w:tab w:val="left" w:pos="6300"/>
        </w:tabs>
        <w:snapToGrid w:val="0"/>
        <w:spacing w:line="500" w:lineRule="exact"/>
        <w:ind w:firstLine="570"/>
        <w:jc w:val="left"/>
        <w:rPr>
          <w:rFonts w:hint="eastAsia" w:ascii="宋体" w:hAnsi="宋体"/>
          <w:color w:val="000000"/>
          <w:sz w:val="24"/>
        </w:rPr>
      </w:pPr>
    </w:p>
    <w:p w14:paraId="2D0F6DD6">
      <w:pPr>
        <w:pStyle w:val="5"/>
        <w:shd w:val="clear" w:color="auto" w:fill="FFFFFF"/>
        <w:spacing w:line="500" w:lineRule="exact"/>
        <w:ind w:firstLine="480" w:firstLineChars="200"/>
        <w:rPr>
          <w:rFonts w:hint="eastAsia" w:cs="宋体"/>
          <w:color w:val="000000"/>
          <w:sz w:val="24"/>
          <w:szCs w:val="24"/>
        </w:rPr>
      </w:pPr>
      <w:r>
        <w:rPr>
          <w:color w:val="000000"/>
          <w:sz w:val="24"/>
        </w:rPr>
        <w:br w:type="page"/>
      </w:r>
      <w:bookmarkStart w:id="118" w:name="_Toc27140"/>
      <w:bookmarkStart w:id="119" w:name="_Toc31582"/>
      <w:bookmarkStart w:id="120" w:name="_Toc10990"/>
      <w:r>
        <w:rPr>
          <w:rFonts w:hint="eastAsia" w:ascii="宋体" w:hAnsi="宋体" w:eastAsia="宋体" w:cs="Times New Roman"/>
          <w:b/>
          <w:color w:val="000000"/>
          <w:szCs w:val="28"/>
          <w:lang w:eastAsia="zh-CN"/>
        </w:rPr>
        <w:t>四</w:t>
      </w:r>
      <w:r>
        <w:rPr>
          <w:rFonts w:hint="eastAsia" w:ascii="宋体" w:hAnsi="宋体" w:eastAsia="宋体" w:cs="Times New Roman"/>
          <w:b/>
          <w:color w:val="000000"/>
          <w:szCs w:val="28"/>
        </w:rPr>
        <w:t>、中小</w:t>
      </w:r>
      <w:r>
        <w:rPr>
          <w:rFonts w:hint="eastAsia"/>
          <w:b/>
          <w:color w:val="000000"/>
          <w:szCs w:val="28"/>
        </w:rPr>
        <w:t>企业声明函</w:t>
      </w:r>
      <w:bookmarkEnd w:id="118"/>
      <w:bookmarkEnd w:id="119"/>
      <w:bookmarkEnd w:id="120"/>
    </w:p>
    <w:p w14:paraId="5BF97F40">
      <w:pPr>
        <w:widowControl/>
        <w:shd w:val="clear" w:color="auto" w:fill="FFFFFF"/>
        <w:jc w:val="left"/>
        <w:rPr>
          <w:rFonts w:hint="eastAsia" w:ascii="宋体" w:hAnsi="宋体"/>
          <w:color w:val="000000"/>
          <w:sz w:val="24"/>
        </w:rPr>
      </w:pPr>
    </w:p>
    <w:p w14:paraId="3E851153">
      <w:pPr>
        <w:spacing w:line="400" w:lineRule="exact"/>
        <w:ind w:firstLine="480" w:firstLineChars="200"/>
        <w:jc w:val="center"/>
        <w:rPr>
          <w:rFonts w:hint="eastAsia" w:ascii="宋体" w:hAnsi="宋体" w:eastAsia="宋体" w:cs="宋体"/>
          <w:color w:val="auto"/>
          <w:sz w:val="24"/>
          <w:szCs w:val="28"/>
          <w:highlight w:val="none"/>
        </w:rPr>
      </w:pPr>
      <w:r>
        <w:rPr>
          <w:rFonts w:hint="eastAsia" w:ascii="宋体" w:hAnsi="宋体" w:cs="宋体"/>
          <w:color w:val="000000"/>
          <w:sz w:val="24"/>
          <w:szCs w:val="28"/>
        </w:rPr>
        <w:t>中小企业声明函</w:t>
      </w:r>
      <w:r>
        <w:rPr>
          <w:rFonts w:hint="eastAsia" w:ascii="宋体" w:hAnsi="宋体" w:eastAsia="宋体" w:cs="宋体"/>
          <w:color w:val="auto"/>
          <w:sz w:val="24"/>
          <w:szCs w:val="28"/>
          <w:highlight w:val="none"/>
        </w:rPr>
        <w:t>（服务类）</w:t>
      </w:r>
    </w:p>
    <w:p w14:paraId="3DD64802">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本公司郑重声明，根据《政府</w:t>
      </w:r>
      <w:r>
        <w:rPr>
          <w:rFonts w:hint="eastAsia" w:ascii="宋体" w:hAnsi="宋体" w:cs="宋体"/>
          <w:color w:val="auto"/>
          <w:sz w:val="24"/>
          <w:szCs w:val="28"/>
          <w:highlight w:val="none"/>
          <w:lang w:eastAsia="zh-CN"/>
        </w:rPr>
        <w:t>采购</w:t>
      </w:r>
      <w:r>
        <w:rPr>
          <w:rFonts w:hint="eastAsia" w:ascii="宋体" w:hAnsi="宋体" w:eastAsia="宋体" w:cs="宋体"/>
          <w:color w:val="auto"/>
          <w:sz w:val="24"/>
          <w:szCs w:val="28"/>
          <w:highlight w:val="none"/>
        </w:rPr>
        <w:t>促进中小企业发展管理办法》（财库〔2020〕46号）的规定，本公司参加</w:t>
      </w:r>
      <w:r>
        <w:rPr>
          <w:rFonts w:hint="eastAsia" w:ascii="宋体" w:hAnsi="宋体" w:eastAsia="宋体" w:cs="宋体"/>
          <w:color w:val="auto"/>
          <w:sz w:val="24"/>
          <w:szCs w:val="28"/>
          <w:highlight w:val="none"/>
          <w:u w:val="single"/>
        </w:rPr>
        <w:t>（单位名称）</w:t>
      </w:r>
      <w:r>
        <w:rPr>
          <w:rFonts w:hint="eastAsia" w:ascii="宋体" w:hAnsi="宋体" w:eastAsia="宋体" w:cs="宋体"/>
          <w:color w:val="auto"/>
          <w:sz w:val="24"/>
          <w:szCs w:val="28"/>
          <w:highlight w:val="none"/>
        </w:rPr>
        <w:t>的</w:t>
      </w:r>
      <w:r>
        <w:rPr>
          <w:rFonts w:hint="eastAsia" w:ascii="宋体" w:hAnsi="宋体" w:eastAsia="宋体" w:cs="宋体"/>
          <w:color w:val="auto"/>
          <w:sz w:val="24"/>
          <w:szCs w:val="28"/>
          <w:highlight w:val="none"/>
          <w:u w:val="single"/>
        </w:rPr>
        <w:t>（项目名称）</w:t>
      </w:r>
      <w:r>
        <w:rPr>
          <w:rFonts w:hint="eastAsia" w:ascii="宋体" w:hAnsi="宋体" w:eastAsia="宋体" w:cs="宋体"/>
          <w:color w:val="auto"/>
          <w:sz w:val="24"/>
          <w:szCs w:val="28"/>
          <w:highlight w:val="none"/>
          <w:lang w:eastAsia="zh-CN"/>
        </w:rPr>
        <w:t>竞选</w:t>
      </w:r>
      <w:r>
        <w:rPr>
          <w:rFonts w:hint="eastAsia" w:ascii="宋体" w:hAnsi="宋体" w:eastAsia="宋体" w:cs="宋体"/>
          <w:color w:val="auto"/>
          <w:sz w:val="24"/>
          <w:szCs w:val="28"/>
          <w:highlight w:val="none"/>
        </w:rPr>
        <w:t>活动，服务全部由符合政策要求的中小企业承接。相关企业的具体情况如下：</w:t>
      </w:r>
    </w:p>
    <w:p w14:paraId="74DE31F1">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w:t>
      </w:r>
      <w:r>
        <w:rPr>
          <w:rFonts w:hint="eastAsia" w:ascii="宋体" w:hAnsi="宋体" w:eastAsia="宋体" w:cs="宋体"/>
          <w:color w:val="auto"/>
          <w:sz w:val="24"/>
          <w:szCs w:val="28"/>
          <w:highlight w:val="none"/>
          <w:u w:val="single"/>
        </w:rPr>
        <w:t>（标的名称）</w:t>
      </w:r>
      <w:r>
        <w:rPr>
          <w:rFonts w:hint="eastAsia" w:ascii="宋体" w:hAnsi="宋体" w:eastAsia="宋体" w:cs="宋体"/>
          <w:color w:val="auto"/>
          <w:sz w:val="24"/>
          <w:szCs w:val="28"/>
          <w:highlight w:val="none"/>
        </w:rPr>
        <w:t>，属于（</w:t>
      </w:r>
      <w:r>
        <w:rPr>
          <w:rFonts w:hint="eastAsia" w:ascii="宋体" w:hAnsi="宋体" w:eastAsia="宋体" w:cs="宋体"/>
          <w:color w:val="auto"/>
          <w:sz w:val="24"/>
          <w:szCs w:val="28"/>
          <w:highlight w:val="none"/>
          <w:lang w:eastAsia="zh-CN"/>
        </w:rPr>
        <w:t>竞选</w:t>
      </w:r>
      <w:r>
        <w:rPr>
          <w:rFonts w:hint="eastAsia" w:ascii="宋体" w:hAnsi="宋体" w:eastAsia="宋体" w:cs="宋体"/>
          <w:color w:val="auto"/>
          <w:sz w:val="24"/>
          <w:szCs w:val="28"/>
          <w:highlight w:val="none"/>
        </w:rPr>
        <w:t>文件中明确的所属行业）；承接企业为</w:t>
      </w:r>
      <w:r>
        <w:rPr>
          <w:rFonts w:hint="eastAsia" w:ascii="宋体" w:hAnsi="宋体" w:eastAsia="宋体" w:cs="宋体"/>
          <w:color w:val="auto"/>
          <w:sz w:val="24"/>
          <w:szCs w:val="28"/>
          <w:highlight w:val="none"/>
          <w:u w:val="single"/>
        </w:rPr>
        <w:t>（企业名称）</w:t>
      </w:r>
      <w:r>
        <w:rPr>
          <w:rFonts w:hint="eastAsia" w:ascii="宋体" w:hAnsi="宋体" w:eastAsia="宋体" w:cs="宋体"/>
          <w:color w:val="auto"/>
          <w:sz w:val="24"/>
          <w:szCs w:val="28"/>
          <w:highlight w:val="none"/>
        </w:rPr>
        <w:t>，从业人员</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人，营业收入为</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万元，资产总额为</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万元，属于（中型企业、小型企业、微型企业）；</w:t>
      </w:r>
    </w:p>
    <w:p w14:paraId="619E1033">
      <w:pPr>
        <w:spacing w:line="400" w:lineRule="exact"/>
        <w:ind w:firstLine="480" w:firstLineChars="20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为本标的提供的服务人员</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人，其中与本企业签订劳动</w:t>
      </w:r>
      <w:r>
        <w:rPr>
          <w:rFonts w:hint="eastAsia" w:ascii="宋体" w:hAnsi="宋体" w:cs="宋体"/>
          <w:color w:val="auto"/>
          <w:sz w:val="24"/>
          <w:szCs w:val="28"/>
          <w:highlight w:val="none"/>
          <w:lang w:eastAsia="zh-CN"/>
        </w:rPr>
        <w:t>合同</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人，其他人员</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人。有其他人员的不符合中小企业扶持政策;</w:t>
      </w:r>
    </w:p>
    <w:p w14:paraId="408E8BFC">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2. </w:t>
      </w:r>
      <w:r>
        <w:rPr>
          <w:rFonts w:hint="eastAsia" w:ascii="宋体" w:hAnsi="宋体" w:eastAsia="宋体" w:cs="宋体"/>
          <w:color w:val="auto"/>
          <w:sz w:val="24"/>
          <w:szCs w:val="28"/>
          <w:highlight w:val="none"/>
          <w:u w:val="single"/>
        </w:rPr>
        <w:t>（标的名称）</w:t>
      </w:r>
      <w:r>
        <w:rPr>
          <w:rFonts w:hint="eastAsia" w:ascii="宋体" w:hAnsi="宋体" w:eastAsia="宋体" w:cs="宋体"/>
          <w:color w:val="auto"/>
          <w:sz w:val="24"/>
          <w:szCs w:val="28"/>
          <w:highlight w:val="none"/>
        </w:rPr>
        <w:t>，属于</w:t>
      </w:r>
      <w:r>
        <w:rPr>
          <w:rFonts w:hint="eastAsia" w:ascii="宋体" w:hAnsi="宋体" w:eastAsia="宋体" w:cs="宋体"/>
          <w:color w:val="auto"/>
          <w:sz w:val="24"/>
          <w:szCs w:val="28"/>
          <w:highlight w:val="none"/>
          <w:u w:val="single"/>
        </w:rPr>
        <w:t>（</w:t>
      </w:r>
      <w:r>
        <w:rPr>
          <w:rFonts w:hint="eastAsia" w:ascii="宋体" w:hAnsi="宋体" w:eastAsia="宋体" w:cs="宋体"/>
          <w:color w:val="auto"/>
          <w:sz w:val="24"/>
          <w:szCs w:val="28"/>
          <w:highlight w:val="none"/>
          <w:u w:val="single"/>
          <w:lang w:eastAsia="zh-CN"/>
        </w:rPr>
        <w:t>竞选</w:t>
      </w:r>
      <w:r>
        <w:rPr>
          <w:rFonts w:hint="eastAsia" w:ascii="宋体" w:hAnsi="宋体" w:eastAsia="宋体" w:cs="宋体"/>
          <w:color w:val="auto"/>
          <w:sz w:val="24"/>
          <w:szCs w:val="28"/>
          <w:highlight w:val="none"/>
          <w:u w:val="single"/>
        </w:rPr>
        <w:t>文件中明确的所属行业）</w:t>
      </w:r>
      <w:r>
        <w:rPr>
          <w:rFonts w:hint="eastAsia" w:ascii="宋体" w:hAnsi="宋体" w:eastAsia="宋体" w:cs="宋体"/>
          <w:color w:val="auto"/>
          <w:sz w:val="24"/>
          <w:szCs w:val="28"/>
          <w:highlight w:val="none"/>
        </w:rPr>
        <w:t>；承接企业为</w:t>
      </w:r>
      <w:r>
        <w:rPr>
          <w:rFonts w:hint="eastAsia" w:ascii="宋体" w:hAnsi="宋体" w:eastAsia="宋体" w:cs="宋体"/>
          <w:color w:val="auto"/>
          <w:sz w:val="24"/>
          <w:szCs w:val="28"/>
          <w:highlight w:val="none"/>
          <w:u w:val="single"/>
        </w:rPr>
        <w:t>（企业名称）</w:t>
      </w:r>
      <w:r>
        <w:rPr>
          <w:rFonts w:hint="eastAsia" w:ascii="宋体" w:hAnsi="宋体" w:eastAsia="宋体" w:cs="宋体"/>
          <w:color w:val="auto"/>
          <w:sz w:val="24"/>
          <w:szCs w:val="28"/>
          <w:highlight w:val="none"/>
        </w:rPr>
        <w:t>，从业人员</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人，营业收入为</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万元，资产总额为</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万元，属于（中型企业、小型企业、微型企业）；</w:t>
      </w:r>
    </w:p>
    <w:p w14:paraId="7B579229">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为本标的提供的服务人员</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人，其中与本企业签订劳动</w:t>
      </w:r>
      <w:r>
        <w:rPr>
          <w:rFonts w:hint="eastAsia" w:ascii="宋体" w:hAnsi="宋体" w:eastAsia="宋体" w:cs="宋体"/>
          <w:color w:val="auto"/>
          <w:sz w:val="24"/>
          <w:szCs w:val="28"/>
          <w:highlight w:val="none"/>
          <w:lang w:eastAsia="zh-CN"/>
        </w:rPr>
        <w:t xml:space="preserve">协议 </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人，其他人员</w:t>
      </w:r>
      <w:r>
        <w:rPr>
          <w:rFonts w:hint="eastAsia" w:ascii="宋体" w:hAnsi="宋体" w:eastAsia="宋体" w:cs="宋体"/>
          <w:color w:val="auto"/>
          <w:sz w:val="24"/>
          <w:szCs w:val="28"/>
          <w:highlight w:val="none"/>
          <w:u w:val="single"/>
        </w:rPr>
        <w:t xml:space="preserve">      </w:t>
      </w:r>
      <w:r>
        <w:rPr>
          <w:rFonts w:hint="eastAsia" w:ascii="宋体" w:hAnsi="宋体" w:eastAsia="宋体" w:cs="宋体"/>
          <w:color w:val="auto"/>
          <w:sz w:val="24"/>
          <w:szCs w:val="28"/>
          <w:highlight w:val="none"/>
        </w:rPr>
        <w:t xml:space="preserve">   人。有其他人员的不符合中小企业扶持政策;</w:t>
      </w:r>
    </w:p>
    <w:p w14:paraId="0FAF6285">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p>
    <w:p w14:paraId="6C1D6A9C">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以上企业，不属于大企业的分支机构，不存在控股股东为大企业的情形，也不存在与大企业的负责人为同一人的情形。</w:t>
      </w:r>
    </w:p>
    <w:p w14:paraId="38292F2B">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本企业对上述声明内容的真实性负责。如有虚假，将依法承担相应责任。</w:t>
      </w:r>
    </w:p>
    <w:p w14:paraId="465EF35F">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                                                </w:t>
      </w:r>
    </w:p>
    <w:p w14:paraId="718AE547">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企业名称（盖章）： </w:t>
      </w:r>
    </w:p>
    <w:p w14:paraId="5B702211">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日期：</w:t>
      </w:r>
    </w:p>
    <w:p w14:paraId="786E9DC6">
      <w:pPr>
        <w:spacing w:line="400" w:lineRule="exact"/>
        <w:ind w:firstLine="480" w:firstLineChars="200"/>
        <w:rPr>
          <w:rFonts w:hint="eastAsia" w:ascii="宋体" w:hAnsi="宋体" w:eastAsia="宋体" w:cs="宋体"/>
          <w:color w:val="auto"/>
          <w:sz w:val="24"/>
          <w:szCs w:val="28"/>
          <w:highlight w:val="none"/>
        </w:rPr>
      </w:pPr>
    </w:p>
    <w:p w14:paraId="716F7C7A">
      <w:pPr>
        <w:spacing w:line="400" w:lineRule="exact"/>
        <w:ind w:firstLine="480" w:firstLineChars="200"/>
        <w:rPr>
          <w:rFonts w:hint="eastAsia" w:ascii="宋体" w:hAnsi="宋体" w:eastAsia="宋体" w:cs="宋体"/>
          <w:color w:val="auto"/>
          <w:sz w:val="24"/>
          <w:szCs w:val="28"/>
          <w:highlight w:val="none"/>
        </w:rPr>
      </w:pPr>
    </w:p>
    <w:p w14:paraId="176671DD">
      <w:pPr>
        <w:spacing w:line="400" w:lineRule="exact"/>
        <w:ind w:firstLine="480" w:firstLineChars="200"/>
        <w:rPr>
          <w:rFonts w:hint="eastAsia" w:ascii="宋体" w:hAnsi="宋体" w:eastAsia="宋体" w:cs="宋体"/>
          <w:color w:val="auto"/>
          <w:sz w:val="24"/>
          <w:szCs w:val="28"/>
          <w:highlight w:val="none"/>
        </w:rPr>
      </w:pPr>
    </w:p>
    <w:p w14:paraId="37D4440A">
      <w:pPr>
        <w:spacing w:line="400" w:lineRule="exact"/>
        <w:ind w:firstLine="480" w:firstLineChars="200"/>
        <w:rPr>
          <w:rFonts w:hint="eastAsia" w:ascii="宋体" w:hAnsi="宋体" w:eastAsia="宋体" w:cs="宋体"/>
          <w:color w:val="auto"/>
          <w:sz w:val="24"/>
          <w:szCs w:val="28"/>
          <w:highlight w:val="none"/>
        </w:rPr>
      </w:pPr>
    </w:p>
    <w:p w14:paraId="7F9481B3">
      <w:pPr>
        <w:spacing w:line="400" w:lineRule="exact"/>
        <w:ind w:firstLine="480" w:firstLineChars="200"/>
        <w:rPr>
          <w:rFonts w:hint="eastAsia" w:ascii="宋体" w:hAnsi="宋体" w:eastAsia="宋体" w:cs="宋体"/>
          <w:color w:val="auto"/>
          <w:sz w:val="24"/>
          <w:szCs w:val="28"/>
          <w:highlight w:val="none"/>
        </w:rPr>
      </w:pPr>
    </w:p>
    <w:p w14:paraId="11BA0523">
      <w:pPr>
        <w:spacing w:line="400" w:lineRule="exact"/>
        <w:ind w:firstLine="480" w:firstLineChars="200"/>
        <w:rPr>
          <w:rFonts w:hint="eastAsia" w:ascii="宋体" w:hAnsi="宋体" w:eastAsia="宋体" w:cs="宋体"/>
          <w:color w:val="auto"/>
          <w:sz w:val="24"/>
          <w:szCs w:val="28"/>
          <w:highlight w:val="none"/>
        </w:rPr>
      </w:pPr>
    </w:p>
    <w:p w14:paraId="3B7CF708">
      <w:pPr>
        <w:spacing w:line="400" w:lineRule="exact"/>
        <w:ind w:firstLine="480" w:firstLineChars="200"/>
        <w:rPr>
          <w:rFonts w:hint="eastAsia" w:ascii="宋体" w:hAnsi="宋体" w:eastAsia="宋体" w:cs="宋体"/>
          <w:color w:val="auto"/>
          <w:sz w:val="24"/>
          <w:szCs w:val="28"/>
          <w:highlight w:val="none"/>
        </w:rPr>
      </w:pPr>
    </w:p>
    <w:p w14:paraId="1FCB4C3D">
      <w:pPr>
        <w:spacing w:line="400" w:lineRule="exact"/>
        <w:ind w:firstLine="480" w:firstLineChars="200"/>
        <w:rPr>
          <w:rFonts w:hint="eastAsia" w:ascii="宋体" w:hAnsi="宋体" w:eastAsia="宋体" w:cs="宋体"/>
          <w:color w:val="auto"/>
          <w:sz w:val="24"/>
          <w:szCs w:val="28"/>
          <w:highlight w:val="none"/>
        </w:rPr>
      </w:pPr>
    </w:p>
    <w:p w14:paraId="753C4C42">
      <w:pPr>
        <w:spacing w:line="400" w:lineRule="exact"/>
        <w:ind w:firstLine="480" w:firstLineChars="200"/>
        <w:rPr>
          <w:rFonts w:hint="eastAsia" w:ascii="宋体" w:hAnsi="宋体" w:eastAsia="宋体" w:cs="宋体"/>
          <w:color w:val="auto"/>
          <w:sz w:val="24"/>
          <w:szCs w:val="28"/>
          <w:highlight w:val="none"/>
        </w:rPr>
      </w:pPr>
    </w:p>
    <w:p w14:paraId="7FEE41A1">
      <w:pPr>
        <w:spacing w:line="400" w:lineRule="exact"/>
        <w:ind w:firstLine="480" w:firstLineChars="200"/>
        <w:rPr>
          <w:rFonts w:hint="eastAsia" w:ascii="宋体" w:hAnsi="宋体" w:eastAsia="宋体" w:cs="宋体"/>
          <w:color w:val="auto"/>
          <w:sz w:val="24"/>
          <w:szCs w:val="28"/>
          <w:highlight w:val="none"/>
        </w:rPr>
      </w:pPr>
    </w:p>
    <w:p w14:paraId="683550D4">
      <w:pPr>
        <w:spacing w:line="400" w:lineRule="exact"/>
        <w:ind w:firstLine="480" w:firstLineChars="200"/>
        <w:rPr>
          <w:rFonts w:hint="eastAsia" w:ascii="宋体" w:hAnsi="宋体" w:eastAsia="宋体" w:cs="宋体"/>
          <w:color w:val="auto"/>
          <w:sz w:val="24"/>
          <w:szCs w:val="28"/>
          <w:highlight w:val="none"/>
        </w:rPr>
      </w:pPr>
    </w:p>
    <w:p w14:paraId="793A5355">
      <w:pPr>
        <w:spacing w:line="400" w:lineRule="exact"/>
        <w:ind w:firstLine="480" w:firstLineChars="200"/>
        <w:rPr>
          <w:rFonts w:hint="eastAsia" w:ascii="宋体" w:hAnsi="宋体" w:eastAsia="宋体" w:cs="宋体"/>
          <w:color w:val="auto"/>
          <w:sz w:val="24"/>
          <w:szCs w:val="28"/>
          <w:highlight w:val="none"/>
        </w:rPr>
      </w:pPr>
    </w:p>
    <w:p w14:paraId="583FF5D3">
      <w:pPr>
        <w:spacing w:line="400" w:lineRule="exact"/>
        <w:ind w:firstLine="480" w:firstLineChars="200"/>
        <w:rPr>
          <w:rFonts w:hint="eastAsia" w:ascii="宋体" w:hAnsi="宋体" w:eastAsia="宋体" w:cs="宋体"/>
          <w:color w:val="auto"/>
          <w:sz w:val="24"/>
          <w:szCs w:val="28"/>
          <w:highlight w:val="none"/>
        </w:rPr>
      </w:pPr>
    </w:p>
    <w:p w14:paraId="35A0591F">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填写时应注意以下事项：</w:t>
      </w:r>
    </w:p>
    <w:p w14:paraId="4D2EACBE">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1.从业人员、营业收入、资产总额填报上一年度数据，无上一年度数据的新成立企业可不填报。</w:t>
      </w:r>
    </w:p>
    <w:p w14:paraId="20873F03">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2.中小企业应当按照《中小企业划型标准规定》（工信部联企业〔2011〕300号），如实填写并提交《中小企业声明函》。</w:t>
      </w:r>
    </w:p>
    <w:p w14:paraId="58B7B731">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hint="eastAsia" w:ascii="宋体" w:hAnsi="宋体" w:eastAsia="宋体" w:cs="宋体"/>
          <w:color w:val="auto"/>
          <w:sz w:val="24"/>
          <w:szCs w:val="28"/>
          <w:highlight w:val="none"/>
          <w:lang w:eastAsia="zh-CN"/>
        </w:rPr>
        <w:t>竞选人</w:t>
      </w:r>
      <w:r>
        <w:rPr>
          <w:rFonts w:hint="eastAsia" w:ascii="宋体" w:hAnsi="宋体" w:eastAsia="宋体" w:cs="宋体"/>
          <w:color w:val="auto"/>
          <w:sz w:val="24"/>
          <w:szCs w:val="28"/>
          <w:highlight w:val="none"/>
        </w:rPr>
        <w:t>填写《中小企业声明函》中所属行业时，应与</w:t>
      </w:r>
      <w:r>
        <w:rPr>
          <w:rFonts w:hint="eastAsia" w:ascii="宋体" w:hAnsi="宋体" w:eastAsia="宋体" w:cs="宋体"/>
          <w:color w:val="auto"/>
          <w:sz w:val="24"/>
          <w:szCs w:val="28"/>
          <w:highlight w:val="none"/>
          <w:lang w:eastAsia="zh-CN"/>
        </w:rPr>
        <w:t>竞选</w:t>
      </w:r>
      <w:r>
        <w:rPr>
          <w:rFonts w:hint="eastAsia" w:ascii="宋体" w:hAnsi="宋体" w:eastAsia="宋体" w:cs="宋体"/>
          <w:color w:val="auto"/>
          <w:sz w:val="24"/>
          <w:szCs w:val="28"/>
          <w:highlight w:val="none"/>
        </w:rPr>
        <w:t>文件第一篇“</w:t>
      </w:r>
      <w:r>
        <w:rPr>
          <w:rFonts w:hint="eastAsia" w:ascii="宋体" w:hAnsi="宋体" w:eastAsia="宋体" w:cs="宋体"/>
          <w:color w:val="auto"/>
          <w:sz w:val="24"/>
          <w:szCs w:val="28"/>
          <w:highlight w:val="none"/>
          <w:lang w:eastAsia="zh-CN"/>
        </w:rPr>
        <w:t>竞选</w:t>
      </w:r>
      <w:r>
        <w:rPr>
          <w:rFonts w:hint="eastAsia" w:ascii="宋体" w:hAnsi="宋体" w:eastAsia="宋体" w:cs="宋体"/>
          <w:color w:val="auto"/>
          <w:sz w:val="24"/>
          <w:szCs w:val="28"/>
          <w:highlight w:val="none"/>
        </w:rPr>
        <w:t>标的对应的中小企业划分标准所属行业”中填写的所属行业一致。</w:t>
      </w:r>
    </w:p>
    <w:p w14:paraId="71A22B90">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4.本声明函“企业名称（盖章）”处为</w:t>
      </w:r>
      <w:r>
        <w:rPr>
          <w:rFonts w:hint="eastAsia" w:ascii="宋体" w:hAnsi="宋体" w:eastAsia="宋体" w:cs="宋体"/>
          <w:color w:val="auto"/>
          <w:sz w:val="24"/>
          <w:szCs w:val="28"/>
          <w:highlight w:val="none"/>
          <w:lang w:eastAsia="zh-CN"/>
        </w:rPr>
        <w:t>竞选人</w:t>
      </w:r>
      <w:r>
        <w:rPr>
          <w:rFonts w:hint="eastAsia" w:ascii="宋体" w:hAnsi="宋体" w:eastAsia="宋体" w:cs="宋体"/>
          <w:color w:val="auto"/>
          <w:sz w:val="24"/>
          <w:szCs w:val="28"/>
          <w:highlight w:val="none"/>
        </w:rPr>
        <w:t>盖章。</w:t>
      </w:r>
    </w:p>
    <w:p w14:paraId="40C74DBB">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注：各行业划型标准：</w:t>
      </w:r>
    </w:p>
    <w:p w14:paraId="17112A9B">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（一）农、林、牧、渔业。营业收入20000万元以下的为中小微型企业。其中，营业收入500万元及以上的为中型企业，营业收入50万元及以上的为小型企业，营业收入50万元以下的为微型企业。</w:t>
      </w:r>
    </w:p>
    <w:p w14:paraId="08026E2B">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D534B56">
      <w:pPr>
        <w:spacing w:line="400" w:lineRule="exact"/>
        <w:ind w:firstLine="480" w:firstLineChars="200"/>
        <w:rPr>
          <w:rFonts w:hint="eastAsia" w:ascii="宋体" w:hAnsi="宋体" w:eastAsia="宋体" w:cs="宋体"/>
          <w:b w:val="0"/>
          <w:bCs w:val="0"/>
          <w:color w:val="auto"/>
          <w:sz w:val="24"/>
          <w:szCs w:val="28"/>
          <w:highlight w:val="none"/>
        </w:rPr>
      </w:pPr>
      <w:r>
        <w:rPr>
          <w:rFonts w:hint="eastAsia" w:ascii="宋体" w:hAnsi="宋体" w:eastAsia="宋体" w:cs="宋体"/>
          <w:b w:val="0"/>
          <w:bCs w:val="0"/>
          <w:color w:val="auto"/>
          <w:sz w:val="24"/>
          <w:szCs w:val="28"/>
          <w:highlight w:val="none"/>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472F9A17">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0B4DC0C">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2D2609B5">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2BD32696">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2E4A6AB9">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6604AF8">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E6E1001">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A7668FA">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630B216">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EF2BFC2">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2CE35B70">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2794C5E">
      <w:pPr>
        <w:spacing w:line="40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2B6CAC1F">
      <w:pPr>
        <w:spacing w:line="400" w:lineRule="exact"/>
        <w:ind w:firstLine="480" w:firstLineChars="200"/>
        <w:rPr>
          <w:rFonts w:hint="eastAsia" w:ascii="宋体" w:hAnsi="宋体" w:eastAsia="宋体" w:cs="宋体"/>
          <w:b w:val="0"/>
          <w:bCs w:val="0"/>
          <w:color w:val="auto"/>
          <w:sz w:val="24"/>
          <w:szCs w:val="28"/>
          <w:highlight w:val="none"/>
        </w:rPr>
      </w:pPr>
      <w:r>
        <w:rPr>
          <w:rFonts w:hint="eastAsia" w:ascii="宋体" w:hAnsi="宋体" w:eastAsia="宋体" w:cs="宋体"/>
          <w:b w:val="0"/>
          <w:bCs w:val="0"/>
          <w:color w:val="auto"/>
          <w:sz w:val="24"/>
          <w:szCs w:val="28"/>
          <w:highlight w:val="none"/>
        </w:rPr>
        <w:t>（十六）其他未列明行业。从业人员300人以下的为中小微型企业。其中，从业人员100人及以上的为中型企业；从业人员10人及以上的为小型企业；从业人员10人以下的为微型企业。</w:t>
      </w:r>
    </w:p>
    <w:p w14:paraId="3A3912C6">
      <w:pPr>
        <w:shd w:val="clear" w:color="auto" w:fill="FFFFFF"/>
        <w:tabs>
          <w:tab w:val="left" w:pos="6300"/>
        </w:tabs>
        <w:snapToGrid w:val="0"/>
        <w:spacing w:line="400" w:lineRule="exact"/>
        <w:jc w:val="left"/>
        <w:rPr>
          <w:rFonts w:hint="eastAsia" w:ascii="宋体" w:hAnsi="宋体" w:cs="宋体"/>
          <w:bCs/>
          <w:color w:val="000000"/>
          <w:sz w:val="21"/>
          <w:szCs w:val="21"/>
        </w:rPr>
      </w:pPr>
    </w:p>
    <w:p w14:paraId="6EBFD2F3">
      <w:pPr>
        <w:shd w:val="clear" w:color="auto" w:fill="FFFFFF"/>
        <w:tabs>
          <w:tab w:val="left" w:pos="6300"/>
        </w:tabs>
        <w:snapToGrid w:val="0"/>
        <w:spacing w:line="500" w:lineRule="exact"/>
        <w:jc w:val="center"/>
        <w:rPr>
          <w:rFonts w:hint="eastAsia"/>
          <w:color w:val="000000"/>
          <w:sz w:val="21"/>
          <w:szCs w:val="21"/>
        </w:rPr>
      </w:pPr>
    </w:p>
    <w:p w14:paraId="1B3E98AC">
      <w:pPr>
        <w:shd w:val="clear" w:color="auto" w:fill="FFFFFF"/>
        <w:tabs>
          <w:tab w:val="left" w:pos="6300"/>
        </w:tabs>
        <w:snapToGrid w:val="0"/>
        <w:spacing w:line="500" w:lineRule="exact"/>
        <w:rPr>
          <w:rFonts w:hint="eastAsia" w:ascii="宋体" w:hAnsi="宋体"/>
          <w:color w:val="000000"/>
        </w:rPr>
      </w:pPr>
    </w:p>
    <w:p w14:paraId="04A84674">
      <w:pPr>
        <w:pStyle w:val="5"/>
        <w:shd w:val="clear" w:color="auto" w:fill="FFFFFF"/>
        <w:spacing w:line="500" w:lineRule="exact"/>
        <w:ind w:firstLine="562" w:firstLineChars="200"/>
        <w:rPr>
          <w:rFonts w:hint="eastAsia"/>
          <w:b/>
          <w:color w:val="000000"/>
          <w:szCs w:val="28"/>
        </w:rPr>
      </w:pPr>
      <w:bookmarkStart w:id="121" w:name="_Toc26142"/>
      <w:r>
        <w:rPr>
          <w:rFonts w:hint="eastAsia"/>
          <w:b/>
          <w:color w:val="000000"/>
          <w:szCs w:val="28"/>
          <w:lang w:eastAsia="zh-CN"/>
        </w:rPr>
        <w:t>五</w:t>
      </w:r>
      <w:r>
        <w:rPr>
          <w:rFonts w:hint="eastAsia"/>
          <w:b/>
          <w:color w:val="000000"/>
          <w:szCs w:val="28"/>
        </w:rPr>
        <w:t>、其他资料</w:t>
      </w:r>
      <w:bookmarkEnd w:id="121"/>
    </w:p>
    <w:p w14:paraId="6AA9D713">
      <w:pPr>
        <w:shd w:val="clear" w:color="auto" w:fill="FFFFFF"/>
        <w:snapToGrid w:val="0"/>
        <w:spacing w:line="400" w:lineRule="exact"/>
        <w:ind w:firstLine="482" w:firstLineChars="200"/>
        <w:rPr>
          <w:rFonts w:hint="eastAsia" w:ascii="宋体" w:hAnsi="宋体" w:cs="宋体"/>
          <w:color w:val="000000"/>
          <w:sz w:val="24"/>
          <w:szCs w:val="24"/>
        </w:rPr>
      </w:pPr>
      <w:r>
        <w:rPr>
          <w:rFonts w:hint="eastAsia" w:ascii="宋体" w:hAnsi="宋体" w:cs="宋体"/>
          <w:b/>
          <w:color w:val="000000"/>
          <w:sz w:val="24"/>
          <w:szCs w:val="24"/>
          <w:lang w:eastAsia="zh-CN"/>
        </w:rPr>
        <w:t>评审因素</w:t>
      </w:r>
      <w:r>
        <w:rPr>
          <w:rFonts w:ascii="宋体" w:hAnsi="宋体" w:cs="宋体"/>
          <w:b/>
          <w:color w:val="000000"/>
          <w:sz w:val="24"/>
          <w:szCs w:val="24"/>
        </w:rPr>
        <w:t>要求</w:t>
      </w:r>
      <w:r>
        <w:rPr>
          <w:rFonts w:hint="eastAsia" w:ascii="宋体" w:hAnsi="宋体" w:cs="宋体"/>
          <w:b/>
          <w:color w:val="000000"/>
          <w:sz w:val="24"/>
          <w:szCs w:val="24"/>
          <w:lang w:eastAsia="zh-CN"/>
        </w:rPr>
        <w:t>（</w:t>
      </w:r>
      <w:r>
        <w:rPr>
          <w:rFonts w:hint="eastAsia" w:ascii="宋体" w:hAnsi="宋体" w:cs="宋体"/>
          <w:b/>
          <w:color w:val="000000"/>
          <w:sz w:val="24"/>
          <w:szCs w:val="24"/>
          <w:lang w:val="en-US" w:eastAsia="zh-CN"/>
        </w:rPr>
        <w:t>1 企业规模除外</w:t>
      </w:r>
      <w:r>
        <w:rPr>
          <w:rFonts w:hint="eastAsia" w:ascii="宋体" w:hAnsi="宋体" w:cs="宋体"/>
          <w:b/>
          <w:color w:val="000000"/>
          <w:sz w:val="24"/>
          <w:szCs w:val="24"/>
          <w:lang w:eastAsia="zh-CN"/>
        </w:rPr>
        <w:t>）</w:t>
      </w:r>
      <w:r>
        <w:rPr>
          <w:rFonts w:hint="eastAsia" w:ascii="宋体" w:hAnsi="宋体" w:cs="宋体"/>
          <w:b/>
          <w:color w:val="000000"/>
          <w:sz w:val="24"/>
          <w:szCs w:val="24"/>
        </w:rPr>
        <w:t>相关资料拟在此处</w:t>
      </w:r>
    </w:p>
    <w:p w14:paraId="50651073">
      <w:pPr>
        <w:shd w:val="clear" w:color="auto" w:fill="FFFFFF"/>
        <w:tabs>
          <w:tab w:val="left" w:pos="6300"/>
        </w:tabs>
        <w:snapToGrid w:val="0"/>
        <w:spacing w:line="500" w:lineRule="exact"/>
        <w:rPr>
          <w:rFonts w:hint="eastAsia" w:ascii="宋体" w:hAnsi="宋体"/>
          <w:color w:val="000000"/>
        </w:rPr>
      </w:pPr>
    </w:p>
    <w:p w14:paraId="23421850">
      <w:pPr>
        <w:shd w:val="clear" w:color="auto" w:fill="FFFFFF"/>
        <w:tabs>
          <w:tab w:val="left" w:pos="6300"/>
        </w:tabs>
        <w:snapToGrid w:val="0"/>
        <w:spacing w:line="500" w:lineRule="exact"/>
        <w:rPr>
          <w:rFonts w:hint="eastAsia" w:ascii="宋体" w:hAnsi="宋体"/>
          <w:color w:val="000000"/>
        </w:rPr>
      </w:pPr>
    </w:p>
    <w:p w14:paraId="06F14F7E">
      <w:pPr>
        <w:shd w:val="clear" w:color="auto" w:fill="FFFFFF"/>
        <w:tabs>
          <w:tab w:val="left" w:pos="6300"/>
        </w:tabs>
        <w:snapToGrid w:val="0"/>
        <w:spacing w:line="500" w:lineRule="exact"/>
        <w:rPr>
          <w:rFonts w:hint="eastAsia" w:ascii="宋体" w:hAnsi="宋体"/>
          <w:color w:val="000000"/>
        </w:rPr>
      </w:pPr>
    </w:p>
    <w:p w14:paraId="30DAF87C">
      <w:pPr>
        <w:shd w:val="clear" w:color="auto" w:fill="FFFFFF"/>
        <w:tabs>
          <w:tab w:val="left" w:pos="6300"/>
        </w:tabs>
        <w:snapToGrid w:val="0"/>
        <w:spacing w:line="500" w:lineRule="exact"/>
        <w:rPr>
          <w:rFonts w:hint="eastAsia" w:ascii="宋体" w:hAnsi="宋体"/>
          <w:color w:val="000000"/>
        </w:rPr>
      </w:pPr>
    </w:p>
    <w:p w14:paraId="4AFC998C">
      <w:pPr>
        <w:shd w:val="clear" w:color="auto" w:fill="FFFFFF"/>
        <w:tabs>
          <w:tab w:val="left" w:pos="6300"/>
        </w:tabs>
        <w:snapToGrid w:val="0"/>
        <w:spacing w:line="500" w:lineRule="exact"/>
        <w:rPr>
          <w:rFonts w:hint="eastAsia" w:ascii="宋体" w:hAnsi="宋体"/>
          <w:color w:val="000000"/>
        </w:rPr>
      </w:pPr>
    </w:p>
    <w:p w14:paraId="7984ACAF">
      <w:pPr>
        <w:shd w:val="clear" w:color="auto" w:fill="FFFFFF"/>
        <w:tabs>
          <w:tab w:val="left" w:pos="6300"/>
        </w:tabs>
        <w:snapToGrid w:val="0"/>
        <w:spacing w:line="500" w:lineRule="exact"/>
        <w:rPr>
          <w:rFonts w:hint="eastAsia" w:ascii="宋体" w:hAnsi="宋体"/>
          <w:color w:val="000000"/>
        </w:rPr>
      </w:pPr>
    </w:p>
    <w:p w14:paraId="36A7A41A">
      <w:pPr>
        <w:shd w:val="clear" w:color="auto" w:fill="FFFFFF"/>
        <w:tabs>
          <w:tab w:val="left" w:pos="6300"/>
        </w:tabs>
        <w:snapToGrid w:val="0"/>
        <w:spacing w:line="500" w:lineRule="exact"/>
        <w:rPr>
          <w:rFonts w:hint="eastAsia" w:ascii="宋体" w:hAnsi="宋体"/>
          <w:color w:val="000000"/>
        </w:rPr>
      </w:pPr>
    </w:p>
    <w:p w14:paraId="4C447145">
      <w:pPr>
        <w:shd w:val="clear" w:color="auto" w:fill="FFFFFF"/>
        <w:tabs>
          <w:tab w:val="left" w:pos="6300"/>
        </w:tabs>
        <w:snapToGrid w:val="0"/>
        <w:spacing w:line="500" w:lineRule="exact"/>
        <w:rPr>
          <w:rFonts w:hint="eastAsia" w:ascii="宋体" w:hAnsi="宋体"/>
          <w:color w:val="000000"/>
        </w:rPr>
      </w:pPr>
    </w:p>
    <w:p w14:paraId="60B1E001">
      <w:pPr>
        <w:shd w:val="clear" w:color="auto" w:fill="FFFFFF"/>
        <w:tabs>
          <w:tab w:val="left" w:pos="6300"/>
        </w:tabs>
        <w:snapToGrid w:val="0"/>
        <w:spacing w:line="500" w:lineRule="exact"/>
        <w:rPr>
          <w:rFonts w:hint="eastAsia" w:ascii="宋体" w:hAnsi="宋体"/>
          <w:color w:val="000000"/>
        </w:rPr>
      </w:pPr>
    </w:p>
    <w:p w14:paraId="0CDA27CD">
      <w:pPr>
        <w:shd w:val="clear" w:color="auto" w:fill="FFFFFF"/>
        <w:tabs>
          <w:tab w:val="left" w:pos="6300"/>
        </w:tabs>
        <w:snapToGrid w:val="0"/>
        <w:spacing w:line="500" w:lineRule="exact"/>
        <w:rPr>
          <w:rFonts w:hint="eastAsia" w:ascii="宋体" w:hAnsi="宋体"/>
          <w:color w:val="000000"/>
        </w:rPr>
      </w:pPr>
    </w:p>
    <w:p w14:paraId="59D9D094">
      <w:pPr>
        <w:shd w:val="clear" w:color="auto" w:fill="FFFFFF"/>
        <w:tabs>
          <w:tab w:val="left" w:pos="6300"/>
        </w:tabs>
        <w:snapToGrid w:val="0"/>
        <w:spacing w:line="500" w:lineRule="exact"/>
        <w:rPr>
          <w:rFonts w:hint="eastAsia" w:ascii="宋体" w:hAnsi="宋体"/>
          <w:color w:val="000000"/>
        </w:rPr>
      </w:pPr>
    </w:p>
    <w:p w14:paraId="0B802EE8">
      <w:pPr>
        <w:shd w:val="clear" w:color="auto" w:fill="FFFFFF"/>
        <w:tabs>
          <w:tab w:val="left" w:pos="6300"/>
        </w:tabs>
        <w:snapToGrid w:val="0"/>
        <w:spacing w:line="500" w:lineRule="exact"/>
        <w:rPr>
          <w:rFonts w:hint="eastAsia" w:ascii="宋体" w:hAnsi="宋体"/>
          <w:color w:val="000000"/>
        </w:rPr>
      </w:pPr>
    </w:p>
    <w:p w14:paraId="539F964E">
      <w:pPr>
        <w:shd w:val="clear" w:color="auto" w:fill="FFFFFF"/>
        <w:tabs>
          <w:tab w:val="left" w:pos="6300"/>
        </w:tabs>
        <w:snapToGrid w:val="0"/>
        <w:spacing w:line="500" w:lineRule="exact"/>
        <w:rPr>
          <w:rFonts w:hint="eastAsia" w:ascii="宋体" w:hAnsi="宋体"/>
          <w:color w:val="000000"/>
        </w:rPr>
      </w:pPr>
    </w:p>
    <w:p w14:paraId="622F8700">
      <w:pPr>
        <w:shd w:val="clear" w:color="auto" w:fill="FFFFFF"/>
        <w:tabs>
          <w:tab w:val="left" w:pos="6300"/>
        </w:tabs>
        <w:snapToGrid w:val="0"/>
        <w:spacing w:line="500" w:lineRule="exact"/>
        <w:rPr>
          <w:rFonts w:hint="eastAsia" w:ascii="宋体" w:hAnsi="宋体"/>
          <w:color w:val="000000"/>
        </w:rPr>
      </w:pPr>
    </w:p>
    <w:p w14:paraId="4DE1C0D8">
      <w:pPr>
        <w:shd w:val="clear" w:color="auto" w:fill="FFFFFF"/>
        <w:tabs>
          <w:tab w:val="left" w:pos="6300"/>
        </w:tabs>
        <w:snapToGrid w:val="0"/>
        <w:spacing w:line="500" w:lineRule="exact"/>
        <w:rPr>
          <w:rFonts w:hint="eastAsia" w:ascii="宋体" w:hAnsi="宋体"/>
          <w:color w:val="000000"/>
        </w:rPr>
      </w:pPr>
    </w:p>
    <w:p w14:paraId="1AFFAB8B">
      <w:pPr>
        <w:shd w:val="clear" w:color="auto" w:fill="FFFFFF"/>
        <w:tabs>
          <w:tab w:val="left" w:pos="6300"/>
        </w:tabs>
        <w:snapToGrid w:val="0"/>
        <w:spacing w:line="500" w:lineRule="exact"/>
        <w:rPr>
          <w:rFonts w:hint="eastAsia" w:ascii="宋体" w:hAnsi="宋体"/>
          <w:color w:val="000000"/>
        </w:rPr>
      </w:pPr>
    </w:p>
    <w:p w14:paraId="7192E279">
      <w:pPr>
        <w:tabs>
          <w:tab w:val="left" w:pos="6300"/>
        </w:tabs>
        <w:snapToGrid w:val="0"/>
        <w:spacing w:line="500" w:lineRule="exact"/>
        <w:jc w:val="center"/>
        <w:rPr>
          <w:rFonts w:hint="eastAsia" w:ascii="宋体" w:hAnsi="宋体"/>
          <w:color w:val="000000"/>
        </w:rPr>
      </w:pPr>
      <w:r>
        <w:rPr>
          <w:rFonts w:hint="eastAsia" w:ascii="宋体" w:hAnsi="宋体"/>
          <w:color w:val="000000"/>
        </w:rPr>
        <w:t>（结束）</w:t>
      </w:r>
    </w:p>
    <w:p w14:paraId="27144FD3">
      <w:pPr>
        <w:tabs>
          <w:tab w:val="left" w:pos="6300"/>
        </w:tabs>
        <w:snapToGrid w:val="0"/>
        <w:spacing w:line="500" w:lineRule="exact"/>
        <w:jc w:val="center"/>
        <w:rPr>
          <w:rFonts w:ascii="宋体" w:hAnsi="宋体"/>
          <w:color w:val="000000"/>
        </w:rPr>
      </w:pPr>
    </w:p>
    <w:sectPr>
      <w:pgSz w:w="11907" w:h="16840"/>
      <w:pgMar w:top="1134" w:right="1191" w:bottom="1134" w:left="1304" w:header="964" w:footer="992" w:gutter="0"/>
      <w:pgNumType w:fmt="decimal"/>
      <w:cols w:space="720" w:num="1"/>
      <w:docGrid w:linePitch="38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4BC2C38-9E81-4437-9831-FD5786715229}"/>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PMingLiU">
    <w:panose1 w:val="02020500000000000000"/>
    <w:charset w:val="88"/>
    <w:family w:val="auto"/>
    <w:pitch w:val="default"/>
    <w:sig w:usb0="A00002FF" w:usb1="28CFFCFA" w:usb2="00000016" w:usb3="00000000" w:csb0="00100001" w:csb1="00000000"/>
  </w:font>
  <w:font w:name="Arial Unicode MS">
    <w:panose1 w:val="020B0604020202020204"/>
    <w:charset w:val="86"/>
    <w:family w:val="swiss"/>
    <w:pitch w:val="default"/>
    <w:sig w:usb0="FFFFFFFF" w:usb1="E9FFFFFF" w:usb2="0000003F" w:usb3="00000000" w:csb0="603F01FF" w:csb1="FFFF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embedRegular r:id="rId2" w:fontKey="{1D36EC1B-0C2C-436E-803A-851E4DC59C7D}"/>
  </w:font>
  <w:font w:name="华文楷体">
    <w:panose1 w:val="02010600040101010101"/>
    <w:charset w:val="86"/>
    <w:family w:val="auto"/>
    <w:pitch w:val="default"/>
    <w:sig w:usb0="00000287" w:usb1="080F0000" w:usb2="00000000" w:usb3="00000000" w:csb0="0004009F" w:csb1="DFD70000"/>
  </w:font>
  <w:font w:name="等线">
    <w:altName w:val="Arial Unicode MS"/>
    <w:panose1 w:val="02010600030101010101"/>
    <w:charset w:val="86"/>
    <w:family w:val="auto"/>
    <w:pitch w:val="default"/>
    <w:sig w:usb0="00000000" w:usb1="00000000" w:usb2="00000016" w:usb3="00000000" w:csb0="0004000F" w:csb1="00000000"/>
  </w:font>
  <w:font w:name="_x000B__x000C_">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昆仑楷体">
    <w:altName w:val="宋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4AA602D8-5300-4A62-A7FD-CF91C74B867E}"/>
  </w:font>
  <w:font w:name="方正楷体_GBK">
    <w:panose1 w:val="03000509000000000000"/>
    <w:charset w:val="86"/>
    <w:family w:val="auto"/>
    <w:pitch w:val="default"/>
    <w:sig w:usb0="00000001" w:usb1="080E0000" w:usb2="00000000" w:usb3="00000000" w:csb0="00040000" w:csb1="00000000"/>
    <w:embedRegular r:id="rId4" w:fontKey="{4D5BBBA0-2CD9-4919-90FF-221FA4285687}"/>
  </w:font>
  <w:font w:name="方正小标宋_GBK">
    <w:panose1 w:val="03000509000000000000"/>
    <w:charset w:val="86"/>
    <w:family w:val="script"/>
    <w:pitch w:val="default"/>
    <w:sig w:usb0="00000001" w:usb1="080E0000" w:usb2="00000000" w:usb3="00000000" w:csb0="00040000" w:csb1="00000000"/>
    <w:embedRegular r:id="rId5" w:fontKey="{9274C7BF-FF52-4F9B-BC3C-527376AB6471}"/>
  </w:font>
  <w:font w:name="仿宋">
    <w:panose1 w:val="02010609060101010101"/>
    <w:charset w:val="86"/>
    <w:family w:val="modern"/>
    <w:pitch w:val="default"/>
    <w:sig w:usb0="800002BF" w:usb1="38CF7CFA" w:usb2="00000016" w:usb3="00000000" w:csb0="00040001" w:csb1="00000000"/>
    <w:embedRegular r:id="rId6" w:fontKey="{9A3B9BF4-9904-4981-A1B5-CEA75258E4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A74EC">
    <w:pPr>
      <w:pStyle w:val="36"/>
      <w:framePr w:wrap="around" w:vAnchor="text" w:hAnchor="margin" w:xAlign="center" w:y="1"/>
      <w:rPr>
        <w:rStyle w:val="61"/>
      </w:rPr>
    </w:pPr>
    <w:r>
      <w:fldChar w:fldCharType="begin"/>
    </w:r>
    <w:r>
      <w:rPr>
        <w:rStyle w:val="61"/>
      </w:rPr>
      <w:instrText xml:space="preserve">PAGE  </w:instrText>
    </w:r>
    <w:r>
      <w:fldChar w:fldCharType="separate"/>
    </w:r>
    <w:r>
      <w:fldChar w:fldCharType="end"/>
    </w:r>
  </w:p>
  <w:p w14:paraId="59281A4E">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37B2B">
    <w:pPr>
      <w:pStyle w:val="36"/>
      <w:rPr>
        <w:rFonts w:hint="eastAsia"/>
        <w:sz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11C731">
                          <w:pPr>
                            <w:pStyle w:val="36"/>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PgEDx3gEAAL8DAAAOAAAAAAAA&#10;AAEAIAAAAB4BAABkcnMvZTJvRG9jLnhtbFBLBQYAAAAABgAGAFkBAABuBQAAAAA=&#10;">
              <v:fill on="f" focussize="0,0"/>
              <v:stroke on="f"/>
              <v:imagedata o:title=""/>
              <o:lock v:ext="edit" aspectratio="f"/>
              <v:textbox inset="0mm,0mm,0mm,0mm" style="mso-fit-shape-to-text:t;">
                <w:txbxContent>
                  <w:p w14:paraId="6B11C731">
                    <w:pPr>
                      <w:pStyle w:val="3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F81D7C">
    <w:pPr>
      <w:pStyle w:val="36"/>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207BE9">
                          <w:pPr>
                            <w:pStyle w:val="36"/>
                          </w:pPr>
                          <w:r>
                            <w:fldChar w:fldCharType="begin"/>
                          </w:r>
                          <w:r>
                            <w:instrText xml:space="preserve"> PAGE  \* MERGEFORMAT </w:instrText>
                          </w:r>
                          <w:r>
                            <w:fldChar w:fldCharType="separate"/>
                          </w:r>
                          <w:r>
                            <w:t>3</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Ld9jY3gEAAL8DAAAOAAAAAAAA&#10;AAEAIAAAAB4BAABkcnMvZTJvRG9jLnhtbFBLBQYAAAAABgAGAFkBAABuBQAAAAA=&#10;">
              <v:fill on="f" focussize="0,0"/>
              <v:stroke on="f"/>
              <v:imagedata o:title=""/>
              <o:lock v:ext="edit" aspectratio="f"/>
              <v:textbox inset="0mm,0mm,0mm,0mm" style="mso-fit-shape-to-text:t;">
                <w:txbxContent>
                  <w:p w14:paraId="24207BE9">
                    <w:pPr>
                      <w:pStyle w:val="3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6F900">
    <w:pPr>
      <w:pStyle w:val="36"/>
      <w:ind w:right="830" w:firstLine="280" w:firstLineChars="100"/>
      <w:rPr>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2</w:t>
    </w:r>
    <w:r>
      <w:rPr>
        <w:rFonts w:ascii="宋体" w:hAnsi="宋体"/>
        <w:sz w:val="28"/>
        <w:szCs w:val="28"/>
      </w:rPr>
      <w:fldChar w:fldCharType="end"/>
    </w:r>
    <w:r>
      <w:rPr>
        <w:rFonts w:hint="eastAsia" w:ascii="宋体" w:hAnsi="宋体"/>
        <w:sz w:val="28"/>
        <w:szCs w:val="28"/>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393FF">
    <w:pPr>
      <w:pStyle w:val="3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9E5AE8">
                          <w:pPr>
                            <w:pStyle w:val="36"/>
                          </w:pPr>
                          <w:r>
                            <w:fldChar w:fldCharType="begin"/>
                          </w:r>
                          <w:r>
                            <w:instrText xml:space="preserve"> PAGE  \* MERGEFORMAT </w:instrText>
                          </w:r>
                          <w:r>
                            <w:fldChar w:fldCharType="separate"/>
                          </w:r>
                          <w:r>
                            <w:t>25</w:t>
                          </w:r>
                          <w: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0vIY94BAAC/AwAADgAAAGRycy9lMm9Eb2MueG1srVPBjtMwEL0j8Q+W&#10;7zTZroS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ovae5OWJr4+fu3849f559f&#10;2XXSp/exorR7T4k4vIaBtmb2R3Im2kMbbPoTIUZxUvd0UVcNyGS6tFquViWFJMXmA+EXD9d9iPhG&#10;gWXJqHmg8WVVxfFdxDF1TknVHNxpY/IIjfvLQZjJU6Texx6ThcNumAjtoDkRH3oHVKeD8IWznrag&#10;5o6WnjPz1pHIaWFmI8zGbjaEk3Sx5sjZaN7iuFgHH/S+y6uWmor+1QGp00wgtTHWnrqjuWYJph1M&#10;i/PnOWc9vLv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7S8hj3gEAAL8DAAAOAAAAAAAA&#10;AAEAIAAAAB4BAABkcnMvZTJvRG9jLnhtbFBLBQYAAAAABgAGAFkBAABuBQAAAAA=&#10;">
              <v:fill on="f" focussize="0,0"/>
              <v:stroke on="f"/>
              <v:imagedata o:title=""/>
              <o:lock v:ext="edit" aspectratio="f"/>
              <v:textbox inset="0mm,0mm,0mm,0mm" style="mso-fit-shape-to-text:t;">
                <w:txbxContent>
                  <w:p w14:paraId="2A9E5AE8">
                    <w:pPr>
                      <w:pStyle w:val="36"/>
                    </w:pPr>
                    <w:r>
                      <w:fldChar w:fldCharType="begin"/>
                    </w:r>
                    <w:r>
                      <w:instrText xml:space="preserve"> PAGE  \* MERGEFORMAT </w:instrText>
                    </w:r>
                    <w:r>
                      <w:fldChar w:fldCharType="separate"/>
                    </w:r>
                    <w:r>
                      <w:t>25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9C733">
    <w:pPr>
      <w:pStyle w:val="37"/>
      <w:pBdr>
        <w:bottom w:val="single" w:color="auto" w:sz="4" w:space="1"/>
      </w:pBdr>
      <w:jc w:val="both"/>
      <w:rPr>
        <w:rFonts w:hint="eastAsia" w:ascii="仿宋" w:hAnsi="仿宋" w:eastAsia="仿宋" w:cs="仿宋"/>
        <w:sz w:val="21"/>
        <w:szCs w:val="24"/>
      </w:rPr>
    </w:pPr>
    <w:r>
      <w:rPr>
        <w:rFonts w:hint="eastAsia" w:ascii="仿宋" w:hAnsi="仿宋" w:eastAsia="仿宋" w:cs="仿宋"/>
        <w:sz w:val="21"/>
        <w:szCs w:val="24"/>
        <w:lang w:eastAsia="zh-CN"/>
      </w:rPr>
      <w:t>重庆方郡建设工程咨询有限公司</w:t>
    </w:r>
    <w:r>
      <w:rPr>
        <w:rFonts w:hint="eastAsia" w:ascii="仿宋" w:hAnsi="仿宋" w:eastAsia="仿宋" w:cs="仿宋"/>
        <w:sz w:val="21"/>
        <w:szCs w:val="24"/>
      </w:rPr>
      <w:t xml:space="preserve">                                                   </w:t>
    </w:r>
    <w:r>
      <w:rPr>
        <w:rFonts w:hint="eastAsia" w:ascii="仿宋" w:hAnsi="仿宋" w:eastAsia="仿宋" w:cs="仿宋"/>
        <w:sz w:val="21"/>
        <w:szCs w:val="24"/>
        <w:lang w:eastAsia="zh-CN"/>
      </w:rPr>
      <w:t>竞选</w:t>
    </w:r>
    <w:r>
      <w:rPr>
        <w:rFonts w:hint="eastAsia" w:ascii="仿宋" w:hAnsi="仿宋" w:eastAsia="仿宋" w:cs="仿宋"/>
        <w:sz w:val="21"/>
        <w:szCs w:val="24"/>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5978F">
    <w:pPr>
      <w:pStyle w:val="3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91DC6">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8EBBE">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1FA9F">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7BE66"/>
    <w:multiLevelType w:val="singleLevel"/>
    <w:tmpl w:val="AFB7BE66"/>
    <w:lvl w:ilvl="0" w:tentative="0">
      <w:start w:val="3"/>
      <w:numFmt w:val="chineseCounting"/>
      <w:suff w:val="nothing"/>
      <w:lvlText w:val="%1、"/>
      <w:lvlJc w:val="left"/>
      <w:rPr>
        <w:rFonts w:hint="eastAsia"/>
      </w:rPr>
    </w:lvl>
  </w:abstractNum>
  <w:abstractNum w:abstractNumId="1">
    <w:nsid w:val="BC867C8F"/>
    <w:multiLevelType w:val="singleLevel"/>
    <w:tmpl w:val="BC867C8F"/>
    <w:lvl w:ilvl="0" w:tentative="0">
      <w:start w:val="2"/>
      <w:numFmt w:val="chineseCounting"/>
      <w:suff w:val="nothing"/>
      <w:lvlText w:val="（%1）"/>
      <w:lvlJc w:val="left"/>
      <w:rPr>
        <w:rFonts w:hint="eastAsia"/>
      </w:rPr>
    </w:lvl>
  </w:abstractNum>
  <w:abstractNum w:abstractNumId="2">
    <w:nsid w:val="DDFC9599"/>
    <w:multiLevelType w:val="singleLevel"/>
    <w:tmpl w:val="DDFC9599"/>
    <w:lvl w:ilvl="0" w:tentative="0">
      <w:start w:val="1"/>
      <w:numFmt w:val="decimal"/>
      <w:lvlText w:val="%1."/>
      <w:lvlJc w:val="left"/>
      <w:pPr>
        <w:tabs>
          <w:tab w:val="left" w:pos="312"/>
        </w:tabs>
      </w:pPr>
    </w:lvl>
  </w:abstractNum>
  <w:abstractNum w:abstractNumId="3">
    <w:nsid w:val="00000003"/>
    <w:multiLevelType w:val="singleLevel"/>
    <w:tmpl w:val="00000003"/>
    <w:lvl w:ilvl="0" w:tentative="0">
      <w:start w:val="1"/>
      <w:numFmt w:val="decimal"/>
      <w:pStyle w:val="15"/>
      <w:lvlText w:val="%1."/>
      <w:lvlJc w:val="left"/>
      <w:pPr>
        <w:tabs>
          <w:tab w:val="left" w:pos="780"/>
        </w:tabs>
        <w:ind w:left="780" w:hanging="360"/>
      </w:pPr>
    </w:lvl>
  </w:abstractNum>
  <w:abstractNum w:abstractNumId="4">
    <w:nsid w:val="00000005"/>
    <w:multiLevelType w:val="multilevel"/>
    <w:tmpl w:val="00000005"/>
    <w:lvl w:ilvl="0" w:tentative="0">
      <w:start w:val="1"/>
      <w:numFmt w:val="bullet"/>
      <w:pStyle w:val="175"/>
      <w:lvlText w:val=""/>
      <w:lvlJc w:val="left"/>
      <w:pPr>
        <w:tabs>
          <w:tab w:val="left" w:pos="980"/>
        </w:tabs>
        <w:ind w:left="980" w:hanging="360"/>
      </w:pPr>
      <w:rPr>
        <w:rFonts w:hint="default" w:ascii="Wingdings" w:hAnsi="Wingdings"/>
      </w:rPr>
    </w:lvl>
    <w:lvl w:ilvl="1" w:tentative="0">
      <w:start w:val="1"/>
      <w:numFmt w:val="bullet"/>
      <w:lvlText w:val=""/>
      <w:lvlJc w:val="left"/>
      <w:pPr>
        <w:tabs>
          <w:tab w:val="left" w:pos="1040"/>
        </w:tabs>
        <w:ind w:left="1040" w:hanging="420"/>
      </w:pPr>
      <w:rPr>
        <w:rFonts w:hint="default" w:ascii="Wingdings" w:hAnsi="Wingdings"/>
      </w:rPr>
    </w:lvl>
    <w:lvl w:ilvl="2" w:tentative="0">
      <w:start w:val="1"/>
      <w:numFmt w:val="bullet"/>
      <w:lvlText w:val=""/>
      <w:lvlJc w:val="left"/>
      <w:pPr>
        <w:tabs>
          <w:tab w:val="left" w:pos="1460"/>
        </w:tabs>
        <w:ind w:left="1460" w:hanging="420"/>
      </w:pPr>
      <w:rPr>
        <w:rFonts w:hint="default" w:ascii="Wingdings" w:hAnsi="Wingdings"/>
      </w:rPr>
    </w:lvl>
    <w:lvl w:ilvl="3" w:tentative="0">
      <w:start w:val="1"/>
      <w:numFmt w:val="bullet"/>
      <w:lvlText w:val=""/>
      <w:lvlJc w:val="left"/>
      <w:pPr>
        <w:tabs>
          <w:tab w:val="left" w:pos="1880"/>
        </w:tabs>
        <w:ind w:left="1880" w:hanging="420"/>
      </w:pPr>
      <w:rPr>
        <w:rFonts w:hint="default" w:ascii="Wingdings" w:hAnsi="Wingdings"/>
      </w:rPr>
    </w:lvl>
    <w:lvl w:ilvl="4" w:tentative="0">
      <w:start w:val="1"/>
      <w:numFmt w:val="bullet"/>
      <w:lvlText w:val=""/>
      <w:lvlJc w:val="left"/>
      <w:pPr>
        <w:tabs>
          <w:tab w:val="left" w:pos="2300"/>
        </w:tabs>
        <w:ind w:left="2300" w:hanging="420"/>
      </w:pPr>
      <w:rPr>
        <w:rFonts w:hint="default" w:ascii="Wingdings" w:hAnsi="Wingdings"/>
      </w:rPr>
    </w:lvl>
    <w:lvl w:ilvl="5" w:tentative="0">
      <w:start w:val="1"/>
      <w:numFmt w:val="bullet"/>
      <w:lvlText w:val=""/>
      <w:lvlJc w:val="left"/>
      <w:pPr>
        <w:tabs>
          <w:tab w:val="left" w:pos="2720"/>
        </w:tabs>
        <w:ind w:left="2720" w:hanging="420"/>
      </w:pPr>
      <w:rPr>
        <w:rFonts w:hint="default" w:ascii="Wingdings" w:hAnsi="Wingdings"/>
      </w:rPr>
    </w:lvl>
    <w:lvl w:ilvl="6" w:tentative="0">
      <w:start w:val="1"/>
      <w:numFmt w:val="bullet"/>
      <w:lvlText w:val=""/>
      <w:lvlJc w:val="left"/>
      <w:pPr>
        <w:tabs>
          <w:tab w:val="left" w:pos="3140"/>
        </w:tabs>
        <w:ind w:left="3140" w:hanging="420"/>
      </w:pPr>
      <w:rPr>
        <w:rFonts w:hint="default" w:ascii="Wingdings" w:hAnsi="Wingdings"/>
      </w:rPr>
    </w:lvl>
    <w:lvl w:ilvl="7" w:tentative="0">
      <w:start w:val="1"/>
      <w:numFmt w:val="bullet"/>
      <w:lvlText w:val=""/>
      <w:lvlJc w:val="left"/>
      <w:pPr>
        <w:tabs>
          <w:tab w:val="left" w:pos="3560"/>
        </w:tabs>
        <w:ind w:left="3560" w:hanging="420"/>
      </w:pPr>
      <w:rPr>
        <w:rFonts w:hint="default" w:ascii="Wingdings" w:hAnsi="Wingdings"/>
      </w:rPr>
    </w:lvl>
    <w:lvl w:ilvl="8" w:tentative="0">
      <w:start w:val="1"/>
      <w:numFmt w:val="bullet"/>
      <w:lvlText w:val=""/>
      <w:lvlJc w:val="left"/>
      <w:pPr>
        <w:tabs>
          <w:tab w:val="left" w:pos="3980"/>
        </w:tabs>
        <w:ind w:left="3980" w:hanging="420"/>
      </w:pPr>
      <w:rPr>
        <w:rFonts w:hint="default" w:ascii="Wingdings" w:hAnsi="Wingdings"/>
      </w:rPr>
    </w:lvl>
  </w:abstractNum>
  <w:abstractNum w:abstractNumId="5">
    <w:nsid w:val="00000006"/>
    <w:multiLevelType w:val="multilevel"/>
    <w:tmpl w:val="00000006"/>
    <w:lvl w:ilvl="0" w:tentative="0">
      <w:start w:val="1"/>
      <w:numFmt w:val="bullet"/>
      <w:pStyle w:val="16"/>
      <w:lvlText w:val=""/>
      <w:lvlJc w:val="left"/>
      <w:pPr>
        <w:tabs>
          <w:tab w:val="left" w:pos="1620"/>
        </w:tabs>
        <w:ind w:left="1620" w:hanging="360"/>
      </w:pPr>
      <w:rPr>
        <w:rFonts w:hint="default" w:ascii="Wingdings" w:hAnsi="Wingdings"/>
      </w:rPr>
    </w:lvl>
    <w:lvl w:ilvl="1" w:tentative="0">
      <w:start w:val="1"/>
      <w:numFmt w:val="chineseCountingThousand"/>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00000007"/>
    <w:multiLevelType w:val="multilevel"/>
    <w:tmpl w:val="00000007"/>
    <w:lvl w:ilvl="0" w:tentative="0">
      <w:start w:val="1"/>
      <w:numFmt w:val="bullet"/>
      <w:pStyle w:val="136"/>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08"/>
    <w:multiLevelType w:val="multilevel"/>
    <w:tmpl w:val="00000008"/>
    <w:lvl w:ilvl="0" w:tentative="0">
      <w:start w:val="1"/>
      <w:numFmt w:val="chineseCountingThousand"/>
      <w:pStyle w:val="7"/>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09"/>
    <w:multiLevelType w:val="multilevel"/>
    <w:tmpl w:val="00000009"/>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18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9">
    <w:nsid w:val="0000000A"/>
    <w:multiLevelType w:val="multilevel"/>
    <w:tmpl w:val="0000000A"/>
    <w:lvl w:ilvl="0" w:tentative="0">
      <w:start w:val="8"/>
      <w:numFmt w:val="decimal"/>
      <w:pStyle w:val="196"/>
      <w:lvlText w:val="%1."/>
      <w:lvlJc w:val="left"/>
      <w:pPr>
        <w:tabs>
          <w:tab w:val="left" w:pos="425"/>
        </w:tabs>
        <w:ind w:left="425" w:hanging="425"/>
      </w:pPr>
      <w:rPr>
        <w:rFonts w:hint="eastAsia"/>
      </w:rPr>
    </w:lvl>
    <w:lvl w:ilvl="1" w:tentative="0">
      <w:start w:val="1"/>
      <w:numFmt w:val="decimal"/>
      <w:lvlText w:val="%1.%2."/>
      <w:lvlJc w:val="left"/>
      <w:pPr>
        <w:tabs>
          <w:tab w:val="left" w:pos="747"/>
        </w:tabs>
        <w:ind w:left="747" w:hanging="567"/>
      </w:pPr>
      <w:rPr>
        <w:rFonts w:hint="eastAsia"/>
      </w:rPr>
    </w:lvl>
    <w:lvl w:ilvl="2" w:tentative="0">
      <w:start w:val="1"/>
      <w:numFmt w:val="decimal"/>
      <w:pStyle w:val="133"/>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0">
    <w:nsid w:val="00000012"/>
    <w:multiLevelType w:val="singleLevel"/>
    <w:tmpl w:val="00000012"/>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1">
    <w:nsid w:val="00000013"/>
    <w:multiLevelType w:val="multilevel"/>
    <w:tmpl w:val="00000013"/>
    <w:lvl w:ilvl="0" w:tentative="0">
      <w:start w:val="1"/>
      <w:numFmt w:val="bullet"/>
      <w:pStyle w:val="114"/>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0000015"/>
    <w:multiLevelType w:val="multilevel"/>
    <w:tmpl w:val="00000015"/>
    <w:lvl w:ilvl="0" w:tentative="0">
      <w:start w:val="1"/>
      <w:numFmt w:val="decimal"/>
      <w:pStyle w:val="163"/>
      <w:lvlText w:val="(%1)"/>
      <w:lvlJc w:val="left"/>
      <w:pPr>
        <w:tabs>
          <w:tab w:val="left" w:pos="397"/>
        </w:tabs>
        <w:ind w:left="397" w:hanging="397"/>
      </w:pPr>
      <w:rPr>
        <w:rFonts w:hint="default" w:ascii="Arial" w:hAnsi="Arial" w:eastAsia="宋体"/>
        <w:b w:val="0"/>
        <w:i w:val="0"/>
        <w:color w:val="auto"/>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00000016"/>
    <w:multiLevelType w:val="singleLevel"/>
    <w:tmpl w:val="00000016"/>
    <w:lvl w:ilvl="0" w:tentative="0">
      <w:start w:val="1"/>
      <w:numFmt w:val="bullet"/>
      <w:pStyle w:val="219"/>
      <w:lvlText w:val=""/>
      <w:lvlJc w:val="left"/>
      <w:pPr>
        <w:tabs>
          <w:tab w:val="left" w:pos="360"/>
        </w:tabs>
        <w:ind w:left="360" w:hanging="360"/>
      </w:pPr>
      <w:rPr>
        <w:rFonts w:hint="default" w:ascii="Wingdings" w:hAnsi="Wingdings"/>
      </w:rPr>
    </w:lvl>
  </w:abstractNum>
  <w:abstractNum w:abstractNumId="14">
    <w:nsid w:val="00000017"/>
    <w:multiLevelType w:val="singleLevel"/>
    <w:tmpl w:val="00000017"/>
    <w:lvl w:ilvl="0" w:tentative="0">
      <w:start w:val="1"/>
      <w:numFmt w:val="bullet"/>
      <w:pStyle w:val="23"/>
      <w:lvlText w:val=""/>
      <w:lvlJc w:val="left"/>
      <w:pPr>
        <w:tabs>
          <w:tab w:val="left" w:pos="1200"/>
        </w:tabs>
        <w:ind w:left="1200" w:hanging="360"/>
      </w:pPr>
      <w:rPr>
        <w:rFonts w:hint="default" w:ascii="Wingdings" w:hAnsi="Wingdings"/>
      </w:rPr>
    </w:lvl>
  </w:abstractNum>
  <w:abstractNum w:abstractNumId="15">
    <w:nsid w:val="00000019"/>
    <w:multiLevelType w:val="singleLevel"/>
    <w:tmpl w:val="00000019"/>
    <w:lvl w:ilvl="0" w:tentative="0">
      <w:start w:val="1"/>
      <w:numFmt w:val="decimal"/>
      <w:pStyle w:val="204"/>
      <w:lvlText w:val="%1)"/>
      <w:lvlJc w:val="left"/>
      <w:pPr>
        <w:tabs>
          <w:tab w:val="left" w:pos="425"/>
        </w:tabs>
        <w:ind w:left="425" w:hanging="425"/>
      </w:pPr>
      <w:rPr>
        <w:rFonts w:hint="eastAsia"/>
      </w:rPr>
    </w:lvl>
  </w:abstractNum>
  <w:abstractNum w:abstractNumId="16">
    <w:nsid w:val="0000001A"/>
    <w:multiLevelType w:val="multilevel"/>
    <w:tmpl w:val="0000001A"/>
    <w:lvl w:ilvl="0" w:tentative="0">
      <w:start w:val="1"/>
      <w:numFmt w:val="decimal"/>
      <w:pStyle w:val="180"/>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0000001D"/>
    <w:multiLevelType w:val="multilevel"/>
    <w:tmpl w:val="0000001D"/>
    <w:lvl w:ilvl="0" w:tentative="0">
      <w:start w:val="1"/>
      <w:numFmt w:val="chineseCountingThousand"/>
      <w:pStyle w:val="189"/>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3"/>
  </w:num>
  <w:num w:numId="3">
    <w:abstractNumId w:val="5"/>
  </w:num>
  <w:num w:numId="4">
    <w:abstractNumId w:val="14"/>
  </w:num>
  <w:num w:numId="5">
    <w:abstractNumId w:val="10"/>
  </w:num>
  <w:num w:numId="6">
    <w:abstractNumId w:val="11"/>
  </w:num>
  <w:num w:numId="7">
    <w:abstractNumId w:val="9"/>
  </w:num>
  <w:num w:numId="8">
    <w:abstractNumId w:val="6"/>
  </w:num>
  <w:num w:numId="9">
    <w:abstractNumId w:val="12"/>
  </w:num>
  <w:num w:numId="10">
    <w:abstractNumId w:val="4"/>
  </w:num>
  <w:num w:numId="11">
    <w:abstractNumId w:val="16"/>
  </w:num>
  <w:num w:numId="12">
    <w:abstractNumId w:val="8"/>
  </w:num>
  <w:num w:numId="13">
    <w:abstractNumId w:val="17"/>
  </w:num>
  <w:num w:numId="14">
    <w:abstractNumId w:val="15"/>
  </w:num>
  <w:num w:numId="15">
    <w:abstractNumId w:val="13"/>
  </w:num>
  <w:num w:numId="16">
    <w:abstractNumId w:val="1"/>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280"/>
  <w:hyphenationZone w:val="360"/>
  <w:drawingGridHorizontalSpacing w:val="140"/>
  <w:drawingGridVerticalSpacing w:val="381"/>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3OTA4NmYzODVjNzliOTcwNmQ5OWQ3YWE4MzA3ZmMifQ=="/>
  </w:docVars>
  <w:rsids>
    <w:rsidRoot w:val="00172A27"/>
    <w:rsid w:val="00001804"/>
    <w:rsid w:val="00001CEB"/>
    <w:rsid w:val="0000222D"/>
    <w:rsid w:val="00003684"/>
    <w:rsid w:val="00005035"/>
    <w:rsid w:val="000072F0"/>
    <w:rsid w:val="00007D1F"/>
    <w:rsid w:val="0001085B"/>
    <w:rsid w:val="00011155"/>
    <w:rsid w:val="0001117E"/>
    <w:rsid w:val="00011AF1"/>
    <w:rsid w:val="00013BFF"/>
    <w:rsid w:val="00014083"/>
    <w:rsid w:val="00015005"/>
    <w:rsid w:val="0001784F"/>
    <w:rsid w:val="000179CE"/>
    <w:rsid w:val="000207C7"/>
    <w:rsid w:val="00021610"/>
    <w:rsid w:val="00021946"/>
    <w:rsid w:val="00022867"/>
    <w:rsid w:val="00022B73"/>
    <w:rsid w:val="000266A1"/>
    <w:rsid w:val="000269A5"/>
    <w:rsid w:val="00026FD9"/>
    <w:rsid w:val="00027891"/>
    <w:rsid w:val="00030517"/>
    <w:rsid w:val="0003075E"/>
    <w:rsid w:val="000314BD"/>
    <w:rsid w:val="00031F64"/>
    <w:rsid w:val="0003282A"/>
    <w:rsid w:val="000333F0"/>
    <w:rsid w:val="00034882"/>
    <w:rsid w:val="00034A67"/>
    <w:rsid w:val="00035224"/>
    <w:rsid w:val="00036341"/>
    <w:rsid w:val="000371C1"/>
    <w:rsid w:val="0003767C"/>
    <w:rsid w:val="000376BA"/>
    <w:rsid w:val="000377D7"/>
    <w:rsid w:val="00037FAD"/>
    <w:rsid w:val="000421EF"/>
    <w:rsid w:val="00042250"/>
    <w:rsid w:val="000429BB"/>
    <w:rsid w:val="00042F22"/>
    <w:rsid w:val="00042FD7"/>
    <w:rsid w:val="00043311"/>
    <w:rsid w:val="0004452E"/>
    <w:rsid w:val="000449AB"/>
    <w:rsid w:val="00044D30"/>
    <w:rsid w:val="000462E1"/>
    <w:rsid w:val="00047144"/>
    <w:rsid w:val="00047576"/>
    <w:rsid w:val="000477D1"/>
    <w:rsid w:val="0005045C"/>
    <w:rsid w:val="00050A00"/>
    <w:rsid w:val="00051BD8"/>
    <w:rsid w:val="00051C15"/>
    <w:rsid w:val="00051CD5"/>
    <w:rsid w:val="0005208A"/>
    <w:rsid w:val="00052469"/>
    <w:rsid w:val="00054717"/>
    <w:rsid w:val="00056058"/>
    <w:rsid w:val="00057254"/>
    <w:rsid w:val="00057565"/>
    <w:rsid w:val="0006069A"/>
    <w:rsid w:val="00060807"/>
    <w:rsid w:val="00060C75"/>
    <w:rsid w:val="00062F14"/>
    <w:rsid w:val="000637BB"/>
    <w:rsid w:val="00063B7F"/>
    <w:rsid w:val="00064165"/>
    <w:rsid w:val="0006455A"/>
    <w:rsid w:val="00064E52"/>
    <w:rsid w:val="00064EA7"/>
    <w:rsid w:val="0006572E"/>
    <w:rsid w:val="00065FB1"/>
    <w:rsid w:val="00067411"/>
    <w:rsid w:val="00067D64"/>
    <w:rsid w:val="00070A75"/>
    <w:rsid w:val="00071904"/>
    <w:rsid w:val="00072190"/>
    <w:rsid w:val="000724D6"/>
    <w:rsid w:val="0007325B"/>
    <w:rsid w:val="000737E8"/>
    <w:rsid w:val="00074810"/>
    <w:rsid w:val="00074CEF"/>
    <w:rsid w:val="00075520"/>
    <w:rsid w:val="00076A6E"/>
    <w:rsid w:val="00077AE6"/>
    <w:rsid w:val="00077C89"/>
    <w:rsid w:val="000815D2"/>
    <w:rsid w:val="00081F5E"/>
    <w:rsid w:val="00081F90"/>
    <w:rsid w:val="0008264C"/>
    <w:rsid w:val="0008272E"/>
    <w:rsid w:val="000829B0"/>
    <w:rsid w:val="00082D1E"/>
    <w:rsid w:val="00084A09"/>
    <w:rsid w:val="00084BDE"/>
    <w:rsid w:val="000871AF"/>
    <w:rsid w:val="000908E7"/>
    <w:rsid w:val="0009136B"/>
    <w:rsid w:val="000946BD"/>
    <w:rsid w:val="00094D91"/>
    <w:rsid w:val="0009586F"/>
    <w:rsid w:val="000968CE"/>
    <w:rsid w:val="00097091"/>
    <w:rsid w:val="0009767B"/>
    <w:rsid w:val="000A22C8"/>
    <w:rsid w:val="000A2B51"/>
    <w:rsid w:val="000A2FB3"/>
    <w:rsid w:val="000A397B"/>
    <w:rsid w:val="000A3ABD"/>
    <w:rsid w:val="000A557C"/>
    <w:rsid w:val="000A5589"/>
    <w:rsid w:val="000A6B39"/>
    <w:rsid w:val="000A7D62"/>
    <w:rsid w:val="000B1543"/>
    <w:rsid w:val="000B2716"/>
    <w:rsid w:val="000B279B"/>
    <w:rsid w:val="000B2848"/>
    <w:rsid w:val="000B2953"/>
    <w:rsid w:val="000B2DF6"/>
    <w:rsid w:val="000B3577"/>
    <w:rsid w:val="000B4F50"/>
    <w:rsid w:val="000B6031"/>
    <w:rsid w:val="000B6CA6"/>
    <w:rsid w:val="000B71EF"/>
    <w:rsid w:val="000B7516"/>
    <w:rsid w:val="000C06D1"/>
    <w:rsid w:val="000C1B1D"/>
    <w:rsid w:val="000C1D36"/>
    <w:rsid w:val="000C2017"/>
    <w:rsid w:val="000C207F"/>
    <w:rsid w:val="000C211D"/>
    <w:rsid w:val="000C2606"/>
    <w:rsid w:val="000C2A90"/>
    <w:rsid w:val="000C331F"/>
    <w:rsid w:val="000C47BC"/>
    <w:rsid w:val="000C4C4F"/>
    <w:rsid w:val="000C5334"/>
    <w:rsid w:val="000C5AA3"/>
    <w:rsid w:val="000C7237"/>
    <w:rsid w:val="000C7F1A"/>
    <w:rsid w:val="000D1C04"/>
    <w:rsid w:val="000D1CE8"/>
    <w:rsid w:val="000D29C7"/>
    <w:rsid w:val="000D2EE2"/>
    <w:rsid w:val="000D3694"/>
    <w:rsid w:val="000D388E"/>
    <w:rsid w:val="000D3ECD"/>
    <w:rsid w:val="000D5250"/>
    <w:rsid w:val="000D568F"/>
    <w:rsid w:val="000D5C32"/>
    <w:rsid w:val="000D6185"/>
    <w:rsid w:val="000D682F"/>
    <w:rsid w:val="000E0488"/>
    <w:rsid w:val="000E1C19"/>
    <w:rsid w:val="000E25C5"/>
    <w:rsid w:val="000E32C9"/>
    <w:rsid w:val="000E435D"/>
    <w:rsid w:val="000E43DC"/>
    <w:rsid w:val="000E448B"/>
    <w:rsid w:val="000E47E3"/>
    <w:rsid w:val="000E491B"/>
    <w:rsid w:val="000E4F96"/>
    <w:rsid w:val="000E52BD"/>
    <w:rsid w:val="000E6140"/>
    <w:rsid w:val="000E6331"/>
    <w:rsid w:val="000E6411"/>
    <w:rsid w:val="000E650B"/>
    <w:rsid w:val="000E7496"/>
    <w:rsid w:val="000E7B26"/>
    <w:rsid w:val="000F0C44"/>
    <w:rsid w:val="000F16AA"/>
    <w:rsid w:val="000F176A"/>
    <w:rsid w:val="000F17A1"/>
    <w:rsid w:val="000F1E7A"/>
    <w:rsid w:val="000F2213"/>
    <w:rsid w:val="000F2904"/>
    <w:rsid w:val="000F30CC"/>
    <w:rsid w:val="000F391C"/>
    <w:rsid w:val="000F482B"/>
    <w:rsid w:val="000F5355"/>
    <w:rsid w:val="000F54DE"/>
    <w:rsid w:val="000F5E67"/>
    <w:rsid w:val="001006BC"/>
    <w:rsid w:val="00101981"/>
    <w:rsid w:val="00101DFE"/>
    <w:rsid w:val="00102597"/>
    <w:rsid w:val="001035DF"/>
    <w:rsid w:val="00104CBE"/>
    <w:rsid w:val="00105E15"/>
    <w:rsid w:val="00106B01"/>
    <w:rsid w:val="00107C5C"/>
    <w:rsid w:val="00107D2F"/>
    <w:rsid w:val="001103D7"/>
    <w:rsid w:val="001103DD"/>
    <w:rsid w:val="00110AA3"/>
    <w:rsid w:val="00111819"/>
    <w:rsid w:val="0011194D"/>
    <w:rsid w:val="001125BF"/>
    <w:rsid w:val="00114378"/>
    <w:rsid w:val="00115115"/>
    <w:rsid w:val="00115565"/>
    <w:rsid w:val="0011607A"/>
    <w:rsid w:val="00120F7F"/>
    <w:rsid w:val="00121660"/>
    <w:rsid w:val="00121DF0"/>
    <w:rsid w:val="00121E47"/>
    <w:rsid w:val="00122645"/>
    <w:rsid w:val="001227CA"/>
    <w:rsid w:val="0012297F"/>
    <w:rsid w:val="00122FAE"/>
    <w:rsid w:val="00124A41"/>
    <w:rsid w:val="00125356"/>
    <w:rsid w:val="001254D3"/>
    <w:rsid w:val="00125B25"/>
    <w:rsid w:val="00125E3E"/>
    <w:rsid w:val="001273D0"/>
    <w:rsid w:val="00130306"/>
    <w:rsid w:val="0013102B"/>
    <w:rsid w:val="0013237E"/>
    <w:rsid w:val="001329C4"/>
    <w:rsid w:val="00133DF8"/>
    <w:rsid w:val="00135250"/>
    <w:rsid w:val="0014045A"/>
    <w:rsid w:val="001407F6"/>
    <w:rsid w:val="001417D5"/>
    <w:rsid w:val="00141D78"/>
    <w:rsid w:val="00142393"/>
    <w:rsid w:val="00143CD8"/>
    <w:rsid w:val="00143FB8"/>
    <w:rsid w:val="001451A8"/>
    <w:rsid w:val="001466F9"/>
    <w:rsid w:val="00146887"/>
    <w:rsid w:val="0015178A"/>
    <w:rsid w:val="0015271E"/>
    <w:rsid w:val="001528E5"/>
    <w:rsid w:val="0015512B"/>
    <w:rsid w:val="00160288"/>
    <w:rsid w:val="00161645"/>
    <w:rsid w:val="0016169C"/>
    <w:rsid w:val="0016710F"/>
    <w:rsid w:val="0016795E"/>
    <w:rsid w:val="00170D90"/>
    <w:rsid w:val="00170F02"/>
    <w:rsid w:val="00171FA0"/>
    <w:rsid w:val="00172B4D"/>
    <w:rsid w:val="00172E7D"/>
    <w:rsid w:val="001738E5"/>
    <w:rsid w:val="00173AC9"/>
    <w:rsid w:val="00174337"/>
    <w:rsid w:val="00174645"/>
    <w:rsid w:val="00175430"/>
    <w:rsid w:val="001767A8"/>
    <w:rsid w:val="0018165F"/>
    <w:rsid w:val="0018194D"/>
    <w:rsid w:val="00183472"/>
    <w:rsid w:val="0018361D"/>
    <w:rsid w:val="00183BAC"/>
    <w:rsid w:val="001842B4"/>
    <w:rsid w:val="00185269"/>
    <w:rsid w:val="001864B0"/>
    <w:rsid w:val="00186A28"/>
    <w:rsid w:val="00187F68"/>
    <w:rsid w:val="00190CF7"/>
    <w:rsid w:val="001914BD"/>
    <w:rsid w:val="00191C9F"/>
    <w:rsid w:val="00191EDB"/>
    <w:rsid w:val="00194B14"/>
    <w:rsid w:val="00194E17"/>
    <w:rsid w:val="00195FDD"/>
    <w:rsid w:val="001961B5"/>
    <w:rsid w:val="0019693F"/>
    <w:rsid w:val="0019721E"/>
    <w:rsid w:val="00197352"/>
    <w:rsid w:val="00197B98"/>
    <w:rsid w:val="001A0940"/>
    <w:rsid w:val="001A0BA7"/>
    <w:rsid w:val="001A26F6"/>
    <w:rsid w:val="001A3422"/>
    <w:rsid w:val="001A3803"/>
    <w:rsid w:val="001A648A"/>
    <w:rsid w:val="001A70CC"/>
    <w:rsid w:val="001B18A7"/>
    <w:rsid w:val="001B444D"/>
    <w:rsid w:val="001B4A20"/>
    <w:rsid w:val="001B539D"/>
    <w:rsid w:val="001B5640"/>
    <w:rsid w:val="001B5E54"/>
    <w:rsid w:val="001B714F"/>
    <w:rsid w:val="001B78C6"/>
    <w:rsid w:val="001C08B0"/>
    <w:rsid w:val="001C09FA"/>
    <w:rsid w:val="001C0EFC"/>
    <w:rsid w:val="001C2080"/>
    <w:rsid w:val="001C3583"/>
    <w:rsid w:val="001C4398"/>
    <w:rsid w:val="001C47A6"/>
    <w:rsid w:val="001C54FE"/>
    <w:rsid w:val="001C6A1E"/>
    <w:rsid w:val="001D3224"/>
    <w:rsid w:val="001D3B7E"/>
    <w:rsid w:val="001D533A"/>
    <w:rsid w:val="001D55FF"/>
    <w:rsid w:val="001D5EB7"/>
    <w:rsid w:val="001D67C7"/>
    <w:rsid w:val="001D7E51"/>
    <w:rsid w:val="001E00AD"/>
    <w:rsid w:val="001E0EEA"/>
    <w:rsid w:val="001E2806"/>
    <w:rsid w:val="001E2993"/>
    <w:rsid w:val="001E2F12"/>
    <w:rsid w:val="001E3F15"/>
    <w:rsid w:val="001E41E7"/>
    <w:rsid w:val="001E4391"/>
    <w:rsid w:val="001E4F32"/>
    <w:rsid w:val="001E5383"/>
    <w:rsid w:val="001E5B05"/>
    <w:rsid w:val="001E6463"/>
    <w:rsid w:val="001E665A"/>
    <w:rsid w:val="001E6A61"/>
    <w:rsid w:val="001F016C"/>
    <w:rsid w:val="001F02F0"/>
    <w:rsid w:val="001F07F7"/>
    <w:rsid w:val="001F0931"/>
    <w:rsid w:val="001F1597"/>
    <w:rsid w:val="001F2A1F"/>
    <w:rsid w:val="001F2ADC"/>
    <w:rsid w:val="001F2CAB"/>
    <w:rsid w:val="001F381D"/>
    <w:rsid w:val="001F3892"/>
    <w:rsid w:val="001F4FBB"/>
    <w:rsid w:val="001F59B4"/>
    <w:rsid w:val="001F6C1F"/>
    <w:rsid w:val="001F6C47"/>
    <w:rsid w:val="001F707E"/>
    <w:rsid w:val="00200AF2"/>
    <w:rsid w:val="00203395"/>
    <w:rsid w:val="00203F42"/>
    <w:rsid w:val="00204B3D"/>
    <w:rsid w:val="00206C40"/>
    <w:rsid w:val="002101B3"/>
    <w:rsid w:val="00211510"/>
    <w:rsid w:val="00212E8E"/>
    <w:rsid w:val="0021594C"/>
    <w:rsid w:val="00215BA6"/>
    <w:rsid w:val="00216E3D"/>
    <w:rsid w:val="00217474"/>
    <w:rsid w:val="00217C0F"/>
    <w:rsid w:val="00220225"/>
    <w:rsid w:val="00220A46"/>
    <w:rsid w:val="00221CCE"/>
    <w:rsid w:val="00222592"/>
    <w:rsid w:val="0022315E"/>
    <w:rsid w:val="002237C7"/>
    <w:rsid w:val="00223B03"/>
    <w:rsid w:val="002248C2"/>
    <w:rsid w:val="00224FA1"/>
    <w:rsid w:val="00225524"/>
    <w:rsid w:val="0022595B"/>
    <w:rsid w:val="00225BC3"/>
    <w:rsid w:val="00225C9A"/>
    <w:rsid w:val="0022640C"/>
    <w:rsid w:val="0022711C"/>
    <w:rsid w:val="00227651"/>
    <w:rsid w:val="00230CE6"/>
    <w:rsid w:val="00230FA4"/>
    <w:rsid w:val="00231353"/>
    <w:rsid w:val="0023187D"/>
    <w:rsid w:val="0023222D"/>
    <w:rsid w:val="00232614"/>
    <w:rsid w:val="00233AFE"/>
    <w:rsid w:val="00233C59"/>
    <w:rsid w:val="00234CAD"/>
    <w:rsid w:val="0023537E"/>
    <w:rsid w:val="00235992"/>
    <w:rsid w:val="00236A54"/>
    <w:rsid w:val="00236D26"/>
    <w:rsid w:val="00236E09"/>
    <w:rsid w:val="00237468"/>
    <w:rsid w:val="00237A0C"/>
    <w:rsid w:val="00237C42"/>
    <w:rsid w:val="00240452"/>
    <w:rsid w:val="00240E03"/>
    <w:rsid w:val="0024113F"/>
    <w:rsid w:val="002423C3"/>
    <w:rsid w:val="00243084"/>
    <w:rsid w:val="00243283"/>
    <w:rsid w:val="002435D0"/>
    <w:rsid w:val="00243F8F"/>
    <w:rsid w:val="0024593F"/>
    <w:rsid w:val="00245BE8"/>
    <w:rsid w:val="002474A9"/>
    <w:rsid w:val="00247CDD"/>
    <w:rsid w:val="00251AB6"/>
    <w:rsid w:val="00251B02"/>
    <w:rsid w:val="00251E45"/>
    <w:rsid w:val="00252691"/>
    <w:rsid w:val="00252999"/>
    <w:rsid w:val="00252DBE"/>
    <w:rsid w:val="0025308A"/>
    <w:rsid w:val="00253958"/>
    <w:rsid w:val="00253BAA"/>
    <w:rsid w:val="00254723"/>
    <w:rsid w:val="0025530F"/>
    <w:rsid w:val="0025584F"/>
    <w:rsid w:val="0025601D"/>
    <w:rsid w:val="0025717E"/>
    <w:rsid w:val="00257F35"/>
    <w:rsid w:val="00257FF1"/>
    <w:rsid w:val="002608E0"/>
    <w:rsid w:val="002613DF"/>
    <w:rsid w:val="00261D69"/>
    <w:rsid w:val="00262267"/>
    <w:rsid w:val="00262F6F"/>
    <w:rsid w:val="002633FB"/>
    <w:rsid w:val="00263A35"/>
    <w:rsid w:val="00263F00"/>
    <w:rsid w:val="00264A68"/>
    <w:rsid w:val="00264EFA"/>
    <w:rsid w:val="002651A6"/>
    <w:rsid w:val="00265244"/>
    <w:rsid w:val="00266BCA"/>
    <w:rsid w:val="00267EDC"/>
    <w:rsid w:val="00270B2B"/>
    <w:rsid w:val="002737BD"/>
    <w:rsid w:val="00273E1E"/>
    <w:rsid w:val="002740C4"/>
    <w:rsid w:val="00275CBC"/>
    <w:rsid w:val="00275CE0"/>
    <w:rsid w:val="00275D42"/>
    <w:rsid w:val="00275F04"/>
    <w:rsid w:val="0028038E"/>
    <w:rsid w:val="0028066C"/>
    <w:rsid w:val="00281077"/>
    <w:rsid w:val="00281FD6"/>
    <w:rsid w:val="00282E57"/>
    <w:rsid w:val="002833CF"/>
    <w:rsid w:val="0028346E"/>
    <w:rsid w:val="00283EC9"/>
    <w:rsid w:val="00283F00"/>
    <w:rsid w:val="0028495D"/>
    <w:rsid w:val="00286D19"/>
    <w:rsid w:val="00287943"/>
    <w:rsid w:val="00287AB5"/>
    <w:rsid w:val="00290213"/>
    <w:rsid w:val="0029022C"/>
    <w:rsid w:val="002911AD"/>
    <w:rsid w:val="002919F0"/>
    <w:rsid w:val="00291A9A"/>
    <w:rsid w:val="00293347"/>
    <w:rsid w:val="00293471"/>
    <w:rsid w:val="00294C45"/>
    <w:rsid w:val="002952DD"/>
    <w:rsid w:val="002953D7"/>
    <w:rsid w:val="0029546A"/>
    <w:rsid w:val="00295D55"/>
    <w:rsid w:val="002965A4"/>
    <w:rsid w:val="00296F06"/>
    <w:rsid w:val="002973E8"/>
    <w:rsid w:val="00297B69"/>
    <w:rsid w:val="00297DFA"/>
    <w:rsid w:val="002A0397"/>
    <w:rsid w:val="002A0576"/>
    <w:rsid w:val="002A0A37"/>
    <w:rsid w:val="002A10AF"/>
    <w:rsid w:val="002A3478"/>
    <w:rsid w:val="002A386F"/>
    <w:rsid w:val="002A38E3"/>
    <w:rsid w:val="002A4174"/>
    <w:rsid w:val="002A5242"/>
    <w:rsid w:val="002A52AD"/>
    <w:rsid w:val="002A6277"/>
    <w:rsid w:val="002B02CF"/>
    <w:rsid w:val="002B0EF3"/>
    <w:rsid w:val="002B12DD"/>
    <w:rsid w:val="002B1A88"/>
    <w:rsid w:val="002B26F0"/>
    <w:rsid w:val="002B2B0A"/>
    <w:rsid w:val="002B31D4"/>
    <w:rsid w:val="002B4597"/>
    <w:rsid w:val="002B49A9"/>
    <w:rsid w:val="002B59D2"/>
    <w:rsid w:val="002B6669"/>
    <w:rsid w:val="002B6B95"/>
    <w:rsid w:val="002C0FCD"/>
    <w:rsid w:val="002C12BA"/>
    <w:rsid w:val="002C14FF"/>
    <w:rsid w:val="002C2185"/>
    <w:rsid w:val="002C36AE"/>
    <w:rsid w:val="002C4E79"/>
    <w:rsid w:val="002C63EB"/>
    <w:rsid w:val="002C64CD"/>
    <w:rsid w:val="002C64DB"/>
    <w:rsid w:val="002C6836"/>
    <w:rsid w:val="002C757B"/>
    <w:rsid w:val="002C7F2B"/>
    <w:rsid w:val="002D174E"/>
    <w:rsid w:val="002D2165"/>
    <w:rsid w:val="002D2F75"/>
    <w:rsid w:val="002D3095"/>
    <w:rsid w:val="002D47A3"/>
    <w:rsid w:val="002D4EBC"/>
    <w:rsid w:val="002D6665"/>
    <w:rsid w:val="002E0881"/>
    <w:rsid w:val="002E0FB6"/>
    <w:rsid w:val="002E1162"/>
    <w:rsid w:val="002E1597"/>
    <w:rsid w:val="002E17D8"/>
    <w:rsid w:val="002E1C8E"/>
    <w:rsid w:val="002E2816"/>
    <w:rsid w:val="002E2E8A"/>
    <w:rsid w:val="002E3949"/>
    <w:rsid w:val="002E41DF"/>
    <w:rsid w:val="002E4B18"/>
    <w:rsid w:val="002E5346"/>
    <w:rsid w:val="002E5580"/>
    <w:rsid w:val="002E6159"/>
    <w:rsid w:val="002E6829"/>
    <w:rsid w:val="002E6B7E"/>
    <w:rsid w:val="002E6D49"/>
    <w:rsid w:val="002E6DFA"/>
    <w:rsid w:val="002F0BAE"/>
    <w:rsid w:val="002F1086"/>
    <w:rsid w:val="002F1557"/>
    <w:rsid w:val="002F35C1"/>
    <w:rsid w:val="002F36B0"/>
    <w:rsid w:val="002F565E"/>
    <w:rsid w:val="002F5EEF"/>
    <w:rsid w:val="002F79AE"/>
    <w:rsid w:val="003011DB"/>
    <w:rsid w:val="00301CC2"/>
    <w:rsid w:val="0030206A"/>
    <w:rsid w:val="003051FD"/>
    <w:rsid w:val="003055FB"/>
    <w:rsid w:val="00305EFD"/>
    <w:rsid w:val="00305F51"/>
    <w:rsid w:val="003075D9"/>
    <w:rsid w:val="00307772"/>
    <w:rsid w:val="003078AE"/>
    <w:rsid w:val="00310909"/>
    <w:rsid w:val="00311D3B"/>
    <w:rsid w:val="0031247A"/>
    <w:rsid w:val="003131E0"/>
    <w:rsid w:val="00313530"/>
    <w:rsid w:val="00313DD9"/>
    <w:rsid w:val="00314A93"/>
    <w:rsid w:val="003155B8"/>
    <w:rsid w:val="00316357"/>
    <w:rsid w:val="00316847"/>
    <w:rsid w:val="00316C9A"/>
    <w:rsid w:val="00317BBE"/>
    <w:rsid w:val="00321104"/>
    <w:rsid w:val="00321481"/>
    <w:rsid w:val="00321B36"/>
    <w:rsid w:val="00321F9A"/>
    <w:rsid w:val="003220FF"/>
    <w:rsid w:val="003223CA"/>
    <w:rsid w:val="003231A8"/>
    <w:rsid w:val="00327EA8"/>
    <w:rsid w:val="00331597"/>
    <w:rsid w:val="00331AC1"/>
    <w:rsid w:val="003327FC"/>
    <w:rsid w:val="003340BB"/>
    <w:rsid w:val="0033440C"/>
    <w:rsid w:val="003361CA"/>
    <w:rsid w:val="0033747F"/>
    <w:rsid w:val="00337940"/>
    <w:rsid w:val="00337B7B"/>
    <w:rsid w:val="003408ED"/>
    <w:rsid w:val="003431D8"/>
    <w:rsid w:val="00343D0D"/>
    <w:rsid w:val="00344FF3"/>
    <w:rsid w:val="00346507"/>
    <w:rsid w:val="00346EF0"/>
    <w:rsid w:val="00347CE1"/>
    <w:rsid w:val="00347D2D"/>
    <w:rsid w:val="00350F6A"/>
    <w:rsid w:val="00353DBB"/>
    <w:rsid w:val="00354774"/>
    <w:rsid w:val="00355093"/>
    <w:rsid w:val="003561B0"/>
    <w:rsid w:val="00356617"/>
    <w:rsid w:val="00357DCC"/>
    <w:rsid w:val="00360A42"/>
    <w:rsid w:val="00360C67"/>
    <w:rsid w:val="00361459"/>
    <w:rsid w:val="00364602"/>
    <w:rsid w:val="003657B2"/>
    <w:rsid w:val="00367544"/>
    <w:rsid w:val="00367EEC"/>
    <w:rsid w:val="00370A56"/>
    <w:rsid w:val="00370BF4"/>
    <w:rsid w:val="0037133A"/>
    <w:rsid w:val="0037169E"/>
    <w:rsid w:val="00372DC7"/>
    <w:rsid w:val="00373D11"/>
    <w:rsid w:val="0037422E"/>
    <w:rsid w:val="0037479B"/>
    <w:rsid w:val="00374A6B"/>
    <w:rsid w:val="00374BF5"/>
    <w:rsid w:val="003754CD"/>
    <w:rsid w:val="0037587B"/>
    <w:rsid w:val="00375B89"/>
    <w:rsid w:val="00376516"/>
    <w:rsid w:val="00376ECE"/>
    <w:rsid w:val="003774CF"/>
    <w:rsid w:val="00377A28"/>
    <w:rsid w:val="00377D1C"/>
    <w:rsid w:val="00381764"/>
    <w:rsid w:val="00381AAF"/>
    <w:rsid w:val="00381F76"/>
    <w:rsid w:val="003822B1"/>
    <w:rsid w:val="00383322"/>
    <w:rsid w:val="003836F8"/>
    <w:rsid w:val="00383C9F"/>
    <w:rsid w:val="0038467E"/>
    <w:rsid w:val="003846F7"/>
    <w:rsid w:val="00384818"/>
    <w:rsid w:val="00385BDB"/>
    <w:rsid w:val="0038635F"/>
    <w:rsid w:val="003864F0"/>
    <w:rsid w:val="00386B26"/>
    <w:rsid w:val="0038730D"/>
    <w:rsid w:val="0038782E"/>
    <w:rsid w:val="003902F6"/>
    <w:rsid w:val="003906CF"/>
    <w:rsid w:val="00391252"/>
    <w:rsid w:val="00395C20"/>
    <w:rsid w:val="003968A8"/>
    <w:rsid w:val="00396F10"/>
    <w:rsid w:val="00396FF1"/>
    <w:rsid w:val="003A1502"/>
    <w:rsid w:val="003A2D0C"/>
    <w:rsid w:val="003A4636"/>
    <w:rsid w:val="003A5773"/>
    <w:rsid w:val="003A68C0"/>
    <w:rsid w:val="003A6A32"/>
    <w:rsid w:val="003A7281"/>
    <w:rsid w:val="003B01D1"/>
    <w:rsid w:val="003B0B85"/>
    <w:rsid w:val="003B1E6A"/>
    <w:rsid w:val="003B27ED"/>
    <w:rsid w:val="003B2994"/>
    <w:rsid w:val="003B35D0"/>
    <w:rsid w:val="003B5F80"/>
    <w:rsid w:val="003B78CB"/>
    <w:rsid w:val="003C04B0"/>
    <w:rsid w:val="003C1E5A"/>
    <w:rsid w:val="003C3995"/>
    <w:rsid w:val="003C3ABB"/>
    <w:rsid w:val="003C5E6A"/>
    <w:rsid w:val="003D00D2"/>
    <w:rsid w:val="003D0992"/>
    <w:rsid w:val="003D1857"/>
    <w:rsid w:val="003D1A24"/>
    <w:rsid w:val="003D1D8F"/>
    <w:rsid w:val="003D1F45"/>
    <w:rsid w:val="003D4F10"/>
    <w:rsid w:val="003D6FF0"/>
    <w:rsid w:val="003D7297"/>
    <w:rsid w:val="003D7C7E"/>
    <w:rsid w:val="003E06A9"/>
    <w:rsid w:val="003E1ABA"/>
    <w:rsid w:val="003E29EE"/>
    <w:rsid w:val="003E392B"/>
    <w:rsid w:val="003E39B8"/>
    <w:rsid w:val="003E5E95"/>
    <w:rsid w:val="003E61EF"/>
    <w:rsid w:val="003E699F"/>
    <w:rsid w:val="003E6B01"/>
    <w:rsid w:val="003F0777"/>
    <w:rsid w:val="003F2CFF"/>
    <w:rsid w:val="003F5BC7"/>
    <w:rsid w:val="003F6085"/>
    <w:rsid w:val="003F6A6B"/>
    <w:rsid w:val="0040154D"/>
    <w:rsid w:val="0040366C"/>
    <w:rsid w:val="00404121"/>
    <w:rsid w:val="0040433E"/>
    <w:rsid w:val="00404747"/>
    <w:rsid w:val="00406EB7"/>
    <w:rsid w:val="00407738"/>
    <w:rsid w:val="0040799A"/>
    <w:rsid w:val="0041002B"/>
    <w:rsid w:val="00410665"/>
    <w:rsid w:val="00410D92"/>
    <w:rsid w:val="00411390"/>
    <w:rsid w:val="00411686"/>
    <w:rsid w:val="00411915"/>
    <w:rsid w:val="00411C41"/>
    <w:rsid w:val="004137AF"/>
    <w:rsid w:val="004157DD"/>
    <w:rsid w:val="00415899"/>
    <w:rsid w:val="00415E92"/>
    <w:rsid w:val="00416051"/>
    <w:rsid w:val="004166A4"/>
    <w:rsid w:val="00420FC9"/>
    <w:rsid w:val="00421AC5"/>
    <w:rsid w:val="00421FE4"/>
    <w:rsid w:val="00422693"/>
    <w:rsid w:val="00422860"/>
    <w:rsid w:val="00422E43"/>
    <w:rsid w:val="00423FDE"/>
    <w:rsid w:val="0042545D"/>
    <w:rsid w:val="004258FA"/>
    <w:rsid w:val="00425B08"/>
    <w:rsid w:val="004265C9"/>
    <w:rsid w:val="004271E9"/>
    <w:rsid w:val="00430738"/>
    <w:rsid w:val="00431CE3"/>
    <w:rsid w:val="00432D3B"/>
    <w:rsid w:val="004333D4"/>
    <w:rsid w:val="00433D50"/>
    <w:rsid w:val="004344E7"/>
    <w:rsid w:val="004376BB"/>
    <w:rsid w:val="00440388"/>
    <w:rsid w:val="004410F8"/>
    <w:rsid w:val="00441D8A"/>
    <w:rsid w:val="0044202B"/>
    <w:rsid w:val="00442474"/>
    <w:rsid w:val="0044361E"/>
    <w:rsid w:val="004437F7"/>
    <w:rsid w:val="00443E79"/>
    <w:rsid w:val="00444045"/>
    <w:rsid w:val="00444177"/>
    <w:rsid w:val="0044637A"/>
    <w:rsid w:val="00446B28"/>
    <w:rsid w:val="00447556"/>
    <w:rsid w:val="00447B1A"/>
    <w:rsid w:val="00451174"/>
    <w:rsid w:val="004515C2"/>
    <w:rsid w:val="0045181E"/>
    <w:rsid w:val="004524AF"/>
    <w:rsid w:val="00453718"/>
    <w:rsid w:val="00453BE0"/>
    <w:rsid w:val="00454192"/>
    <w:rsid w:val="00454511"/>
    <w:rsid w:val="004558F5"/>
    <w:rsid w:val="0045590E"/>
    <w:rsid w:val="00456445"/>
    <w:rsid w:val="00457A2F"/>
    <w:rsid w:val="004610B8"/>
    <w:rsid w:val="00461C37"/>
    <w:rsid w:val="00461E33"/>
    <w:rsid w:val="00462B9C"/>
    <w:rsid w:val="00462D63"/>
    <w:rsid w:val="004656CA"/>
    <w:rsid w:val="00465805"/>
    <w:rsid w:val="00466882"/>
    <w:rsid w:val="00466D5A"/>
    <w:rsid w:val="00470F54"/>
    <w:rsid w:val="00471C89"/>
    <w:rsid w:val="00472200"/>
    <w:rsid w:val="004722AB"/>
    <w:rsid w:val="00472923"/>
    <w:rsid w:val="004736E6"/>
    <w:rsid w:val="00474424"/>
    <w:rsid w:val="00474A60"/>
    <w:rsid w:val="00475385"/>
    <w:rsid w:val="00475399"/>
    <w:rsid w:val="0047562B"/>
    <w:rsid w:val="00475DF8"/>
    <w:rsid w:val="00477B69"/>
    <w:rsid w:val="00480379"/>
    <w:rsid w:val="00481478"/>
    <w:rsid w:val="00481814"/>
    <w:rsid w:val="00482023"/>
    <w:rsid w:val="00482C53"/>
    <w:rsid w:val="0048396B"/>
    <w:rsid w:val="004842B6"/>
    <w:rsid w:val="0048486E"/>
    <w:rsid w:val="00485174"/>
    <w:rsid w:val="00486EC6"/>
    <w:rsid w:val="00486EE6"/>
    <w:rsid w:val="004871E2"/>
    <w:rsid w:val="00487CDA"/>
    <w:rsid w:val="004915E3"/>
    <w:rsid w:val="00491AED"/>
    <w:rsid w:val="00493878"/>
    <w:rsid w:val="004942B8"/>
    <w:rsid w:val="00494BC3"/>
    <w:rsid w:val="00496414"/>
    <w:rsid w:val="0049705A"/>
    <w:rsid w:val="0049776B"/>
    <w:rsid w:val="004978F0"/>
    <w:rsid w:val="004A0052"/>
    <w:rsid w:val="004A0945"/>
    <w:rsid w:val="004A2306"/>
    <w:rsid w:val="004A263F"/>
    <w:rsid w:val="004A3E70"/>
    <w:rsid w:val="004A6335"/>
    <w:rsid w:val="004A6AC4"/>
    <w:rsid w:val="004B1497"/>
    <w:rsid w:val="004B159F"/>
    <w:rsid w:val="004B19E6"/>
    <w:rsid w:val="004B1F99"/>
    <w:rsid w:val="004B2038"/>
    <w:rsid w:val="004B2831"/>
    <w:rsid w:val="004B32D1"/>
    <w:rsid w:val="004B3550"/>
    <w:rsid w:val="004B516C"/>
    <w:rsid w:val="004B69BC"/>
    <w:rsid w:val="004B6CA6"/>
    <w:rsid w:val="004B7FE0"/>
    <w:rsid w:val="004C1FC5"/>
    <w:rsid w:val="004C278B"/>
    <w:rsid w:val="004C2A6E"/>
    <w:rsid w:val="004C39E2"/>
    <w:rsid w:val="004C42AE"/>
    <w:rsid w:val="004C4B19"/>
    <w:rsid w:val="004C508C"/>
    <w:rsid w:val="004C5451"/>
    <w:rsid w:val="004C6B6C"/>
    <w:rsid w:val="004C7839"/>
    <w:rsid w:val="004D009E"/>
    <w:rsid w:val="004D0190"/>
    <w:rsid w:val="004D230B"/>
    <w:rsid w:val="004D2588"/>
    <w:rsid w:val="004D32AF"/>
    <w:rsid w:val="004D4E3E"/>
    <w:rsid w:val="004D56FC"/>
    <w:rsid w:val="004D5994"/>
    <w:rsid w:val="004D69C7"/>
    <w:rsid w:val="004D76AD"/>
    <w:rsid w:val="004D7B2A"/>
    <w:rsid w:val="004E0781"/>
    <w:rsid w:val="004E1311"/>
    <w:rsid w:val="004E1A81"/>
    <w:rsid w:val="004E1B47"/>
    <w:rsid w:val="004E257E"/>
    <w:rsid w:val="004E2D07"/>
    <w:rsid w:val="004E4451"/>
    <w:rsid w:val="004E4669"/>
    <w:rsid w:val="004E6253"/>
    <w:rsid w:val="004E63EA"/>
    <w:rsid w:val="004E6CFB"/>
    <w:rsid w:val="004E7B9B"/>
    <w:rsid w:val="004F0B79"/>
    <w:rsid w:val="004F0D15"/>
    <w:rsid w:val="004F11E2"/>
    <w:rsid w:val="004F164F"/>
    <w:rsid w:val="004F17EE"/>
    <w:rsid w:val="004F251F"/>
    <w:rsid w:val="004F2721"/>
    <w:rsid w:val="004F2BA7"/>
    <w:rsid w:val="004F323B"/>
    <w:rsid w:val="004F3264"/>
    <w:rsid w:val="004F436B"/>
    <w:rsid w:val="004F4424"/>
    <w:rsid w:val="004F5727"/>
    <w:rsid w:val="004F5C6F"/>
    <w:rsid w:val="004F73CF"/>
    <w:rsid w:val="004F796B"/>
    <w:rsid w:val="00500E9B"/>
    <w:rsid w:val="005016D9"/>
    <w:rsid w:val="005017C1"/>
    <w:rsid w:val="00501938"/>
    <w:rsid w:val="005020BE"/>
    <w:rsid w:val="0050253D"/>
    <w:rsid w:val="00502629"/>
    <w:rsid w:val="005027FA"/>
    <w:rsid w:val="00503149"/>
    <w:rsid w:val="00503254"/>
    <w:rsid w:val="00503D38"/>
    <w:rsid w:val="00504ACE"/>
    <w:rsid w:val="00505AAF"/>
    <w:rsid w:val="005102E2"/>
    <w:rsid w:val="00510FCB"/>
    <w:rsid w:val="00511649"/>
    <w:rsid w:val="00512491"/>
    <w:rsid w:val="00512960"/>
    <w:rsid w:val="00512C2F"/>
    <w:rsid w:val="00513CBD"/>
    <w:rsid w:val="0051425E"/>
    <w:rsid w:val="00514380"/>
    <w:rsid w:val="0051513F"/>
    <w:rsid w:val="00515415"/>
    <w:rsid w:val="00515ACA"/>
    <w:rsid w:val="00516598"/>
    <w:rsid w:val="00517F73"/>
    <w:rsid w:val="00522FAC"/>
    <w:rsid w:val="00523546"/>
    <w:rsid w:val="00524465"/>
    <w:rsid w:val="00524BF1"/>
    <w:rsid w:val="00525899"/>
    <w:rsid w:val="00525E4A"/>
    <w:rsid w:val="00526C0A"/>
    <w:rsid w:val="00527CFC"/>
    <w:rsid w:val="005309F7"/>
    <w:rsid w:val="005310E4"/>
    <w:rsid w:val="00531F0D"/>
    <w:rsid w:val="0053343F"/>
    <w:rsid w:val="00533E36"/>
    <w:rsid w:val="00533F51"/>
    <w:rsid w:val="005356C7"/>
    <w:rsid w:val="005359D5"/>
    <w:rsid w:val="00535FF1"/>
    <w:rsid w:val="00536251"/>
    <w:rsid w:val="005375CE"/>
    <w:rsid w:val="005378DE"/>
    <w:rsid w:val="00537C42"/>
    <w:rsid w:val="00537EA9"/>
    <w:rsid w:val="00541231"/>
    <w:rsid w:val="00542A33"/>
    <w:rsid w:val="00542FCB"/>
    <w:rsid w:val="00543C27"/>
    <w:rsid w:val="00545FF0"/>
    <w:rsid w:val="00546803"/>
    <w:rsid w:val="00546C36"/>
    <w:rsid w:val="00546FBC"/>
    <w:rsid w:val="005510EB"/>
    <w:rsid w:val="0055311C"/>
    <w:rsid w:val="00554D60"/>
    <w:rsid w:val="00556C4B"/>
    <w:rsid w:val="00557950"/>
    <w:rsid w:val="00557AA1"/>
    <w:rsid w:val="0056013A"/>
    <w:rsid w:val="00562000"/>
    <w:rsid w:val="00563957"/>
    <w:rsid w:val="00563C00"/>
    <w:rsid w:val="00564418"/>
    <w:rsid w:val="00564528"/>
    <w:rsid w:val="005645D3"/>
    <w:rsid w:val="00565ABB"/>
    <w:rsid w:val="005663BA"/>
    <w:rsid w:val="00566832"/>
    <w:rsid w:val="00566980"/>
    <w:rsid w:val="00566A49"/>
    <w:rsid w:val="00566CBB"/>
    <w:rsid w:val="005722ED"/>
    <w:rsid w:val="00572C34"/>
    <w:rsid w:val="00572EDA"/>
    <w:rsid w:val="005731EA"/>
    <w:rsid w:val="005735D7"/>
    <w:rsid w:val="00575CB5"/>
    <w:rsid w:val="005829AD"/>
    <w:rsid w:val="00582C0F"/>
    <w:rsid w:val="00583A49"/>
    <w:rsid w:val="00583A55"/>
    <w:rsid w:val="00585E83"/>
    <w:rsid w:val="005868DF"/>
    <w:rsid w:val="005870EE"/>
    <w:rsid w:val="00587330"/>
    <w:rsid w:val="00587496"/>
    <w:rsid w:val="00590157"/>
    <w:rsid w:val="005908C3"/>
    <w:rsid w:val="00590A1A"/>
    <w:rsid w:val="00590E5F"/>
    <w:rsid w:val="00591451"/>
    <w:rsid w:val="00592921"/>
    <w:rsid w:val="00593E32"/>
    <w:rsid w:val="005943B0"/>
    <w:rsid w:val="005947A1"/>
    <w:rsid w:val="005963E8"/>
    <w:rsid w:val="0059690B"/>
    <w:rsid w:val="00596BC5"/>
    <w:rsid w:val="00596D82"/>
    <w:rsid w:val="00597C22"/>
    <w:rsid w:val="005A083B"/>
    <w:rsid w:val="005A18A4"/>
    <w:rsid w:val="005A3898"/>
    <w:rsid w:val="005A4766"/>
    <w:rsid w:val="005A56F6"/>
    <w:rsid w:val="005A6846"/>
    <w:rsid w:val="005A6F58"/>
    <w:rsid w:val="005A7181"/>
    <w:rsid w:val="005B1105"/>
    <w:rsid w:val="005B1829"/>
    <w:rsid w:val="005B1B95"/>
    <w:rsid w:val="005B2466"/>
    <w:rsid w:val="005B4636"/>
    <w:rsid w:val="005B469E"/>
    <w:rsid w:val="005B47B6"/>
    <w:rsid w:val="005B5517"/>
    <w:rsid w:val="005B5D00"/>
    <w:rsid w:val="005C00AC"/>
    <w:rsid w:val="005C215E"/>
    <w:rsid w:val="005C3951"/>
    <w:rsid w:val="005C4345"/>
    <w:rsid w:val="005C466D"/>
    <w:rsid w:val="005C47E1"/>
    <w:rsid w:val="005C5B6B"/>
    <w:rsid w:val="005C6296"/>
    <w:rsid w:val="005C6486"/>
    <w:rsid w:val="005C789B"/>
    <w:rsid w:val="005C7D2F"/>
    <w:rsid w:val="005D027B"/>
    <w:rsid w:val="005D1914"/>
    <w:rsid w:val="005D288F"/>
    <w:rsid w:val="005D2F52"/>
    <w:rsid w:val="005D30DD"/>
    <w:rsid w:val="005D3BA6"/>
    <w:rsid w:val="005D4D42"/>
    <w:rsid w:val="005D4E6B"/>
    <w:rsid w:val="005D5111"/>
    <w:rsid w:val="005D5842"/>
    <w:rsid w:val="005D6728"/>
    <w:rsid w:val="005D689F"/>
    <w:rsid w:val="005D6AC1"/>
    <w:rsid w:val="005E117E"/>
    <w:rsid w:val="005E12B4"/>
    <w:rsid w:val="005E150E"/>
    <w:rsid w:val="005E16AD"/>
    <w:rsid w:val="005E29D1"/>
    <w:rsid w:val="005E3225"/>
    <w:rsid w:val="005E5AA9"/>
    <w:rsid w:val="005E7420"/>
    <w:rsid w:val="005E7B12"/>
    <w:rsid w:val="005F04C6"/>
    <w:rsid w:val="005F1587"/>
    <w:rsid w:val="005F173A"/>
    <w:rsid w:val="005F1CE6"/>
    <w:rsid w:val="005F3C45"/>
    <w:rsid w:val="005F5262"/>
    <w:rsid w:val="005F53ED"/>
    <w:rsid w:val="005F5BB4"/>
    <w:rsid w:val="005F65A7"/>
    <w:rsid w:val="005F6F3E"/>
    <w:rsid w:val="005F7CDD"/>
    <w:rsid w:val="0060001B"/>
    <w:rsid w:val="00600DF2"/>
    <w:rsid w:val="00601283"/>
    <w:rsid w:val="006016E0"/>
    <w:rsid w:val="0060469C"/>
    <w:rsid w:val="006048A7"/>
    <w:rsid w:val="006048ED"/>
    <w:rsid w:val="006054BD"/>
    <w:rsid w:val="00606612"/>
    <w:rsid w:val="006069DE"/>
    <w:rsid w:val="00610497"/>
    <w:rsid w:val="006108A1"/>
    <w:rsid w:val="00610CA0"/>
    <w:rsid w:val="0061144B"/>
    <w:rsid w:val="00614BDE"/>
    <w:rsid w:val="006161D3"/>
    <w:rsid w:val="006165CD"/>
    <w:rsid w:val="00616EC6"/>
    <w:rsid w:val="00617051"/>
    <w:rsid w:val="006178FA"/>
    <w:rsid w:val="00617CA7"/>
    <w:rsid w:val="006206FA"/>
    <w:rsid w:val="00620CA1"/>
    <w:rsid w:val="00625649"/>
    <w:rsid w:val="00627590"/>
    <w:rsid w:val="00627A96"/>
    <w:rsid w:val="006304A8"/>
    <w:rsid w:val="006321C2"/>
    <w:rsid w:val="00633632"/>
    <w:rsid w:val="0063393F"/>
    <w:rsid w:val="00633AC9"/>
    <w:rsid w:val="006341BD"/>
    <w:rsid w:val="006347BE"/>
    <w:rsid w:val="006349E9"/>
    <w:rsid w:val="00634DCC"/>
    <w:rsid w:val="006356C4"/>
    <w:rsid w:val="00636002"/>
    <w:rsid w:val="006361F4"/>
    <w:rsid w:val="00636C1F"/>
    <w:rsid w:val="006412F3"/>
    <w:rsid w:val="0064159D"/>
    <w:rsid w:val="00641BBF"/>
    <w:rsid w:val="00641FD5"/>
    <w:rsid w:val="0064246C"/>
    <w:rsid w:val="0064263E"/>
    <w:rsid w:val="0064298F"/>
    <w:rsid w:val="00642C6E"/>
    <w:rsid w:val="00642DAF"/>
    <w:rsid w:val="006434FF"/>
    <w:rsid w:val="0064465E"/>
    <w:rsid w:val="00644AA7"/>
    <w:rsid w:val="00644DE1"/>
    <w:rsid w:val="006452D5"/>
    <w:rsid w:val="006456C7"/>
    <w:rsid w:val="0064587D"/>
    <w:rsid w:val="00646458"/>
    <w:rsid w:val="00652798"/>
    <w:rsid w:val="006534C8"/>
    <w:rsid w:val="006536F8"/>
    <w:rsid w:val="00653FC4"/>
    <w:rsid w:val="006545E7"/>
    <w:rsid w:val="00655645"/>
    <w:rsid w:val="006558D7"/>
    <w:rsid w:val="00655CB3"/>
    <w:rsid w:val="00660C8E"/>
    <w:rsid w:val="00662357"/>
    <w:rsid w:val="0066260A"/>
    <w:rsid w:val="00662B45"/>
    <w:rsid w:val="00662F21"/>
    <w:rsid w:val="00664278"/>
    <w:rsid w:val="00664954"/>
    <w:rsid w:val="00664D6E"/>
    <w:rsid w:val="00665540"/>
    <w:rsid w:val="00665B2F"/>
    <w:rsid w:val="006661A4"/>
    <w:rsid w:val="00666521"/>
    <w:rsid w:val="0066764A"/>
    <w:rsid w:val="00667EA6"/>
    <w:rsid w:val="00670500"/>
    <w:rsid w:val="00670C31"/>
    <w:rsid w:val="006715FD"/>
    <w:rsid w:val="00671AA9"/>
    <w:rsid w:val="006724DD"/>
    <w:rsid w:val="0067283B"/>
    <w:rsid w:val="00672C00"/>
    <w:rsid w:val="00674125"/>
    <w:rsid w:val="00674F74"/>
    <w:rsid w:val="00675735"/>
    <w:rsid w:val="006759DF"/>
    <w:rsid w:val="00675E52"/>
    <w:rsid w:val="0067699C"/>
    <w:rsid w:val="00676D6D"/>
    <w:rsid w:val="0067799C"/>
    <w:rsid w:val="00680072"/>
    <w:rsid w:val="006800A2"/>
    <w:rsid w:val="00680CC4"/>
    <w:rsid w:val="00680EEC"/>
    <w:rsid w:val="00680FC7"/>
    <w:rsid w:val="0068128E"/>
    <w:rsid w:val="00682019"/>
    <w:rsid w:val="0068232C"/>
    <w:rsid w:val="00682B46"/>
    <w:rsid w:val="0068367F"/>
    <w:rsid w:val="00683DDF"/>
    <w:rsid w:val="006849EC"/>
    <w:rsid w:val="00684C53"/>
    <w:rsid w:val="0068509F"/>
    <w:rsid w:val="00685885"/>
    <w:rsid w:val="00687999"/>
    <w:rsid w:val="0069135C"/>
    <w:rsid w:val="00691516"/>
    <w:rsid w:val="00692295"/>
    <w:rsid w:val="00693880"/>
    <w:rsid w:val="00693993"/>
    <w:rsid w:val="006948BA"/>
    <w:rsid w:val="006966CE"/>
    <w:rsid w:val="00696EEA"/>
    <w:rsid w:val="006A0383"/>
    <w:rsid w:val="006A052E"/>
    <w:rsid w:val="006A0741"/>
    <w:rsid w:val="006A0B45"/>
    <w:rsid w:val="006A0DA4"/>
    <w:rsid w:val="006A25B5"/>
    <w:rsid w:val="006A2E67"/>
    <w:rsid w:val="006A3A8B"/>
    <w:rsid w:val="006A3DC1"/>
    <w:rsid w:val="006A5644"/>
    <w:rsid w:val="006A56C2"/>
    <w:rsid w:val="006A70DA"/>
    <w:rsid w:val="006A71EB"/>
    <w:rsid w:val="006A744C"/>
    <w:rsid w:val="006B0919"/>
    <w:rsid w:val="006B19B1"/>
    <w:rsid w:val="006B1D0E"/>
    <w:rsid w:val="006B4593"/>
    <w:rsid w:val="006B6255"/>
    <w:rsid w:val="006C09B6"/>
    <w:rsid w:val="006C2CA6"/>
    <w:rsid w:val="006C32BC"/>
    <w:rsid w:val="006C36A4"/>
    <w:rsid w:val="006C4663"/>
    <w:rsid w:val="006C4830"/>
    <w:rsid w:val="006C4988"/>
    <w:rsid w:val="006C4D2A"/>
    <w:rsid w:val="006C53C9"/>
    <w:rsid w:val="006C6272"/>
    <w:rsid w:val="006C683A"/>
    <w:rsid w:val="006C790A"/>
    <w:rsid w:val="006D1357"/>
    <w:rsid w:val="006D2E18"/>
    <w:rsid w:val="006D3608"/>
    <w:rsid w:val="006D3760"/>
    <w:rsid w:val="006D3D50"/>
    <w:rsid w:val="006D3E2A"/>
    <w:rsid w:val="006D5092"/>
    <w:rsid w:val="006D51C5"/>
    <w:rsid w:val="006D560A"/>
    <w:rsid w:val="006D7125"/>
    <w:rsid w:val="006E016E"/>
    <w:rsid w:val="006E1550"/>
    <w:rsid w:val="006E2F2B"/>
    <w:rsid w:val="006E54AA"/>
    <w:rsid w:val="006E64CB"/>
    <w:rsid w:val="006E7C76"/>
    <w:rsid w:val="006F077F"/>
    <w:rsid w:val="006F1A60"/>
    <w:rsid w:val="006F202E"/>
    <w:rsid w:val="006F2F80"/>
    <w:rsid w:val="006F3180"/>
    <w:rsid w:val="006F5C2D"/>
    <w:rsid w:val="006F5DC9"/>
    <w:rsid w:val="006F67CA"/>
    <w:rsid w:val="006F7A3C"/>
    <w:rsid w:val="006F7B0F"/>
    <w:rsid w:val="00700093"/>
    <w:rsid w:val="00700619"/>
    <w:rsid w:val="007007C2"/>
    <w:rsid w:val="00701C96"/>
    <w:rsid w:val="00701E8B"/>
    <w:rsid w:val="00702877"/>
    <w:rsid w:val="00703958"/>
    <w:rsid w:val="007047B1"/>
    <w:rsid w:val="00704964"/>
    <w:rsid w:val="00704DC4"/>
    <w:rsid w:val="00705BAA"/>
    <w:rsid w:val="00705D26"/>
    <w:rsid w:val="00706682"/>
    <w:rsid w:val="00706E01"/>
    <w:rsid w:val="007070E3"/>
    <w:rsid w:val="007101F0"/>
    <w:rsid w:val="00711349"/>
    <w:rsid w:val="00712FC3"/>
    <w:rsid w:val="007142E2"/>
    <w:rsid w:val="00714460"/>
    <w:rsid w:val="007144CD"/>
    <w:rsid w:val="00714F15"/>
    <w:rsid w:val="00716087"/>
    <w:rsid w:val="007167D0"/>
    <w:rsid w:val="007201FE"/>
    <w:rsid w:val="007205FB"/>
    <w:rsid w:val="00721A8E"/>
    <w:rsid w:val="00723B77"/>
    <w:rsid w:val="007264AD"/>
    <w:rsid w:val="00726CCC"/>
    <w:rsid w:val="007274D8"/>
    <w:rsid w:val="00727554"/>
    <w:rsid w:val="00730AB1"/>
    <w:rsid w:val="00731E6E"/>
    <w:rsid w:val="007321CA"/>
    <w:rsid w:val="007331D3"/>
    <w:rsid w:val="0073357F"/>
    <w:rsid w:val="007339E8"/>
    <w:rsid w:val="00733B6B"/>
    <w:rsid w:val="007343F7"/>
    <w:rsid w:val="007355EA"/>
    <w:rsid w:val="00735BA5"/>
    <w:rsid w:val="00736B87"/>
    <w:rsid w:val="0074096A"/>
    <w:rsid w:val="00740AC1"/>
    <w:rsid w:val="00741526"/>
    <w:rsid w:val="00742408"/>
    <w:rsid w:val="00742DF2"/>
    <w:rsid w:val="007430D5"/>
    <w:rsid w:val="007440E6"/>
    <w:rsid w:val="007445DB"/>
    <w:rsid w:val="007449F3"/>
    <w:rsid w:val="00745B5B"/>
    <w:rsid w:val="00746361"/>
    <w:rsid w:val="007463DC"/>
    <w:rsid w:val="00747C22"/>
    <w:rsid w:val="00750FFF"/>
    <w:rsid w:val="00751B58"/>
    <w:rsid w:val="00753402"/>
    <w:rsid w:val="00753631"/>
    <w:rsid w:val="00753DAC"/>
    <w:rsid w:val="0075536D"/>
    <w:rsid w:val="007570BB"/>
    <w:rsid w:val="00757139"/>
    <w:rsid w:val="00757B02"/>
    <w:rsid w:val="007613AA"/>
    <w:rsid w:val="0076140A"/>
    <w:rsid w:val="007615A8"/>
    <w:rsid w:val="00761E7F"/>
    <w:rsid w:val="007629D1"/>
    <w:rsid w:val="00763BF2"/>
    <w:rsid w:val="007641FC"/>
    <w:rsid w:val="007642F4"/>
    <w:rsid w:val="00764AA4"/>
    <w:rsid w:val="00765761"/>
    <w:rsid w:val="00766489"/>
    <w:rsid w:val="00767631"/>
    <w:rsid w:val="00767BA9"/>
    <w:rsid w:val="00770D10"/>
    <w:rsid w:val="007718D8"/>
    <w:rsid w:val="0077350A"/>
    <w:rsid w:val="007742CE"/>
    <w:rsid w:val="00774312"/>
    <w:rsid w:val="0077586D"/>
    <w:rsid w:val="00775C82"/>
    <w:rsid w:val="007802FE"/>
    <w:rsid w:val="0078092C"/>
    <w:rsid w:val="00781400"/>
    <w:rsid w:val="00781DC1"/>
    <w:rsid w:val="00781E90"/>
    <w:rsid w:val="00783430"/>
    <w:rsid w:val="007842E8"/>
    <w:rsid w:val="00784336"/>
    <w:rsid w:val="007843B7"/>
    <w:rsid w:val="007849C7"/>
    <w:rsid w:val="007856C6"/>
    <w:rsid w:val="007859FF"/>
    <w:rsid w:val="00787477"/>
    <w:rsid w:val="00787705"/>
    <w:rsid w:val="0079150F"/>
    <w:rsid w:val="00791F6F"/>
    <w:rsid w:val="00793B9D"/>
    <w:rsid w:val="007949F0"/>
    <w:rsid w:val="007953B5"/>
    <w:rsid w:val="00795641"/>
    <w:rsid w:val="00795A90"/>
    <w:rsid w:val="007977A7"/>
    <w:rsid w:val="007A03A4"/>
    <w:rsid w:val="007A0625"/>
    <w:rsid w:val="007A1958"/>
    <w:rsid w:val="007A1D16"/>
    <w:rsid w:val="007A4884"/>
    <w:rsid w:val="007A4A04"/>
    <w:rsid w:val="007A4D8F"/>
    <w:rsid w:val="007A5950"/>
    <w:rsid w:val="007A7085"/>
    <w:rsid w:val="007A7855"/>
    <w:rsid w:val="007B08DC"/>
    <w:rsid w:val="007B12C5"/>
    <w:rsid w:val="007B346A"/>
    <w:rsid w:val="007B4063"/>
    <w:rsid w:val="007B6CDF"/>
    <w:rsid w:val="007B7541"/>
    <w:rsid w:val="007C0914"/>
    <w:rsid w:val="007C2699"/>
    <w:rsid w:val="007C5D10"/>
    <w:rsid w:val="007C66CD"/>
    <w:rsid w:val="007C7452"/>
    <w:rsid w:val="007C7FA8"/>
    <w:rsid w:val="007D0A31"/>
    <w:rsid w:val="007D0B5D"/>
    <w:rsid w:val="007D175A"/>
    <w:rsid w:val="007D3A23"/>
    <w:rsid w:val="007D5328"/>
    <w:rsid w:val="007D6E78"/>
    <w:rsid w:val="007E0284"/>
    <w:rsid w:val="007E0353"/>
    <w:rsid w:val="007E0FF7"/>
    <w:rsid w:val="007E1E5B"/>
    <w:rsid w:val="007E29D6"/>
    <w:rsid w:val="007E2EB5"/>
    <w:rsid w:val="007E2F17"/>
    <w:rsid w:val="007E34AB"/>
    <w:rsid w:val="007E52C5"/>
    <w:rsid w:val="007E7604"/>
    <w:rsid w:val="007E7817"/>
    <w:rsid w:val="007F11A8"/>
    <w:rsid w:val="007F12C8"/>
    <w:rsid w:val="007F13DC"/>
    <w:rsid w:val="007F396F"/>
    <w:rsid w:val="007F3ED7"/>
    <w:rsid w:val="007F4292"/>
    <w:rsid w:val="007F4318"/>
    <w:rsid w:val="007F5180"/>
    <w:rsid w:val="007F54B7"/>
    <w:rsid w:val="007F5D9A"/>
    <w:rsid w:val="007F63C4"/>
    <w:rsid w:val="008000E0"/>
    <w:rsid w:val="00800A7E"/>
    <w:rsid w:val="00802D3B"/>
    <w:rsid w:val="00803604"/>
    <w:rsid w:val="00803C27"/>
    <w:rsid w:val="0080521B"/>
    <w:rsid w:val="00805E84"/>
    <w:rsid w:val="00810596"/>
    <w:rsid w:val="00810E4A"/>
    <w:rsid w:val="00813DCB"/>
    <w:rsid w:val="008162ED"/>
    <w:rsid w:val="00816B0A"/>
    <w:rsid w:val="00821AF9"/>
    <w:rsid w:val="00821FCF"/>
    <w:rsid w:val="00822401"/>
    <w:rsid w:val="00823323"/>
    <w:rsid w:val="0082464E"/>
    <w:rsid w:val="00824EEF"/>
    <w:rsid w:val="00825E3B"/>
    <w:rsid w:val="0082654D"/>
    <w:rsid w:val="00826CEA"/>
    <w:rsid w:val="00826F18"/>
    <w:rsid w:val="00827C02"/>
    <w:rsid w:val="00830133"/>
    <w:rsid w:val="00830B2D"/>
    <w:rsid w:val="00830EE4"/>
    <w:rsid w:val="00830F47"/>
    <w:rsid w:val="008318B5"/>
    <w:rsid w:val="00831A50"/>
    <w:rsid w:val="00831D38"/>
    <w:rsid w:val="00831DEF"/>
    <w:rsid w:val="00832498"/>
    <w:rsid w:val="00832B32"/>
    <w:rsid w:val="008335BA"/>
    <w:rsid w:val="00834743"/>
    <w:rsid w:val="00836907"/>
    <w:rsid w:val="00836EF9"/>
    <w:rsid w:val="00837447"/>
    <w:rsid w:val="00837A86"/>
    <w:rsid w:val="00841A10"/>
    <w:rsid w:val="00841C46"/>
    <w:rsid w:val="00841FE3"/>
    <w:rsid w:val="0084235F"/>
    <w:rsid w:val="00842F78"/>
    <w:rsid w:val="00843954"/>
    <w:rsid w:val="00843BE8"/>
    <w:rsid w:val="00844515"/>
    <w:rsid w:val="00846749"/>
    <w:rsid w:val="00846FC1"/>
    <w:rsid w:val="00847436"/>
    <w:rsid w:val="008478C8"/>
    <w:rsid w:val="00850495"/>
    <w:rsid w:val="0085174E"/>
    <w:rsid w:val="00851796"/>
    <w:rsid w:val="00851F2B"/>
    <w:rsid w:val="00852CCF"/>
    <w:rsid w:val="0085341E"/>
    <w:rsid w:val="00853A5A"/>
    <w:rsid w:val="00855708"/>
    <w:rsid w:val="00860B96"/>
    <w:rsid w:val="00860FA0"/>
    <w:rsid w:val="00861185"/>
    <w:rsid w:val="00863731"/>
    <w:rsid w:val="0086390C"/>
    <w:rsid w:val="008644FC"/>
    <w:rsid w:val="00865923"/>
    <w:rsid w:val="00865AC8"/>
    <w:rsid w:val="00866BAC"/>
    <w:rsid w:val="00866E30"/>
    <w:rsid w:val="008678CC"/>
    <w:rsid w:val="00867A74"/>
    <w:rsid w:val="0087023D"/>
    <w:rsid w:val="0087093F"/>
    <w:rsid w:val="00871973"/>
    <w:rsid w:val="00872421"/>
    <w:rsid w:val="00872CE0"/>
    <w:rsid w:val="00874328"/>
    <w:rsid w:val="00874FB9"/>
    <w:rsid w:val="00876373"/>
    <w:rsid w:val="0087767F"/>
    <w:rsid w:val="008805E7"/>
    <w:rsid w:val="0088255C"/>
    <w:rsid w:val="00882D14"/>
    <w:rsid w:val="00883476"/>
    <w:rsid w:val="0088534D"/>
    <w:rsid w:val="00885CBF"/>
    <w:rsid w:val="00886208"/>
    <w:rsid w:val="00886A75"/>
    <w:rsid w:val="00887F44"/>
    <w:rsid w:val="008922A1"/>
    <w:rsid w:val="008922DF"/>
    <w:rsid w:val="00892497"/>
    <w:rsid w:val="008930D5"/>
    <w:rsid w:val="00895E23"/>
    <w:rsid w:val="00895F97"/>
    <w:rsid w:val="008A056B"/>
    <w:rsid w:val="008A0CEB"/>
    <w:rsid w:val="008A1349"/>
    <w:rsid w:val="008A1B62"/>
    <w:rsid w:val="008A1CC4"/>
    <w:rsid w:val="008A370D"/>
    <w:rsid w:val="008A3CFF"/>
    <w:rsid w:val="008A4ECF"/>
    <w:rsid w:val="008A5F5B"/>
    <w:rsid w:val="008A6DB1"/>
    <w:rsid w:val="008A727E"/>
    <w:rsid w:val="008B0A85"/>
    <w:rsid w:val="008B68D2"/>
    <w:rsid w:val="008B7244"/>
    <w:rsid w:val="008C0317"/>
    <w:rsid w:val="008C0408"/>
    <w:rsid w:val="008C132D"/>
    <w:rsid w:val="008C186C"/>
    <w:rsid w:val="008C4238"/>
    <w:rsid w:val="008C4B04"/>
    <w:rsid w:val="008C51B6"/>
    <w:rsid w:val="008C54D0"/>
    <w:rsid w:val="008C5917"/>
    <w:rsid w:val="008C6E3C"/>
    <w:rsid w:val="008D053F"/>
    <w:rsid w:val="008D12BF"/>
    <w:rsid w:val="008D1572"/>
    <w:rsid w:val="008D29B0"/>
    <w:rsid w:val="008D2A84"/>
    <w:rsid w:val="008D2FB6"/>
    <w:rsid w:val="008D39E1"/>
    <w:rsid w:val="008D39F3"/>
    <w:rsid w:val="008D4BC1"/>
    <w:rsid w:val="008D5795"/>
    <w:rsid w:val="008D59E3"/>
    <w:rsid w:val="008D5C51"/>
    <w:rsid w:val="008D5D99"/>
    <w:rsid w:val="008E023C"/>
    <w:rsid w:val="008E1627"/>
    <w:rsid w:val="008E19F1"/>
    <w:rsid w:val="008E1D2F"/>
    <w:rsid w:val="008E2FBD"/>
    <w:rsid w:val="008E44EF"/>
    <w:rsid w:val="008E4A4A"/>
    <w:rsid w:val="008E4FF0"/>
    <w:rsid w:val="008E5778"/>
    <w:rsid w:val="008E5FD0"/>
    <w:rsid w:val="008E6867"/>
    <w:rsid w:val="008F03EA"/>
    <w:rsid w:val="008F04DD"/>
    <w:rsid w:val="008F0C97"/>
    <w:rsid w:val="008F0CB3"/>
    <w:rsid w:val="008F10AC"/>
    <w:rsid w:val="008F2D74"/>
    <w:rsid w:val="008F3AB9"/>
    <w:rsid w:val="008F41B9"/>
    <w:rsid w:val="008F4863"/>
    <w:rsid w:val="008F4915"/>
    <w:rsid w:val="008F4A7E"/>
    <w:rsid w:val="008F6B0B"/>
    <w:rsid w:val="008F7FC7"/>
    <w:rsid w:val="0090086A"/>
    <w:rsid w:val="00903865"/>
    <w:rsid w:val="0090406B"/>
    <w:rsid w:val="009060B1"/>
    <w:rsid w:val="00906A06"/>
    <w:rsid w:val="00906CF9"/>
    <w:rsid w:val="00907B1D"/>
    <w:rsid w:val="00907D95"/>
    <w:rsid w:val="00910189"/>
    <w:rsid w:val="00910E24"/>
    <w:rsid w:val="00911184"/>
    <w:rsid w:val="009111F7"/>
    <w:rsid w:val="00911BB6"/>
    <w:rsid w:val="00911EDC"/>
    <w:rsid w:val="00912993"/>
    <w:rsid w:val="00914050"/>
    <w:rsid w:val="00914445"/>
    <w:rsid w:val="0091566D"/>
    <w:rsid w:val="00915BCC"/>
    <w:rsid w:val="00915F0F"/>
    <w:rsid w:val="009162DC"/>
    <w:rsid w:val="009164CB"/>
    <w:rsid w:val="009170B2"/>
    <w:rsid w:val="00917A39"/>
    <w:rsid w:val="0092098F"/>
    <w:rsid w:val="00920C60"/>
    <w:rsid w:val="0092246D"/>
    <w:rsid w:val="00923C4C"/>
    <w:rsid w:val="009264DF"/>
    <w:rsid w:val="0092759C"/>
    <w:rsid w:val="009275BE"/>
    <w:rsid w:val="00927881"/>
    <w:rsid w:val="00931695"/>
    <w:rsid w:val="009318F7"/>
    <w:rsid w:val="00932194"/>
    <w:rsid w:val="00932299"/>
    <w:rsid w:val="00932F23"/>
    <w:rsid w:val="009332E6"/>
    <w:rsid w:val="00935773"/>
    <w:rsid w:val="00936A84"/>
    <w:rsid w:val="00936CBA"/>
    <w:rsid w:val="00937DD4"/>
    <w:rsid w:val="00937ED6"/>
    <w:rsid w:val="00940BD7"/>
    <w:rsid w:val="00940DF5"/>
    <w:rsid w:val="0094199D"/>
    <w:rsid w:val="0094262A"/>
    <w:rsid w:val="00942AE0"/>
    <w:rsid w:val="009431CE"/>
    <w:rsid w:val="0094456C"/>
    <w:rsid w:val="009448F9"/>
    <w:rsid w:val="0094502F"/>
    <w:rsid w:val="00946ECC"/>
    <w:rsid w:val="00946EF4"/>
    <w:rsid w:val="00946F45"/>
    <w:rsid w:val="0094736A"/>
    <w:rsid w:val="009474A7"/>
    <w:rsid w:val="00947BBF"/>
    <w:rsid w:val="00952A37"/>
    <w:rsid w:val="00952C48"/>
    <w:rsid w:val="0095360A"/>
    <w:rsid w:val="00954627"/>
    <w:rsid w:val="0095464D"/>
    <w:rsid w:val="00955FF1"/>
    <w:rsid w:val="009573B7"/>
    <w:rsid w:val="00957D45"/>
    <w:rsid w:val="00960C44"/>
    <w:rsid w:val="00961872"/>
    <w:rsid w:val="00961B67"/>
    <w:rsid w:val="00961E1A"/>
    <w:rsid w:val="009624D8"/>
    <w:rsid w:val="0096296D"/>
    <w:rsid w:val="00964F91"/>
    <w:rsid w:val="00965D3C"/>
    <w:rsid w:val="00965EAD"/>
    <w:rsid w:val="0096657E"/>
    <w:rsid w:val="009704E8"/>
    <w:rsid w:val="009705C7"/>
    <w:rsid w:val="009708E7"/>
    <w:rsid w:val="00972165"/>
    <w:rsid w:val="009721FE"/>
    <w:rsid w:val="00972283"/>
    <w:rsid w:val="0097237A"/>
    <w:rsid w:val="00975210"/>
    <w:rsid w:val="009756A2"/>
    <w:rsid w:val="00975C04"/>
    <w:rsid w:val="00976733"/>
    <w:rsid w:val="00977025"/>
    <w:rsid w:val="00977404"/>
    <w:rsid w:val="00977EA2"/>
    <w:rsid w:val="00980749"/>
    <w:rsid w:val="00980EDB"/>
    <w:rsid w:val="0098138F"/>
    <w:rsid w:val="009815D1"/>
    <w:rsid w:val="00982FCA"/>
    <w:rsid w:val="00983B74"/>
    <w:rsid w:val="009847F2"/>
    <w:rsid w:val="00986FC8"/>
    <w:rsid w:val="0099180F"/>
    <w:rsid w:val="00991EEB"/>
    <w:rsid w:val="0099205D"/>
    <w:rsid w:val="009925D3"/>
    <w:rsid w:val="009931BD"/>
    <w:rsid w:val="00993498"/>
    <w:rsid w:val="0099391B"/>
    <w:rsid w:val="00993E75"/>
    <w:rsid w:val="00995B86"/>
    <w:rsid w:val="009961AF"/>
    <w:rsid w:val="009963E1"/>
    <w:rsid w:val="00997ED7"/>
    <w:rsid w:val="009A09FA"/>
    <w:rsid w:val="009A19B4"/>
    <w:rsid w:val="009A1FBC"/>
    <w:rsid w:val="009A2B1B"/>
    <w:rsid w:val="009A2F0C"/>
    <w:rsid w:val="009A486A"/>
    <w:rsid w:val="009A5226"/>
    <w:rsid w:val="009A5276"/>
    <w:rsid w:val="009A559F"/>
    <w:rsid w:val="009A7A6A"/>
    <w:rsid w:val="009A7F88"/>
    <w:rsid w:val="009B01ED"/>
    <w:rsid w:val="009B075D"/>
    <w:rsid w:val="009B1022"/>
    <w:rsid w:val="009B1353"/>
    <w:rsid w:val="009B152C"/>
    <w:rsid w:val="009B45E1"/>
    <w:rsid w:val="009B4AF8"/>
    <w:rsid w:val="009B57C1"/>
    <w:rsid w:val="009B6803"/>
    <w:rsid w:val="009B7144"/>
    <w:rsid w:val="009C01BF"/>
    <w:rsid w:val="009C1C54"/>
    <w:rsid w:val="009C22D4"/>
    <w:rsid w:val="009C31CF"/>
    <w:rsid w:val="009C33FD"/>
    <w:rsid w:val="009C3582"/>
    <w:rsid w:val="009C4310"/>
    <w:rsid w:val="009C44C9"/>
    <w:rsid w:val="009C53E7"/>
    <w:rsid w:val="009C5E94"/>
    <w:rsid w:val="009C6566"/>
    <w:rsid w:val="009C7802"/>
    <w:rsid w:val="009D14E1"/>
    <w:rsid w:val="009D2DB8"/>
    <w:rsid w:val="009D3468"/>
    <w:rsid w:val="009D3B7C"/>
    <w:rsid w:val="009D3E23"/>
    <w:rsid w:val="009D7FC3"/>
    <w:rsid w:val="009E242D"/>
    <w:rsid w:val="009E310B"/>
    <w:rsid w:val="009E4F39"/>
    <w:rsid w:val="009E604B"/>
    <w:rsid w:val="009E621D"/>
    <w:rsid w:val="009E6755"/>
    <w:rsid w:val="009E7274"/>
    <w:rsid w:val="009E7772"/>
    <w:rsid w:val="009F0480"/>
    <w:rsid w:val="009F0877"/>
    <w:rsid w:val="009F09A1"/>
    <w:rsid w:val="009F0EF5"/>
    <w:rsid w:val="009F2029"/>
    <w:rsid w:val="009F210D"/>
    <w:rsid w:val="009F2E9F"/>
    <w:rsid w:val="009F3F85"/>
    <w:rsid w:val="009F5C59"/>
    <w:rsid w:val="009F698F"/>
    <w:rsid w:val="009F7831"/>
    <w:rsid w:val="00A00424"/>
    <w:rsid w:val="00A016A9"/>
    <w:rsid w:val="00A0173A"/>
    <w:rsid w:val="00A01922"/>
    <w:rsid w:val="00A041A2"/>
    <w:rsid w:val="00A046FC"/>
    <w:rsid w:val="00A0499F"/>
    <w:rsid w:val="00A05728"/>
    <w:rsid w:val="00A05776"/>
    <w:rsid w:val="00A058FC"/>
    <w:rsid w:val="00A10026"/>
    <w:rsid w:val="00A10A1A"/>
    <w:rsid w:val="00A10C2E"/>
    <w:rsid w:val="00A11F85"/>
    <w:rsid w:val="00A1274C"/>
    <w:rsid w:val="00A12BE4"/>
    <w:rsid w:val="00A1615E"/>
    <w:rsid w:val="00A17D48"/>
    <w:rsid w:val="00A2044C"/>
    <w:rsid w:val="00A212DA"/>
    <w:rsid w:val="00A21389"/>
    <w:rsid w:val="00A216BD"/>
    <w:rsid w:val="00A22FA7"/>
    <w:rsid w:val="00A23C3B"/>
    <w:rsid w:val="00A245C9"/>
    <w:rsid w:val="00A249C8"/>
    <w:rsid w:val="00A25D6E"/>
    <w:rsid w:val="00A25F83"/>
    <w:rsid w:val="00A2600F"/>
    <w:rsid w:val="00A26B18"/>
    <w:rsid w:val="00A26C9F"/>
    <w:rsid w:val="00A2700C"/>
    <w:rsid w:val="00A2710B"/>
    <w:rsid w:val="00A303BE"/>
    <w:rsid w:val="00A30695"/>
    <w:rsid w:val="00A308AA"/>
    <w:rsid w:val="00A314A5"/>
    <w:rsid w:val="00A317F2"/>
    <w:rsid w:val="00A3203A"/>
    <w:rsid w:val="00A3203D"/>
    <w:rsid w:val="00A32C65"/>
    <w:rsid w:val="00A331D1"/>
    <w:rsid w:val="00A33344"/>
    <w:rsid w:val="00A336ED"/>
    <w:rsid w:val="00A33DAC"/>
    <w:rsid w:val="00A3430F"/>
    <w:rsid w:val="00A348D5"/>
    <w:rsid w:val="00A34F03"/>
    <w:rsid w:val="00A35620"/>
    <w:rsid w:val="00A36EAF"/>
    <w:rsid w:val="00A41411"/>
    <w:rsid w:val="00A4242D"/>
    <w:rsid w:val="00A42D9F"/>
    <w:rsid w:val="00A43B02"/>
    <w:rsid w:val="00A43BFA"/>
    <w:rsid w:val="00A44532"/>
    <w:rsid w:val="00A466A3"/>
    <w:rsid w:val="00A46A31"/>
    <w:rsid w:val="00A50AED"/>
    <w:rsid w:val="00A52466"/>
    <w:rsid w:val="00A52485"/>
    <w:rsid w:val="00A52858"/>
    <w:rsid w:val="00A5514B"/>
    <w:rsid w:val="00A557BA"/>
    <w:rsid w:val="00A559A4"/>
    <w:rsid w:val="00A571BC"/>
    <w:rsid w:val="00A63C4E"/>
    <w:rsid w:val="00A64C89"/>
    <w:rsid w:val="00A663EB"/>
    <w:rsid w:val="00A6761A"/>
    <w:rsid w:val="00A700EA"/>
    <w:rsid w:val="00A704A6"/>
    <w:rsid w:val="00A706CF"/>
    <w:rsid w:val="00A70CFF"/>
    <w:rsid w:val="00A722E1"/>
    <w:rsid w:val="00A7491D"/>
    <w:rsid w:val="00A74EFB"/>
    <w:rsid w:val="00A7593E"/>
    <w:rsid w:val="00A77611"/>
    <w:rsid w:val="00A80C44"/>
    <w:rsid w:val="00A83799"/>
    <w:rsid w:val="00A84288"/>
    <w:rsid w:val="00A84CC4"/>
    <w:rsid w:val="00A85534"/>
    <w:rsid w:val="00A85AFE"/>
    <w:rsid w:val="00A864BF"/>
    <w:rsid w:val="00A87863"/>
    <w:rsid w:val="00A87965"/>
    <w:rsid w:val="00A9187C"/>
    <w:rsid w:val="00A926AD"/>
    <w:rsid w:val="00A962BF"/>
    <w:rsid w:val="00A96FAC"/>
    <w:rsid w:val="00A97379"/>
    <w:rsid w:val="00A974D4"/>
    <w:rsid w:val="00AA08D1"/>
    <w:rsid w:val="00AA135C"/>
    <w:rsid w:val="00AA1511"/>
    <w:rsid w:val="00AA178F"/>
    <w:rsid w:val="00AA29D5"/>
    <w:rsid w:val="00AA3559"/>
    <w:rsid w:val="00AA3A39"/>
    <w:rsid w:val="00AA3DB5"/>
    <w:rsid w:val="00AA3EA9"/>
    <w:rsid w:val="00AA4882"/>
    <w:rsid w:val="00AA4C7D"/>
    <w:rsid w:val="00AA522E"/>
    <w:rsid w:val="00AA5FAE"/>
    <w:rsid w:val="00AA6E23"/>
    <w:rsid w:val="00AB1327"/>
    <w:rsid w:val="00AB2CBD"/>
    <w:rsid w:val="00AB3539"/>
    <w:rsid w:val="00AB36BC"/>
    <w:rsid w:val="00AB40DC"/>
    <w:rsid w:val="00AB43B6"/>
    <w:rsid w:val="00AB49FE"/>
    <w:rsid w:val="00AB505D"/>
    <w:rsid w:val="00AB5BF1"/>
    <w:rsid w:val="00AB65A4"/>
    <w:rsid w:val="00AB6BE9"/>
    <w:rsid w:val="00AC0D4B"/>
    <w:rsid w:val="00AC34CB"/>
    <w:rsid w:val="00AC4BBE"/>
    <w:rsid w:val="00AC5DAD"/>
    <w:rsid w:val="00AC6E85"/>
    <w:rsid w:val="00AC7184"/>
    <w:rsid w:val="00AC76E8"/>
    <w:rsid w:val="00AC7D5D"/>
    <w:rsid w:val="00AC7E13"/>
    <w:rsid w:val="00AD0558"/>
    <w:rsid w:val="00AD0564"/>
    <w:rsid w:val="00AD0665"/>
    <w:rsid w:val="00AD13BD"/>
    <w:rsid w:val="00AD2623"/>
    <w:rsid w:val="00AD345E"/>
    <w:rsid w:val="00AD4733"/>
    <w:rsid w:val="00AD4924"/>
    <w:rsid w:val="00AD55BE"/>
    <w:rsid w:val="00AD5E85"/>
    <w:rsid w:val="00AD6F40"/>
    <w:rsid w:val="00AD7332"/>
    <w:rsid w:val="00AE14F1"/>
    <w:rsid w:val="00AE2CD0"/>
    <w:rsid w:val="00AE317A"/>
    <w:rsid w:val="00AE4F9C"/>
    <w:rsid w:val="00AE5C71"/>
    <w:rsid w:val="00AE66C3"/>
    <w:rsid w:val="00AE66D6"/>
    <w:rsid w:val="00AE6D6B"/>
    <w:rsid w:val="00AE741E"/>
    <w:rsid w:val="00AE7E8A"/>
    <w:rsid w:val="00AF0317"/>
    <w:rsid w:val="00AF0E29"/>
    <w:rsid w:val="00AF0EB0"/>
    <w:rsid w:val="00AF2189"/>
    <w:rsid w:val="00AF2AB1"/>
    <w:rsid w:val="00AF34DE"/>
    <w:rsid w:val="00AF53C7"/>
    <w:rsid w:val="00AF54C3"/>
    <w:rsid w:val="00AF69EB"/>
    <w:rsid w:val="00AF6D84"/>
    <w:rsid w:val="00AF715D"/>
    <w:rsid w:val="00AF72C3"/>
    <w:rsid w:val="00B0025D"/>
    <w:rsid w:val="00B00575"/>
    <w:rsid w:val="00B00DDD"/>
    <w:rsid w:val="00B01DC4"/>
    <w:rsid w:val="00B01E62"/>
    <w:rsid w:val="00B03427"/>
    <w:rsid w:val="00B035A4"/>
    <w:rsid w:val="00B04D79"/>
    <w:rsid w:val="00B06152"/>
    <w:rsid w:val="00B10447"/>
    <w:rsid w:val="00B1086D"/>
    <w:rsid w:val="00B10B1B"/>
    <w:rsid w:val="00B10CA0"/>
    <w:rsid w:val="00B10D95"/>
    <w:rsid w:val="00B1194E"/>
    <w:rsid w:val="00B124CC"/>
    <w:rsid w:val="00B128FD"/>
    <w:rsid w:val="00B12F06"/>
    <w:rsid w:val="00B13F32"/>
    <w:rsid w:val="00B14D67"/>
    <w:rsid w:val="00B15773"/>
    <w:rsid w:val="00B16B8F"/>
    <w:rsid w:val="00B1775F"/>
    <w:rsid w:val="00B17FFB"/>
    <w:rsid w:val="00B2084C"/>
    <w:rsid w:val="00B20D2D"/>
    <w:rsid w:val="00B20DE3"/>
    <w:rsid w:val="00B249CD"/>
    <w:rsid w:val="00B25C88"/>
    <w:rsid w:val="00B2610D"/>
    <w:rsid w:val="00B26CCF"/>
    <w:rsid w:val="00B30627"/>
    <w:rsid w:val="00B31094"/>
    <w:rsid w:val="00B31814"/>
    <w:rsid w:val="00B32061"/>
    <w:rsid w:val="00B3266F"/>
    <w:rsid w:val="00B332F8"/>
    <w:rsid w:val="00B34F7E"/>
    <w:rsid w:val="00B354FC"/>
    <w:rsid w:val="00B37056"/>
    <w:rsid w:val="00B40205"/>
    <w:rsid w:val="00B40BA1"/>
    <w:rsid w:val="00B40E48"/>
    <w:rsid w:val="00B42521"/>
    <w:rsid w:val="00B42C49"/>
    <w:rsid w:val="00B4331E"/>
    <w:rsid w:val="00B4379E"/>
    <w:rsid w:val="00B438E6"/>
    <w:rsid w:val="00B44B63"/>
    <w:rsid w:val="00B45189"/>
    <w:rsid w:val="00B4651A"/>
    <w:rsid w:val="00B46AE5"/>
    <w:rsid w:val="00B47211"/>
    <w:rsid w:val="00B477F3"/>
    <w:rsid w:val="00B479A2"/>
    <w:rsid w:val="00B47EE6"/>
    <w:rsid w:val="00B50125"/>
    <w:rsid w:val="00B52A2F"/>
    <w:rsid w:val="00B5492D"/>
    <w:rsid w:val="00B54C95"/>
    <w:rsid w:val="00B560A9"/>
    <w:rsid w:val="00B57186"/>
    <w:rsid w:val="00B5734D"/>
    <w:rsid w:val="00B57367"/>
    <w:rsid w:val="00B61CB6"/>
    <w:rsid w:val="00B61D5E"/>
    <w:rsid w:val="00B6252D"/>
    <w:rsid w:val="00B627CA"/>
    <w:rsid w:val="00B63775"/>
    <w:rsid w:val="00B63F75"/>
    <w:rsid w:val="00B644DD"/>
    <w:rsid w:val="00B649BC"/>
    <w:rsid w:val="00B64B12"/>
    <w:rsid w:val="00B65755"/>
    <w:rsid w:val="00B6650E"/>
    <w:rsid w:val="00B66F07"/>
    <w:rsid w:val="00B679CD"/>
    <w:rsid w:val="00B70BAA"/>
    <w:rsid w:val="00B72A6B"/>
    <w:rsid w:val="00B72E81"/>
    <w:rsid w:val="00B7368D"/>
    <w:rsid w:val="00B744BA"/>
    <w:rsid w:val="00B74E30"/>
    <w:rsid w:val="00B757CB"/>
    <w:rsid w:val="00B76362"/>
    <w:rsid w:val="00B76940"/>
    <w:rsid w:val="00B77F19"/>
    <w:rsid w:val="00B8029F"/>
    <w:rsid w:val="00B80AEB"/>
    <w:rsid w:val="00B82348"/>
    <w:rsid w:val="00B82429"/>
    <w:rsid w:val="00B82C14"/>
    <w:rsid w:val="00B831DD"/>
    <w:rsid w:val="00B83E7A"/>
    <w:rsid w:val="00B84649"/>
    <w:rsid w:val="00B859EF"/>
    <w:rsid w:val="00B86553"/>
    <w:rsid w:val="00B901AE"/>
    <w:rsid w:val="00B9347F"/>
    <w:rsid w:val="00B935EF"/>
    <w:rsid w:val="00B93D55"/>
    <w:rsid w:val="00B94188"/>
    <w:rsid w:val="00B949C5"/>
    <w:rsid w:val="00B94DDB"/>
    <w:rsid w:val="00B95CBD"/>
    <w:rsid w:val="00B964E1"/>
    <w:rsid w:val="00B966B5"/>
    <w:rsid w:val="00B975DD"/>
    <w:rsid w:val="00BA0202"/>
    <w:rsid w:val="00BA0493"/>
    <w:rsid w:val="00BA1E85"/>
    <w:rsid w:val="00BA2364"/>
    <w:rsid w:val="00BA23A2"/>
    <w:rsid w:val="00BA2B46"/>
    <w:rsid w:val="00BA33A9"/>
    <w:rsid w:val="00BA3864"/>
    <w:rsid w:val="00BA3F8C"/>
    <w:rsid w:val="00BA4C26"/>
    <w:rsid w:val="00BA4E65"/>
    <w:rsid w:val="00BA6A0F"/>
    <w:rsid w:val="00BA7C7A"/>
    <w:rsid w:val="00BB1173"/>
    <w:rsid w:val="00BB1C92"/>
    <w:rsid w:val="00BB20D3"/>
    <w:rsid w:val="00BB2EA8"/>
    <w:rsid w:val="00BB2F06"/>
    <w:rsid w:val="00BB33E0"/>
    <w:rsid w:val="00BB3BDD"/>
    <w:rsid w:val="00BB5FDD"/>
    <w:rsid w:val="00BB7272"/>
    <w:rsid w:val="00BB7EE0"/>
    <w:rsid w:val="00BC1521"/>
    <w:rsid w:val="00BC1F16"/>
    <w:rsid w:val="00BC1F99"/>
    <w:rsid w:val="00BC1FA6"/>
    <w:rsid w:val="00BC25DF"/>
    <w:rsid w:val="00BC37B3"/>
    <w:rsid w:val="00BC4027"/>
    <w:rsid w:val="00BC4871"/>
    <w:rsid w:val="00BC4D5D"/>
    <w:rsid w:val="00BC7907"/>
    <w:rsid w:val="00BC7CD5"/>
    <w:rsid w:val="00BD2763"/>
    <w:rsid w:val="00BD318A"/>
    <w:rsid w:val="00BD3EFB"/>
    <w:rsid w:val="00BD5761"/>
    <w:rsid w:val="00BD6D76"/>
    <w:rsid w:val="00BD6D9E"/>
    <w:rsid w:val="00BD78B5"/>
    <w:rsid w:val="00BD7D77"/>
    <w:rsid w:val="00BE068C"/>
    <w:rsid w:val="00BE0890"/>
    <w:rsid w:val="00BE0FA7"/>
    <w:rsid w:val="00BE1321"/>
    <w:rsid w:val="00BE200A"/>
    <w:rsid w:val="00BE2AC9"/>
    <w:rsid w:val="00BE3DC0"/>
    <w:rsid w:val="00BE4B8F"/>
    <w:rsid w:val="00BE57AC"/>
    <w:rsid w:val="00BF0215"/>
    <w:rsid w:val="00BF02C4"/>
    <w:rsid w:val="00BF16D0"/>
    <w:rsid w:val="00BF1C20"/>
    <w:rsid w:val="00BF21D9"/>
    <w:rsid w:val="00BF255E"/>
    <w:rsid w:val="00BF3014"/>
    <w:rsid w:val="00BF312A"/>
    <w:rsid w:val="00BF391A"/>
    <w:rsid w:val="00BF4212"/>
    <w:rsid w:val="00BF44E5"/>
    <w:rsid w:val="00BF4C43"/>
    <w:rsid w:val="00BF4FF8"/>
    <w:rsid w:val="00BF69B2"/>
    <w:rsid w:val="00BF78BF"/>
    <w:rsid w:val="00C00F2D"/>
    <w:rsid w:val="00C06066"/>
    <w:rsid w:val="00C0793E"/>
    <w:rsid w:val="00C07A6A"/>
    <w:rsid w:val="00C107BF"/>
    <w:rsid w:val="00C10BC3"/>
    <w:rsid w:val="00C10D46"/>
    <w:rsid w:val="00C11DF3"/>
    <w:rsid w:val="00C11EC1"/>
    <w:rsid w:val="00C1477C"/>
    <w:rsid w:val="00C15977"/>
    <w:rsid w:val="00C15C6F"/>
    <w:rsid w:val="00C165A1"/>
    <w:rsid w:val="00C21ABA"/>
    <w:rsid w:val="00C2240B"/>
    <w:rsid w:val="00C22FB5"/>
    <w:rsid w:val="00C230F2"/>
    <w:rsid w:val="00C23C59"/>
    <w:rsid w:val="00C2583F"/>
    <w:rsid w:val="00C26BBC"/>
    <w:rsid w:val="00C26EAF"/>
    <w:rsid w:val="00C30097"/>
    <w:rsid w:val="00C31E50"/>
    <w:rsid w:val="00C32E01"/>
    <w:rsid w:val="00C33173"/>
    <w:rsid w:val="00C33D5D"/>
    <w:rsid w:val="00C33E84"/>
    <w:rsid w:val="00C35F43"/>
    <w:rsid w:val="00C36A2F"/>
    <w:rsid w:val="00C36A5C"/>
    <w:rsid w:val="00C423BA"/>
    <w:rsid w:val="00C4289D"/>
    <w:rsid w:val="00C429A1"/>
    <w:rsid w:val="00C42B28"/>
    <w:rsid w:val="00C44D8A"/>
    <w:rsid w:val="00C456A1"/>
    <w:rsid w:val="00C45ACD"/>
    <w:rsid w:val="00C45E82"/>
    <w:rsid w:val="00C50D1D"/>
    <w:rsid w:val="00C518E8"/>
    <w:rsid w:val="00C53C69"/>
    <w:rsid w:val="00C54522"/>
    <w:rsid w:val="00C558E6"/>
    <w:rsid w:val="00C55988"/>
    <w:rsid w:val="00C56A16"/>
    <w:rsid w:val="00C56F90"/>
    <w:rsid w:val="00C6046F"/>
    <w:rsid w:val="00C62071"/>
    <w:rsid w:val="00C62762"/>
    <w:rsid w:val="00C62A1C"/>
    <w:rsid w:val="00C6434D"/>
    <w:rsid w:val="00C6529B"/>
    <w:rsid w:val="00C65B67"/>
    <w:rsid w:val="00C6671D"/>
    <w:rsid w:val="00C70CF5"/>
    <w:rsid w:val="00C71166"/>
    <w:rsid w:val="00C71788"/>
    <w:rsid w:val="00C72D84"/>
    <w:rsid w:val="00C72DCB"/>
    <w:rsid w:val="00C73510"/>
    <w:rsid w:val="00C735AF"/>
    <w:rsid w:val="00C74BE1"/>
    <w:rsid w:val="00C74BE4"/>
    <w:rsid w:val="00C75E3A"/>
    <w:rsid w:val="00C76777"/>
    <w:rsid w:val="00C778A3"/>
    <w:rsid w:val="00C7796A"/>
    <w:rsid w:val="00C803C1"/>
    <w:rsid w:val="00C8147B"/>
    <w:rsid w:val="00C814AB"/>
    <w:rsid w:val="00C815BF"/>
    <w:rsid w:val="00C81709"/>
    <w:rsid w:val="00C823BD"/>
    <w:rsid w:val="00C826B3"/>
    <w:rsid w:val="00C82761"/>
    <w:rsid w:val="00C82B1E"/>
    <w:rsid w:val="00C82D78"/>
    <w:rsid w:val="00C83424"/>
    <w:rsid w:val="00C83DBD"/>
    <w:rsid w:val="00C84A78"/>
    <w:rsid w:val="00C85376"/>
    <w:rsid w:val="00C868E8"/>
    <w:rsid w:val="00C905E4"/>
    <w:rsid w:val="00C91977"/>
    <w:rsid w:val="00C922B8"/>
    <w:rsid w:val="00C93055"/>
    <w:rsid w:val="00C9307C"/>
    <w:rsid w:val="00C94970"/>
    <w:rsid w:val="00C95098"/>
    <w:rsid w:val="00C95622"/>
    <w:rsid w:val="00C96695"/>
    <w:rsid w:val="00CA003C"/>
    <w:rsid w:val="00CA0EBE"/>
    <w:rsid w:val="00CA1E5E"/>
    <w:rsid w:val="00CA2BDE"/>
    <w:rsid w:val="00CA35F2"/>
    <w:rsid w:val="00CA3EC9"/>
    <w:rsid w:val="00CA4768"/>
    <w:rsid w:val="00CA6591"/>
    <w:rsid w:val="00CA6C27"/>
    <w:rsid w:val="00CB0517"/>
    <w:rsid w:val="00CB0B64"/>
    <w:rsid w:val="00CB0BF0"/>
    <w:rsid w:val="00CB0CE6"/>
    <w:rsid w:val="00CB158C"/>
    <w:rsid w:val="00CB1B17"/>
    <w:rsid w:val="00CB2295"/>
    <w:rsid w:val="00CB416E"/>
    <w:rsid w:val="00CB4C49"/>
    <w:rsid w:val="00CB5E32"/>
    <w:rsid w:val="00CB6218"/>
    <w:rsid w:val="00CB7DB3"/>
    <w:rsid w:val="00CB7FEC"/>
    <w:rsid w:val="00CC0209"/>
    <w:rsid w:val="00CC0DF4"/>
    <w:rsid w:val="00CC1130"/>
    <w:rsid w:val="00CC1A1A"/>
    <w:rsid w:val="00CC2CA9"/>
    <w:rsid w:val="00CC4144"/>
    <w:rsid w:val="00CC658E"/>
    <w:rsid w:val="00CC6653"/>
    <w:rsid w:val="00CC6BD4"/>
    <w:rsid w:val="00CD007F"/>
    <w:rsid w:val="00CD07B0"/>
    <w:rsid w:val="00CD0F11"/>
    <w:rsid w:val="00CD3973"/>
    <w:rsid w:val="00CD4761"/>
    <w:rsid w:val="00CD4825"/>
    <w:rsid w:val="00CD4831"/>
    <w:rsid w:val="00CD5E38"/>
    <w:rsid w:val="00CD77FD"/>
    <w:rsid w:val="00CE03A4"/>
    <w:rsid w:val="00CE055F"/>
    <w:rsid w:val="00CE0795"/>
    <w:rsid w:val="00CE1443"/>
    <w:rsid w:val="00CE2CF2"/>
    <w:rsid w:val="00CE2ECE"/>
    <w:rsid w:val="00CE5734"/>
    <w:rsid w:val="00CE5ADA"/>
    <w:rsid w:val="00CE5B1B"/>
    <w:rsid w:val="00CE68FA"/>
    <w:rsid w:val="00CE69BE"/>
    <w:rsid w:val="00CE69EB"/>
    <w:rsid w:val="00CE6A29"/>
    <w:rsid w:val="00CE7EBD"/>
    <w:rsid w:val="00CF0E9E"/>
    <w:rsid w:val="00CF16A8"/>
    <w:rsid w:val="00CF468F"/>
    <w:rsid w:val="00CF5A80"/>
    <w:rsid w:val="00CF6ACA"/>
    <w:rsid w:val="00CF6B49"/>
    <w:rsid w:val="00CF6E68"/>
    <w:rsid w:val="00CF7D09"/>
    <w:rsid w:val="00D00074"/>
    <w:rsid w:val="00D004DE"/>
    <w:rsid w:val="00D00FA4"/>
    <w:rsid w:val="00D011C9"/>
    <w:rsid w:val="00D01CAD"/>
    <w:rsid w:val="00D03018"/>
    <w:rsid w:val="00D03C9F"/>
    <w:rsid w:val="00D04B19"/>
    <w:rsid w:val="00D054B6"/>
    <w:rsid w:val="00D066E4"/>
    <w:rsid w:val="00D07886"/>
    <w:rsid w:val="00D07BA7"/>
    <w:rsid w:val="00D104E4"/>
    <w:rsid w:val="00D11E05"/>
    <w:rsid w:val="00D12590"/>
    <w:rsid w:val="00D1363C"/>
    <w:rsid w:val="00D14162"/>
    <w:rsid w:val="00D159C5"/>
    <w:rsid w:val="00D16BE9"/>
    <w:rsid w:val="00D175E6"/>
    <w:rsid w:val="00D17BC0"/>
    <w:rsid w:val="00D221D3"/>
    <w:rsid w:val="00D2274C"/>
    <w:rsid w:val="00D228D9"/>
    <w:rsid w:val="00D22DBE"/>
    <w:rsid w:val="00D23720"/>
    <w:rsid w:val="00D2387A"/>
    <w:rsid w:val="00D2771C"/>
    <w:rsid w:val="00D3144D"/>
    <w:rsid w:val="00D32C5F"/>
    <w:rsid w:val="00D32E09"/>
    <w:rsid w:val="00D33903"/>
    <w:rsid w:val="00D33981"/>
    <w:rsid w:val="00D33D1D"/>
    <w:rsid w:val="00D34647"/>
    <w:rsid w:val="00D40ED4"/>
    <w:rsid w:val="00D4590C"/>
    <w:rsid w:val="00D502C3"/>
    <w:rsid w:val="00D506B6"/>
    <w:rsid w:val="00D521D5"/>
    <w:rsid w:val="00D52469"/>
    <w:rsid w:val="00D526B6"/>
    <w:rsid w:val="00D532B0"/>
    <w:rsid w:val="00D5556E"/>
    <w:rsid w:val="00D5598F"/>
    <w:rsid w:val="00D55AAA"/>
    <w:rsid w:val="00D562E2"/>
    <w:rsid w:val="00D56691"/>
    <w:rsid w:val="00D57903"/>
    <w:rsid w:val="00D60654"/>
    <w:rsid w:val="00D60FAA"/>
    <w:rsid w:val="00D61D7B"/>
    <w:rsid w:val="00D629C4"/>
    <w:rsid w:val="00D63DEE"/>
    <w:rsid w:val="00D64315"/>
    <w:rsid w:val="00D66FE9"/>
    <w:rsid w:val="00D7024F"/>
    <w:rsid w:val="00D70362"/>
    <w:rsid w:val="00D71241"/>
    <w:rsid w:val="00D71EE9"/>
    <w:rsid w:val="00D72622"/>
    <w:rsid w:val="00D72A76"/>
    <w:rsid w:val="00D731A0"/>
    <w:rsid w:val="00D73509"/>
    <w:rsid w:val="00D73BE9"/>
    <w:rsid w:val="00D7462D"/>
    <w:rsid w:val="00D748FF"/>
    <w:rsid w:val="00D7495F"/>
    <w:rsid w:val="00D74FD6"/>
    <w:rsid w:val="00D75720"/>
    <w:rsid w:val="00D768CC"/>
    <w:rsid w:val="00D771DD"/>
    <w:rsid w:val="00D805B1"/>
    <w:rsid w:val="00D805F6"/>
    <w:rsid w:val="00D80FB3"/>
    <w:rsid w:val="00D811F3"/>
    <w:rsid w:val="00D81485"/>
    <w:rsid w:val="00D82C17"/>
    <w:rsid w:val="00D83E18"/>
    <w:rsid w:val="00D84383"/>
    <w:rsid w:val="00D86294"/>
    <w:rsid w:val="00D91840"/>
    <w:rsid w:val="00D93C83"/>
    <w:rsid w:val="00D93E8A"/>
    <w:rsid w:val="00D9457B"/>
    <w:rsid w:val="00D95EF5"/>
    <w:rsid w:val="00D96D4D"/>
    <w:rsid w:val="00D9724E"/>
    <w:rsid w:val="00D9797E"/>
    <w:rsid w:val="00DA255D"/>
    <w:rsid w:val="00DA2A32"/>
    <w:rsid w:val="00DA46EA"/>
    <w:rsid w:val="00DA473D"/>
    <w:rsid w:val="00DA498A"/>
    <w:rsid w:val="00DA4FEB"/>
    <w:rsid w:val="00DA52D1"/>
    <w:rsid w:val="00DA5311"/>
    <w:rsid w:val="00DA56BF"/>
    <w:rsid w:val="00DA5EE0"/>
    <w:rsid w:val="00DA65E8"/>
    <w:rsid w:val="00DA7321"/>
    <w:rsid w:val="00DA76AA"/>
    <w:rsid w:val="00DB120C"/>
    <w:rsid w:val="00DB142F"/>
    <w:rsid w:val="00DB1DD6"/>
    <w:rsid w:val="00DB361F"/>
    <w:rsid w:val="00DB3F12"/>
    <w:rsid w:val="00DB4665"/>
    <w:rsid w:val="00DB5171"/>
    <w:rsid w:val="00DB54D4"/>
    <w:rsid w:val="00DB5600"/>
    <w:rsid w:val="00DB5685"/>
    <w:rsid w:val="00DB5BC4"/>
    <w:rsid w:val="00DB655F"/>
    <w:rsid w:val="00DB6F55"/>
    <w:rsid w:val="00DB78F3"/>
    <w:rsid w:val="00DB7DF8"/>
    <w:rsid w:val="00DC09F8"/>
    <w:rsid w:val="00DC16CA"/>
    <w:rsid w:val="00DC3BC3"/>
    <w:rsid w:val="00DC3CD0"/>
    <w:rsid w:val="00DC3DCC"/>
    <w:rsid w:val="00DC406F"/>
    <w:rsid w:val="00DC4E82"/>
    <w:rsid w:val="00DC5A79"/>
    <w:rsid w:val="00DC663A"/>
    <w:rsid w:val="00DC6F45"/>
    <w:rsid w:val="00DC7099"/>
    <w:rsid w:val="00DC7945"/>
    <w:rsid w:val="00DD0496"/>
    <w:rsid w:val="00DD10E8"/>
    <w:rsid w:val="00DD16EF"/>
    <w:rsid w:val="00DD1E51"/>
    <w:rsid w:val="00DD291E"/>
    <w:rsid w:val="00DD3DE2"/>
    <w:rsid w:val="00DD4D98"/>
    <w:rsid w:val="00DD58E5"/>
    <w:rsid w:val="00DD698B"/>
    <w:rsid w:val="00DD70A5"/>
    <w:rsid w:val="00DE00AC"/>
    <w:rsid w:val="00DE0256"/>
    <w:rsid w:val="00DE144F"/>
    <w:rsid w:val="00DE4196"/>
    <w:rsid w:val="00DE4201"/>
    <w:rsid w:val="00DE46E5"/>
    <w:rsid w:val="00DE4D1D"/>
    <w:rsid w:val="00DE4E0A"/>
    <w:rsid w:val="00DE57E7"/>
    <w:rsid w:val="00DE63D8"/>
    <w:rsid w:val="00DE6DDE"/>
    <w:rsid w:val="00DE737A"/>
    <w:rsid w:val="00DE7A4B"/>
    <w:rsid w:val="00DF1EE5"/>
    <w:rsid w:val="00DF1F97"/>
    <w:rsid w:val="00DF2817"/>
    <w:rsid w:val="00DF45F3"/>
    <w:rsid w:val="00DF461B"/>
    <w:rsid w:val="00DF47EF"/>
    <w:rsid w:val="00DF5AA9"/>
    <w:rsid w:val="00E014FF"/>
    <w:rsid w:val="00E0288B"/>
    <w:rsid w:val="00E0324C"/>
    <w:rsid w:val="00E0374D"/>
    <w:rsid w:val="00E03A0F"/>
    <w:rsid w:val="00E059B9"/>
    <w:rsid w:val="00E059BE"/>
    <w:rsid w:val="00E05F53"/>
    <w:rsid w:val="00E070B4"/>
    <w:rsid w:val="00E07ABB"/>
    <w:rsid w:val="00E10261"/>
    <w:rsid w:val="00E10675"/>
    <w:rsid w:val="00E11C5B"/>
    <w:rsid w:val="00E12C03"/>
    <w:rsid w:val="00E12C8D"/>
    <w:rsid w:val="00E137C2"/>
    <w:rsid w:val="00E13838"/>
    <w:rsid w:val="00E14091"/>
    <w:rsid w:val="00E1562E"/>
    <w:rsid w:val="00E15AE5"/>
    <w:rsid w:val="00E15E37"/>
    <w:rsid w:val="00E20727"/>
    <w:rsid w:val="00E209E7"/>
    <w:rsid w:val="00E24015"/>
    <w:rsid w:val="00E246AD"/>
    <w:rsid w:val="00E26D12"/>
    <w:rsid w:val="00E27266"/>
    <w:rsid w:val="00E30064"/>
    <w:rsid w:val="00E306E5"/>
    <w:rsid w:val="00E30B66"/>
    <w:rsid w:val="00E31CA1"/>
    <w:rsid w:val="00E33591"/>
    <w:rsid w:val="00E335C5"/>
    <w:rsid w:val="00E3364F"/>
    <w:rsid w:val="00E34FF3"/>
    <w:rsid w:val="00E35EB0"/>
    <w:rsid w:val="00E36389"/>
    <w:rsid w:val="00E36A5C"/>
    <w:rsid w:val="00E36E34"/>
    <w:rsid w:val="00E3738C"/>
    <w:rsid w:val="00E3776E"/>
    <w:rsid w:val="00E37AF0"/>
    <w:rsid w:val="00E408C3"/>
    <w:rsid w:val="00E41DBE"/>
    <w:rsid w:val="00E425D8"/>
    <w:rsid w:val="00E44AC1"/>
    <w:rsid w:val="00E468FC"/>
    <w:rsid w:val="00E46A93"/>
    <w:rsid w:val="00E46CC4"/>
    <w:rsid w:val="00E4796E"/>
    <w:rsid w:val="00E53A4C"/>
    <w:rsid w:val="00E53BC6"/>
    <w:rsid w:val="00E54008"/>
    <w:rsid w:val="00E5556A"/>
    <w:rsid w:val="00E60B6E"/>
    <w:rsid w:val="00E61A19"/>
    <w:rsid w:val="00E61E33"/>
    <w:rsid w:val="00E626F9"/>
    <w:rsid w:val="00E6301A"/>
    <w:rsid w:val="00E63CBC"/>
    <w:rsid w:val="00E64F10"/>
    <w:rsid w:val="00E70CBF"/>
    <w:rsid w:val="00E719ED"/>
    <w:rsid w:val="00E71B53"/>
    <w:rsid w:val="00E72883"/>
    <w:rsid w:val="00E74456"/>
    <w:rsid w:val="00E7550C"/>
    <w:rsid w:val="00E768B3"/>
    <w:rsid w:val="00E81948"/>
    <w:rsid w:val="00E81991"/>
    <w:rsid w:val="00E82AAD"/>
    <w:rsid w:val="00E835B7"/>
    <w:rsid w:val="00E8452C"/>
    <w:rsid w:val="00E84D35"/>
    <w:rsid w:val="00E85D8B"/>
    <w:rsid w:val="00E8630E"/>
    <w:rsid w:val="00E86F3E"/>
    <w:rsid w:val="00E87B5D"/>
    <w:rsid w:val="00E9110F"/>
    <w:rsid w:val="00E91361"/>
    <w:rsid w:val="00E91CEA"/>
    <w:rsid w:val="00E92712"/>
    <w:rsid w:val="00E92802"/>
    <w:rsid w:val="00E93790"/>
    <w:rsid w:val="00E943DA"/>
    <w:rsid w:val="00E94F6B"/>
    <w:rsid w:val="00E952C0"/>
    <w:rsid w:val="00E9551F"/>
    <w:rsid w:val="00E97F8A"/>
    <w:rsid w:val="00EA09A7"/>
    <w:rsid w:val="00EA0E9A"/>
    <w:rsid w:val="00EA229F"/>
    <w:rsid w:val="00EA2E13"/>
    <w:rsid w:val="00EA4829"/>
    <w:rsid w:val="00EA4E45"/>
    <w:rsid w:val="00EA5253"/>
    <w:rsid w:val="00EA59B7"/>
    <w:rsid w:val="00EA7670"/>
    <w:rsid w:val="00EA7709"/>
    <w:rsid w:val="00EB0239"/>
    <w:rsid w:val="00EB0DCB"/>
    <w:rsid w:val="00EB2A37"/>
    <w:rsid w:val="00EB45A9"/>
    <w:rsid w:val="00EB4EB0"/>
    <w:rsid w:val="00EB4F06"/>
    <w:rsid w:val="00EB5698"/>
    <w:rsid w:val="00EB57B0"/>
    <w:rsid w:val="00EB5EBA"/>
    <w:rsid w:val="00EB6316"/>
    <w:rsid w:val="00EB640D"/>
    <w:rsid w:val="00EB6C2D"/>
    <w:rsid w:val="00EB7668"/>
    <w:rsid w:val="00EC0958"/>
    <w:rsid w:val="00EC272E"/>
    <w:rsid w:val="00EC53CC"/>
    <w:rsid w:val="00EC674D"/>
    <w:rsid w:val="00EC6822"/>
    <w:rsid w:val="00EC6D31"/>
    <w:rsid w:val="00EC6FED"/>
    <w:rsid w:val="00ED1202"/>
    <w:rsid w:val="00ED2092"/>
    <w:rsid w:val="00ED4DE3"/>
    <w:rsid w:val="00ED516D"/>
    <w:rsid w:val="00ED51FD"/>
    <w:rsid w:val="00EE0087"/>
    <w:rsid w:val="00EE0EE9"/>
    <w:rsid w:val="00EE2EF3"/>
    <w:rsid w:val="00EE309E"/>
    <w:rsid w:val="00EE4B26"/>
    <w:rsid w:val="00EE50D3"/>
    <w:rsid w:val="00EE52CA"/>
    <w:rsid w:val="00EE55DB"/>
    <w:rsid w:val="00EE60C6"/>
    <w:rsid w:val="00EE6D6C"/>
    <w:rsid w:val="00EE6FB0"/>
    <w:rsid w:val="00EE719A"/>
    <w:rsid w:val="00EF1A58"/>
    <w:rsid w:val="00EF1FD9"/>
    <w:rsid w:val="00EF42EE"/>
    <w:rsid w:val="00EF45B9"/>
    <w:rsid w:val="00EF7D65"/>
    <w:rsid w:val="00F00505"/>
    <w:rsid w:val="00F00A4F"/>
    <w:rsid w:val="00F011B7"/>
    <w:rsid w:val="00F028F2"/>
    <w:rsid w:val="00F0345D"/>
    <w:rsid w:val="00F03652"/>
    <w:rsid w:val="00F03B5D"/>
    <w:rsid w:val="00F03BCA"/>
    <w:rsid w:val="00F04100"/>
    <w:rsid w:val="00F05111"/>
    <w:rsid w:val="00F0517C"/>
    <w:rsid w:val="00F06AB0"/>
    <w:rsid w:val="00F06FCC"/>
    <w:rsid w:val="00F07AB9"/>
    <w:rsid w:val="00F1115C"/>
    <w:rsid w:val="00F11682"/>
    <w:rsid w:val="00F121EA"/>
    <w:rsid w:val="00F13887"/>
    <w:rsid w:val="00F151D7"/>
    <w:rsid w:val="00F15581"/>
    <w:rsid w:val="00F15A69"/>
    <w:rsid w:val="00F15DD7"/>
    <w:rsid w:val="00F16232"/>
    <w:rsid w:val="00F16F4D"/>
    <w:rsid w:val="00F170A4"/>
    <w:rsid w:val="00F1727E"/>
    <w:rsid w:val="00F178B4"/>
    <w:rsid w:val="00F17DD2"/>
    <w:rsid w:val="00F210BB"/>
    <w:rsid w:val="00F21CE3"/>
    <w:rsid w:val="00F229B1"/>
    <w:rsid w:val="00F25090"/>
    <w:rsid w:val="00F26351"/>
    <w:rsid w:val="00F277B7"/>
    <w:rsid w:val="00F278BE"/>
    <w:rsid w:val="00F307EF"/>
    <w:rsid w:val="00F309E6"/>
    <w:rsid w:val="00F30D73"/>
    <w:rsid w:val="00F311D0"/>
    <w:rsid w:val="00F31DFD"/>
    <w:rsid w:val="00F32BB1"/>
    <w:rsid w:val="00F32D08"/>
    <w:rsid w:val="00F32D45"/>
    <w:rsid w:val="00F34082"/>
    <w:rsid w:val="00F37049"/>
    <w:rsid w:val="00F3718A"/>
    <w:rsid w:val="00F37683"/>
    <w:rsid w:val="00F402EC"/>
    <w:rsid w:val="00F40CE1"/>
    <w:rsid w:val="00F419E7"/>
    <w:rsid w:val="00F426BB"/>
    <w:rsid w:val="00F44885"/>
    <w:rsid w:val="00F45AA8"/>
    <w:rsid w:val="00F47A09"/>
    <w:rsid w:val="00F47D12"/>
    <w:rsid w:val="00F5045C"/>
    <w:rsid w:val="00F5092F"/>
    <w:rsid w:val="00F52093"/>
    <w:rsid w:val="00F52F59"/>
    <w:rsid w:val="00F53286"/>
    <w:rsid w:val="00F5378F"/>
    <w:rsid w:val="00F54177"/>
    <w:rsid w:val="00F544D4"/>
    <w:rsid w:val="00F57BFF"/>
    <w:rsid w:val="00F60164"/>
    <w:rsid w:val="00F606EA"/>
    <w:rsid w:val="00F626E3"/>
    <w:rsid w:val="00F62A4D"/>
    <w:rsid w:val="00F62DC3"/>
    <w:rsid w:val="00F62F90"/>
    <w:rsid w:val="00F64E4B"/>
    <w:rsid w:val="00F64FA0"/>
    <w:rsid w:val="00F65063"/>
    <w:rsid w:val="00F70963"/>
    <w:rsid w:val="00F71672"/>
    <w:rsid w:val="00F71A3D"/>
    <w:rsid w:val="00F7219D"/>
    <w:rsid w:val="00F753A8"/>
    <w:rsid w:val="00F758B4"/>
    <w:rsid w:val="00F75B77"/>
    <w:rsid w:val="00F75F31"/>
    <w:rsid w:val="00F76CFF"/>
    <w:rsid w:val="00F76D1C"/>
    <w:rsid w:val="00F772EC"/>
    <w:rsid w:val="00F7735B"/>
    <w:rsid w:val="00F800C6"/>
    <w:rsid w:val="00F80D22"/>
    <w:rsid w:val="00F81B87"/>
    <w:rsid w:val="00F8253E"/>
    <w:rsid w:val="00F830A4"/>
    <w:rsid w:val="00F83D37"/>
    <w:rsid w:val="00F84B58"/>
    <w:rsid w:val="00F84D14"/>
    <w:rsid w:val="00F85AA8"/>
    <w:rsid w:val="00F8621D"/>
    <w:rsid w:val="00F8738A"/>
    <w:rsid w:val="00F90FDD"/>
    <w:rsid w:val="00F913ED"/>
    <w:rsid w:val="00F915A6"/>
    <w:rsid w:val="00F923B8"/>
    <w:rsid w:val="00F9255B"/>
    <w:rsid w:val="00F92C6B"/>
    <w:rsid w:val="00F94DFD"/>
    <w:rsid w:val="00F95F89"/>
    <w:rsid w:val="00FA19CB"/>
    <w:rsid w:val="00FA2338"/>
    <w:rsid w:val="00FA3292"/>
    <w:rsid w:val="00FA3477"/>
    <w:rsid w:val="00FA3CDD"/>
    <w:rsid w:val="00FA422E"/>
    <w:rsid w:val="00FA42EB"/>
    <w:rsid w:val="00FA518F"/>
    <w:rsid w:val="00FA5DE1"/>
    <w:rsid w:val="00FA63C9"/>
    <w:rsid w:val="00FA65AC"/>
    <w:rsid w:val="00FA66C6"/>
    <w:rsid w:val="00FA6A14"/>
    <w:rsid w:val="00FA72B1"/>
    <w:rsid w:val="00FB00CF"/>
    <w:rsid w:val="00FB0ECA"/>
    <w:rsid w:val="00FB26B3"/>
    <w:rsid w:val="00FB2D62"/>
    <w:rsid w:val="00FB3E01"/>
    <w:rsid w:val="00FB501D"/>
    <w:rsid w:val="00FB626A"/>
    <w:rsid w:val="00FB6B4F"/>
    <w:rsid w:val="00FB72A8"/>
    <w:rsid w:val="00FB7714"/>
    <w:rsid w:val="00FB7965"/>
    <w:rsid w:val="00FC059C"/>
    <w:rsid w:val="00FC10F7"/>
    <w:rsid w:val="00FC14DA"/>
    <w:rsid w:val="00FC21FA"/>
    <w:rsid w:val="00FC4D84"/>
    <w:rsid w:val="00FC5FC2"/>
    <w:rsid w:val="00FC6A7B"/>
    <w:rsid w:val="00FC76FD"/>
    <w:rsid w:val="00FD07BB"/>
    <w:rsid w:val="00FD2912"/>
    <w:rsid w:val="00FD2B9B"/>
    <w:rsid w:val="00FD3837"/>
    <w:rsid w:val="00FD4641"/>
    <w:rsid w:val="00FD5B73"/>
    <w:rsid w:val="00FD5C43"/>
    <w:rsid w:val="00FD5F25"/>
    <w:rsid w:val="00FD6000"/>
    <w:rsid w:val="00FD666D"/>
    <w:rsid w:val="00FD6ABF"/>
    <w:rsid w:val="00FD73FB"/>
    <w:rsid w:val="00FD7418"/>
    <w:rsid w:val="00FD7604"/>
    <w:rsid w:val="00FE1193"/>
    <w:rsid w:val="00FE1C19"/>
    <w:rsid w:val="00FE1C1D"/>
    <w:rsid w:val="00FE21C0"/>
    <w:rsid w:val="00FE3D2C"/>
    <w:rsid w:val="00FE416D"/>
    <w:rsid w:val="00FE54A1"/>
    <w:rsid w:val="00FE6914"/>
    <w:rsid w:val="00FE69B8"/>
    <w:rsid w:val="00FF02A1"/>
    <w:rsid w:val="00FF19E5"/>
    <w:rsid w:val="00FF1F2E"/>
    <w:rsid w:val="00FF25A5"/>
    <w:rsid w:val="00FF28E3"/>
    <w:rsid w:val="00FF2D68"/>
    <w:rsid w:val="00FF3148"/>
    <w:rsid w:val="00FF354D"/>
    <w:rsid w:val="00FF394F"/>
    <w:rsid w:val="00FF3F04"/>
    <w:rsid w:val="00FF4251"/>
    <w:rsid w:val="00FF4790"/>
    <w:rsid w:val="00FF4EB9"/>
    <w:rsid w:val="00FF5484"/>
    <w:rsid w:val="00FF6A3A"/>
    <w:rsid w:val="00FF7EB1"/>
    <w:rsid w:val="00FF7ECD"/>
    <w:rsid w:val="01524B69"/>
    <w:rsid w:val="017E4EF9"/>
    <w:rsid w:val="019B2F3C"/>
    <w:rsid w:val="01CB0705"/>
    <w:rsid w:val="01D11256"/>
    <w:rsid w:val="01D34B7C"/>
    <w:rsid w:val="01DB19BB"/>
    <w:rsid w:val="024C7726"/>
    <w:rsid w:val="02571C51"/>
    <w:rsid w:val="02E1269B"/>
    <w:rsid w:val="02E8577B"/>
    <w:rsid w:val="030748D7"/>
    <w:rsid w:val="03107B4E"/>
    <w:rsid w:val="03261BF0"/>
    <w:rsid w:val="0395552E"/>
    <w:rsid w:val="03A06787"/>
    <w:rsid w:val="03A42BFF"/>
    <w:rsid w:val="03D26D24"/>
    <w:rsid w:val="0416211E"/>
    <w:rsid w:val="04283BD0"/>
    <w:rsid w:val="04471852"/>
    <w:rsid w:val="04740F3C"/>
    <w:rsid w:val="049A7BD3"/>
    <w:rsid w:val="04A3117E"/>
    <w:rsid w:val="05681A7F"/>
    <w:rsid w:val="05B13BC0"/>
    <w:rsid w:val="05C841EA"/>
    <w:rsid w:val="064529A2"/>
    <w:rsid w:val="06A66DC2"/>
    <w:rsid w:val="06CE3D7C"/>
    <w:rsid w:val="06F82B7E"/>
    <w:rsid w:val="07034896"/>
    <w:rsid w:val="07177DC5"/>
    <w:rsid w:val="074934EE"/>
    <w:rsid w:val="0761265C"/>
    <w:rsid w:val="07852D30"/>
    <w:rsid w:val="079D7363"/>
    <w:rsid w:val="07AF6D3D"/>
    <w:rsid w:val="08265CCA"/>
    <w:rsid w:val="085B1B32"/>
    <w:rsid w:val="088C1F29"/>
    <w:rsid w:val="08BF2C58"/>
    <w:rsid w:val="08D8516E"/>
    <w:rsid w:val="08FB6ACC"/>
    <w:rsid w:val="09B554AF"/>
    <w:rsid w:val="09E72C47"/>
    <w:rsid w:val="0A251A44"/>
    <w:rsid w:val="0A6003FA"/>
    <w:rsid w:val="0A682522"/>
    <w:rsid w:val="0A796D16"/>
    <w:rsid w:val="0AD532AF"/>
    <w:rsid w:val="0AD57A08"/>
    <w:rsid w:val="0ADB790D"/>
    <w:rsid w:val="0AED375F"/>
    <w:rsid w:val="0AF90A6E"/>
    <w:rsid w:val="0B69655D"/>
    <w:rsid w:val="0B6F7C5C"/>
    <w:rsid w:val="0B9C7D0A"/>
    <w:rsid w:val="0BBF3716"/>
    <w:rsid w:val="0BCA390F"/>
    <w:rsid w:val="0C1666D9"/>
    <w:rsid w:val="0D0E2D15"/>
    <w:rsid w:val="0D572DAF"/>
    <w:rsid w:val="0DCC29B0"/>
    <w:rsid w:val="0DD607B8"/>
    <w:rsid w:val="0E193245"/>
    <w:rsid w:val="0E3F3191"/>
    <w:rsid w:val="0E59201F"/>
    <w:rsid w:val="0E5C7CF1"/>
    <w:rsid w:val="0E603C3C"/>
    <w:rsid w:val="0E7E0551"/>
    <w:rsid w:val="0E8518F4"/>
    <w:rsid w:val="0E941E7D"/>
    <w:rsid w:val="0F3A0AE0"/>
    <w:rsid w:val="0F6A57E5"/>
    <w:rsid w:val="0FEA59DD"/>
    <w:rsid w:val="105C4F7E"/>
    <w:rsid w:val="10795880"/>
    <w:rsid w:val="10B67655"/>
    <w:rsid w:val="10B849BD"/>
    <w:rsid w:val="11266809"/>
    <w:rsid w:val="115E0347"/>
    <w:rsid w:val="11971D21"/>
    <w:rsid w:val="11DB27A0"/>
    <w:rsid w:val="12524C6B"/>
    <w:rsid w:val="12E05AB2"/>
    <w:rsid w:val="131B717D"/>
    <w:rsid w:val="13363E1E"/>
    <w:rsid w:val="13663B7B"/>
    <w:rsid w:val="1396077C"/>
    <w:rsid w:val="13E750BE"/>
    <w:rsid w:val="14433D7D"/>
    <w:rsid w:val="14587163"/>
    <w:rsid w:val="14A14FAE"/>
    <w:rsid w:val="14C9522B"/>
    <w:rsid w:val="150D43F1"/>
    <w:rsid w:val="15973B98"/>
    <w:rsid w:val="16610370"/>
    <w:rsid w:val="17C26892"/>
    <w:rsid w:val="183D3175"/>
    <w:rsid w:val="18844BC5"/>
    <w:rsid w:val="18D31199"/>
    <w:rsid w:val="18F43F8A"/>
    <w:rsid w:val="195F7C09"/>
    <w:rsid w:val="19630336"/>
    <w:rsid w:val="1A424862"/>
    <w:rsid w:val="1A5E3AB8"/>
    <w:rsid w:val="1A823BE5"/>
    <w:rsid w:val="1AA2382E"/>
    <w:rsid w:val="1AAF5BE8"/>
    <w:rsid w:val="1ABA10D2"/>
    <w:rsid w:val="1AEF6D98"/>
    <w:rsid w:val="1B01155A"/>
    <w:rsid w:val="1B8D3985"/>
    <w:rsid w:val="1BA61F64"/>
    <w:rsid w:val="1BAB4C55"/>
    <w:rsid w:val="1BBF43AA"/>
    <w:rsid w:val="1BCD48DA"/>
    <w:rsid w:val="1C026332"/>
    <w:rsid w:val="1C0C71B1"/>
    <w:rsid w:val="1C1D3957"/>
    <w:rsid w:val="1CF079E0"/>
    <w:rsid w:val="1D4E46CC"/>
    <w:rsid w:val="1DFE4A48"/>
    <w:rsid w:val="1E0D26EA"/>
    <w:rsid w:val="1E4253E3"/>
    <w:rsid w:val="1E7F010E"/>
    <w:rsid w:val="1EFA4A80"/>
    <w:rsid w:val="1F2E499F"/>
    <w:rsid w:val="1F4D2016"/>
    <w:rsid w:val="1F8F412D"/>
    <w:rsid w:val="203D4B01"/>
    <w:rsid w:val="205422BB"/>
    <w:rsid w:val="210E4A4B"/>
    <w:rsid w:val="215A1D8D"/>
    <w:rsid w:val="21DC4EA7"/>
    <w:rsid w:val="22A243CB"/>
    <w:rsid w:val="22AA7723"/>
    <w:rsid w:val="22D96351"/>
    <w:rsid w:val="22E646A2"/>
    <w:rsid w:val="2327076D"/>
    <w:rsid w:val="238B1303"/>
    <w:rsid w:val="23A36435"/>
    <w:rsid w:val="23D47D54"/>
    <w:rsid w:val="2460654F"/>
    <w:rsid w:val="2490423C"/>
    <w:rsid w:val="249E2A30"/>
    <w:rsid w:val="24CE2C53"/>
    <w:rsid w:val="253D0C18"/>
    <w:rsid w:val="255C79D5"/>
    <w:rsid w:val="25705E00"/>
    <w:rsid w:val="25BD468C"/>
    <w:rsid w:val="263E54B6"/>
    <w:rsid w:val="264B1DED"/>
    <w:rsid w:val="26847AD3"/>
    <w:rsid w:val="26EA64CA"/>
    <w:rsid w:val="274F000B"/>
    <w:rsid w:val="27783C7D"/>
    <w:rsid w:val="27893DAB"/>
    <w:rsid w:val="27F56BB6"/>
    <w:rsid w:val="27FA500D"/>
    <w:rsid w:val="281E4E9B"/>
    <w:rsid w:val="289851E0"/>
    <w:rsid w:val="28A066B3"/>
    <w:rsid w:val="28EC2844"/>
    <w:rsid w:val="293D3C3C"/>
    <w:rsid w:val="298D4C89"/>
    <w:rsid w:val="29DE5723"/>
    <w:rsid w:val="2A1C108E"/>
    <w:rsid w:val="2A444141"/>
    <w:rsid w:val="2A91350D"/>
    <w:rsid w:val="2A9E0795"/>
    <w:rsid w:val="2AFD76D9"/>
    <w:rsid w:val="2AFF13E6"/>
    <w:rsid w:val="2BBC3DF2"/>
    <w:rsid w:val="2BBD7D60"/>
    <w:rsid w:val="2C072050"/>
    <w:rsid w:val="2C0B54C5"/>
    <w:rsid w:val="2C191FF7"/>
    <w:rsid w:val="2C3819E6"/>
    <w:rsid w:val="2C5E531F"/>
    <w:rsid w:val="2C791556"/>
    <w:rsid w:val="2C7C7A3B"/>
    <w:rsid w:val="2CBB49CC"/>
    <w:rsid w:val="2CF877E6"/>
    <w:rsid w:val="2D15226B"/>
    <w:rsid w:val="2D3E1726"/>
    <w:rsid w:val="2DA134D1"/>
    <w:rsid w:val="2DBD6070"/>
    <w:rsid w:val="2DEB686E"/>
    <w:rsid w:val="2DED4BD0"/>
    <w:rsid w:val="2E2618F0"/>
    <w:rsid w:val="2E2F66EB"/>
    <w:rsid w:val="2E69604B"/>
    <w:rsid w:val="2E8B58B2"/>
    <w:rsid w:val="2EFE7614"/>
    <w:rsid w:val="2F0F5313"/>
    <w:rsid w:val="2F3740ED"/>
    <w:rsid w:val="2F770C88"/>
    <w:rsid w:val="2F911D08"/>
    <w:rsid w:val="2FAD5C5E"/>
    <w:rsid w:val="2FFA3A98"/>
    <w:rsid w:val="301D32E3"/>
    <w:rsid w:val="30201025"/>
    <w:rsid w:val="30550CCF"/>
    <w:rsid w:val="306058C5"/>
    <w:rsid w:val="307373A7"/>
    <w:rsid w:val="30906B46"/>
    <w:rsid w:val="30BE2969"/>
    <w:rsid w:val="30C606E6"/>
    <w:rsid w:val="30C90CE3"/>
    <w:rsid w:val="316B1984"/>
    <w:rsid w:val="31737FD9"/>
    <w:rsid w:val="31973756"/>
    <w:rsid w:val="31E22A36"/>
    <w:rsid w:val="31E40435"/>
    <w:rsid w:val="321736F0"/>
    <w:rsid w:val="323E5735"/>
    <w:rsid w:val="329277AE"/>
    <w:rsid w:val="33033B61"/>
    <w:rsid w:val="331973A3"/>
    <w:rsid w:val="33305E9A"/>
    <w:rsid w:val="335B4503"/>
    <w:rsid w:val="33712C75"/>
    <w:rsid w:val="339A10EE"/>
    <w:rsid w:val="345D71E5"/>
    <w:rsid w:val="348E1262"/>
    <w:rsid w:val="34B66B2D"/>
    <w:rsid w:val="34F565DC"/>
    <w:rsid w:val="34FD788C"/>
    <w:rsid w:val="35AA2A71"/>
    <w:rsid w:val="361968D5"/>
    <w:rsid w:val="362E38F2"/>
    <w:rsid w:val="365D08DD"/>
    <w:rsid w:val="365D77F8"/>
    <w:rsid w:val="366B28CE"/>
    <w:rsid w:val="36B66913"/>
    <w:rsid w:val="36D63FF5"/>
    <w:rsid w:val="376621DC"/>
    <w:rsid w:val="379D1D52"/>
    <w:rsid w:val="37EC3751"/>
    <w:rsid w:val="38135286"/>
    <w:rsid w:val="38376F0C"/>
    <w:rsid w:val="383E6AEF"/>
    <w:rsid w:val="385E26EA"/>
    <w:rsid w:val="385F7597"/>
    <w:rsid w:val="386B735A"/>
    <w:rsid w:val="38792AAA"/>
    <w:rsid w:val="38AF15A1"/>
    <w:rsid w:val="39AB3EC5"/>
    <w:rsid w:val="39B63DF1"/>
    <w:rsid w:val="39D9043B"/>
    <w:rsid w:val="3A4E61B0"/>
    <w:rsid w:val="3A6B4978"/>
    <w:rsid w:val="3A8B473E"/>
    <w:rsid w:val="3AD62A0C"/>
    <w:rsid w:val="3ADD49EA"/>
    <w:rsid w:val="3B1E735F"/>
    <w:rsid w:val="3B257D00"/>
    <w:rsid w:val="3B2C3F29"/>
    <w:rsid w:val="3B4127FB"/>
    <w:rsid w:val="3BEE1FD7"/>
    <w:rsid w:val="3C332882"/>
    <w:rsid w:val="3C453295"/>
    <w:rsid w:val="3C540D7E"/>
    <w:rsid w:val="3D103774"/>
    <w:rsid w:val="3D1F6592"/>
    <w:rsid w:val="3D565C05"/>
    <w:rsid w:val="3D5A66FF"/>
    <w:rsid w:val="3DF91C4E"/>
    <w:rsid w:val="3EC3774B"/>
    <w:rsid w:val="3EF75647"/>
    <w:rsid w:val="3F7D6464"/>
    <w:rsid w:val="3FA47CD3"/>
    <w:rsid w:val="3FAC6D9A"/>
    <w:rsid w:val="401E081B"/>
    <w:rsid w:val="40277950"/>
    <w:rsid w:val="40C50AD3"/>
    <w:rsid w:val="40D42493"/>
    <w:rsid w:val="41221999"/>
    <w:rsid w:val="41790AE7"/>
    <w:rsid w:val="417C5023"/>
    <w:rsid w:val="41E73D28"/>
    <w:rsid w:val="41ED1D3D"/>
    <w:rsid w:val="41F7651B"/>
    <w:rsid w:val="41FF001D"/>
    <w:rsid w:val="4203759B"/>
    <w:rsid w:val="4262481B"/>
    <w:rsid w:val="42C27294"/>
    <w:rsid w:val="42E63B11"/>
    <w:rsid w:val="42EE600B"/>
    <w:rsid w:val="43387E5E"/>
    <w:rsid w:val="434D7F2B"/>
    <w:rsid w:val="435F387D"/>
    <w:rsid w:val="442235D2"/>
    <w:rsid w:val="44367CA3"/>
    <w:rsid w:val="444224C3"/>
    <w:rsid w:val="44705F76"/>
    <w:rsid w:val="450B3BFA"/>
    <w:rsid w:val="45112880"/>
    <w:rsid w:val="451C5395"/>
    <w:rsid w:val="453612E7"/>
    <w:rsid w:val="45393F4F"/>
    <w:rsid w:val="457D10ED"/>
    <w:rsid w:val="45DE30BD"/>
    <w:rsid w:val="46207231"/>
    <w:rsid w:val="463964B0"/>
    <w:rsid w:val="463A66A2"/>
    <w:rsid w:val="464F0AEA"/>
    <w:rsid w:val="4691078D"/>
    <w:rsid w:val="46FB2379"/>
    <w:rsid w:val="46FB5FDE"/>
    <w:rsid w:val="47172729"/>
    <w:rsid w:val="47347438"/>
    <w:rsid w:val="47423FBF"/>
    <w:rsid w:val="474F4272"/>
    <w:rsid w:val="476521DC"/>
    <w:rsid w:val="47A453AF"/>
    <w:rsid w:val="47B81F5D"/>
    <w:rsid w:val="47BF7804"/>
    <w:rsid w:val="47CA38F8"/>
    <w:rsid w:val="48177E83"/>
    <w:rsid w:val="481C1F71"/>
    <w:rsid w:val="48340704"/>
    <w:rsid w:val="48C6292C"/>
    <w:rsid w:val="48EE505B"/>
    <w:rsid w:val="491C35E2"/>
    <w:rsid w:val="494A6F42"/>
    <w:rsid w:val="49A83CE4"/>
    <w:rsid w:val="4A104339"/>
    <w:rsid w:val="4A4960CE"/>
    <w:rsid w:val="4A4F2946"/>
    <w:rsid w:val="4A626995"/>
    <w:rsid w:val="4A6E7E34"/>
    <w:rsid w:val="4A9E2E1A"/>
    <w:rsid w:val="4B093E41"/>
    <w:rsid w:val="4B582D83"/>
    <w:rsid w:val="4BAD5537"/>
    <w:rsid w:val="4BC84391"/>
    <w:rsid w:val="4C26756B"/>
    <w:rsid w:val="4C353DEC"/>
    <w:rsid w:val="4C42158A"/>
    <w:rsid w:val="4CF0112B"/>
    <w:rsid w:val="4D362546"/>
    <w:rsid w:val="4D56538F"/>
    <w:rsid w:val="4D64597E"/>
    <w:rsid w:val="4D8E7B7F"/>
    <w:rsid w:val="4DD30B3F"/>
    <w:rsid w:val="4E152FD1"/>
    <w:rsid w:val="4E282338"/>
    <w:rsid w:val="4E5735A2"/>
    <w:rsid w:val="4E685DC2"/>
    <w:rsid w:val="4E717F0A"/>
    <w:rsid w:val="4E8866F1"/>
    <w:rsid w:val="4F0F7CC0"/>
    <w:rsid w:val="4F172792"/>
    <w:rsid w:val="4F1D3F5C"/>
    <w:rsid w:val="4F7B197C"/>
    <w:rsid w:val="4F9A042C"/>
    <w:rsid w:val="4FBA6E34"/>
    <w:rsid w:val="4FC94E2D"/>
    <w:rsid w:val="502C1EC3"/>
    <w:rsid w:val="51E1640E"/>
    <w:rsid w:val="52B05402"/>
    <w:rsid w:val="52FA40B1"/>
    <w:rsid w:val="531C0C1D"/>
    <w:rsid w:val="535A46EE"/>
    <w:rsid w:val="53715E2B"/>
    <w:rsid w:val="53AB17BA"/>
    <w:rsid w:val="53B678F7"/>
    <w:rsid w:val="54177EC5"/>
    <w:rsid w:val="54182FC9"/>
    <w:rsid w:val="542D2BFF"/>
    <w:rsid w:val="54576514"/>
    <w:rsid w:val="54BB4947"/>
    <w:rsid w:val="54F2480D"/>
    <w:rsid w:val="55106705"/>
    <w:rsid w:val="554D5F45"/>
    <w:rsid w:val="555C4981"/>
    <w:rsid w:val="5560764A"/>
    <w:rsid w:val="55622ECC"/>
    <w:rsid w:val="558D682D"/>
    <w:rsid w:val="559A7000"/>
    <w:rsid w:val="55AD76E2"/>
    <w:rsid w:val="55DC4FC1"/>
    <w:rsid w:val="55E45E4A"/>
    <w:rsid w:val="55EA3292"/>
    <w:rsid w:val="560B5648"/>
    <w:rsid w:val="56A22A68"/>
    <w:rsid w:val="570941B6"/>
    <w:rsid w:val="57313BA2"/>
    <w:rsid w:val="57713D91"/>
    <w:rsid w:val="57785875"/>
    <w:rsid w:val="57A247E3"/>
    <w:rsid w:val="57E62F93"/>
    <w:rsid w:val="57E819A1"/>
    <w:rsid w:val="582C07D1"/>
    <w:rsid w:val="58557E1B"/>
    <w:rsid w:val="586A29A6"/>
    <w:rsid w:val="586E641A"/>
    <w:rsid w:val="58AE1287"/>
    <w:rsid w:val="58BF7FBA"/>
    <w:rsid w:val="59202806"/>
    <w:rsid w:val="5940046E"/>
    <w:rsid w:val="594A4899"/>
    <w:rsid w:val="59722CBE"/>
    <w:rsid w:val="59F16A0D"/>
    <w:rsid w:val="59FC7C95"/>
    <w:rsid w:val="5A443D50"/>
    <w:rsid w:val="5A670AE9"/>
    <w:rsid w:val="5A7F0572"/>
    <w:rsid w:val="5ABB3C42"/>
    <w:rsid w:val="5B8816A9"/>
    <w:rsid w:val="5BEA7AFC"/>
    <w:rsid w:val="5C2C44CB"/>
    <w:rsid w:val="5C4110B2"/>
    <w:rsid w:val="5C5A20E0"/>
    <w:rsid w:val="5D100AFC"/>
    <w:rsid w:val="5D5F1B97"/>
    <w:rsid w:val="5D722F82"/>
    <w:rsid w:val="5D8C02E6"/>
    <w:rsid w:val="5D972077"/>
    <w:rsid w:val="5DED1F9D"/>
    <w:rsid w:val="5E183E43"/>
    <w:rsid w:val="5F0F4AA4"/>
    <w:rsid w:val="5F167B66"/>
    <w:rsid w:val="5F1D47FE"/>
    <w:rsid w:val="5FEB0F8A"/>
    <w:rsid w:val="60110D74"/>
    <w:rsid w:val="601A4929"/>
    <w:rsid w:val="60204651"/>
    <w:rsid w:val="60341DFF"/>
    <w:rsid w:val="60392520"/>
    <w:rsid w:val="60783C14"/>
    <w:rsid w:val="60940AF0"/>
    <w:rsid w:val="613325E3"/>
    <w:rsid w:val="6174608F"/>
    <w:rsid w:val="61757C74"/>
    <w:rsid w:val="62214605"/>
    <w:rsid w:val="623F77E9"/>
    <w:rsid w:val="624D71A8"/>
    <w:rsid w:val="625D388F"/>
    <w:rsid w:val="62732D9D"/>
    <w:rsid w:val="627B3173"/>
    <w:rsid w:val="62AC27E2"/>
    <w:rsid w:val="63151D4E"/>
    <w:rsid w:val="63155F18"/>
    <w:rsid w:val="631877B6"/>
    <w:rsid w:val="63312EB4"/>
    <w:rsid w:val="63377388"/>
    <w:rsid w:val="63664939"/>
    <w:rsid w:val="63726EBE"/>
    <w:rsid w:val="63761574"/>
    <w:rsid w:val="638119F3"/>
    <w:rsid w:val="63962E85"/>
    <w:rsid w:val="648F1CFA"/>
    <w:rsid w:val="649D51E9"/>
    <w:rsid w:val="64A95D2E"/>
    <w:rsid w:val="64DD4202"/>
    <w:rsid w:val="655B398A"/>
    <w:rsid w:val="6572784A"/>
    <w:rsid w:val="65D81E83"/>
    <w:rsid w:val="660E2650"/>
    <w:rsid w:val="661151E4"/>
    <w:rsid w:val="66483756"/>
    <w:rsid w:val="665E3123"/>
    <w:rsid w:val="66D9547B"/>
    <w:rsid w:val="67246FAB"/>
    <w:rsid w:val="678B628A"/>
    <w:rsid w:val="686B088D"/>
    <w:rsid w:val="68A37BEA"/>
    <w:rsid w:val="68E82553"/>
    <w:rsid w:val="68F51FFE"/>
    <w:rsid w:val="69210AD4"/>
    <w:rsid w:val="694C6C8B"/>
    <w:rsid w:val="69ED1EBF"/>
    <w:rsid w:val="6A605D12"/>
    <w:rsid w:val="6A757871"/>
    <w:rsid w:val="6AB63C71"/>
    <w:rsid w:val="6B9708CA"/>
    <w:rsid w:val="6BD050D2"/>
    <w:rsid w:val="6C152AE5"/>
    <w:rsid w:val="6C2E0441"/>
    <w:rsid w:val="6C6F38C3"/>
    <w:rsid w:val="6C77379F"/>
    <w:rsid w:val="6C992C27"/>
    <w:rsid w:val="6CB56F2D"/>
    <w:rsid w:val="6CDA6A4D"/>
    <w:rsid w:val="6CF22E26"/>
    <w:rsid w:val="6CF66FB0"/>
    <w:rsid w:val="6D2C7E90"/>
    <w:rsid w:val="6D333EFC"/>
    <w:rsid w:val="6D415785"/>
    <w:rsid w:val="6DCE4534"/>
    <w:rsid w:val="6E0E4472"/>
    <w:rsid w:val="6E95110E"/>
    <w:rsid w:val="6EAB7730"/>
    <w:rsid w:val="6EE64C76"/>
    <w:rsid w:val="6EF44517"/>
    <w:rsid w:val="6F1C6503"/>
    <w:rsid w:val="6F38459B"/>
    <w:rsid w:val="6FA42FFA"/>
    <w:rsid w:val="6FAF4D1B"/>
    <w:rsid w:val="70197908"/>
    <w:rsid w:val="70343755"/>
    <w:rsid w:val="704004B8"/>
    <w:rsid w:val="70842B2D"/>
    <w:rsid w:val="70973FC0"/>
    <w:rsid w:val="70AB1D16"/>
    <w:rsid w:val="70AC45E5"/>
    <w:rsid w:val="70C6561A"/>
    <w:rsid w:val="70D71396"/>
    <w:rsid w:val="71227C80"/>
    <w:rsid w:val="71327C95"/>
    <w:rsid w:val="71372DCB"/>
    <w:rsid w:val="71480082"/>
    <w:rsid w:val="715D40AA"/>
    <w:rsid w:val="716F713B"/>
    <w:rsid w:val="717B0C4B"/>
    <w:rsid w:val="7199496E"/>
    <w:rsid w:val="71D5200E"/>
    <w:rsid w:val="71DA5FFF"/>
    <w:rsid w:val="72084FE3"/>
    <w:rsid w:val="72225A60"/>
    <w:rsid w:val="72A25202"/>
    <w:rsid w:val="72C4515F"/>
    <w:rsid w:val="72DB494A"/>
    <w:rsid w:val="72F33520"/>
    <w:rsid w:val="734175E0"/>
    <w:rsid w:val="73547C12"/>
    <w:rsid w:val="735D3377"/>
    <w:rsid w:val="743D41BC"/>
    <w:rsid w:val="74942A15"/>
    <w:rsid w:val="74E47818"/>
    <w:rsid w:val="754526E5"/>
    <w:rsid w:val="75753820"/>
    <w:rsid w:val="75A935E7"/>
    <w:rsid w:val="75BC2F83"/>
    <w:rsid w:val="764510FA"/>
    <w:rsid w:val="76CA2B46"/>
    <w:rsid w:val="76E57584"/>
    <w:rsid w:val="76F374B5"/>
    <w:rsid w:val="777C4331"/>
    <w:rsid w:val="77C2468B"/>
    <w:rsid w:val="78096F65"/>
    <w:rsid w:val="781D5CC4"/>
    <w:rsid w:val="782A3A08"/>
    <w:rsid w:val="783A7627"/>
    <w:rsid w:val="786F3C2C"/>
    <w:rsid w:val="78717A03"/>
    <w:rsid w:val="787B10BA"/>
    <w:rsid w:val="78C36587"/>
    <w:rsid w:val="78E9532B"/>
    <w:rsid w:val="793F6535"/>
    <w:rsid w:val="794E523E"/>
    <w:rsid w:val="79757FC4"/>
    <w:rsid w:val="79834C87"/>
    <w:rsid w:val="79B0209F"/>
    <w:rsid w:val="79B3160B"/>
    <w:rsid w:val="79C80FA4"/>
    <w:rsid w:val="79E310C1"/>
    <w:rsid w:val="7A263AF5"/>
    <w:rsid w:val="7AAC2CD4"/>
    <w:rsid w:val="7AB26C3C"/>
    <w:rsid w:val="7AC30E36"/>
    <w:rsid w:val="7AD2283A"/>
    <w:rsid w:val="7AEF6BF7"/>
    <w:rsid w:val="7B3A2563"/>
    <w:rsid w:val="7B4B1B4B"/>
    <w:rsid w:val="7B5E5176"/>
    <w:rsid w:val="7BB74544"/>
    <w:rsid w:val="7BD52290"/>
    <w:rsid w:val="7BF46217"/>
    <w:rsid w:val="7C08388A"/>
    <w:rsid w:val="7C0D1A2A"/>
    <w:rsid w:val="7C4B6C38"/>
    <w:rsid w:val="7C576D36"/>
    <w:rsid w:val="7C682620"/>
    <w:rsid w:val="7C9F758D"/>
    <w:rsid w:val="7CEF1D89"/>
    <w:rsid w:val="7D771268"/>
    <w:rsid w:val="7D954B69"/>
    <w:rsid w:val="7DA71A0B"/>
    <w:rsid w:val="7DFB58B2"/>
    <w:rsid w:val="7E3133F6"/>
    <w:rsid w:val="7E8D6E52"/>
    <w:rsid w:val="7E8E4EF0"/>
    <w:rsid w:val="7EAF790E"/>
    <w:rsid w:val="7ED03162"/>
    <w:rsid w:val="7F0E4CDF"/>
    <w:rsid w:val="7F4F4866"/>
    <w:rsid w:val="7F631454"/>
    <w:rsid w:val="7FE6666C"/>
    <w:rsid w:val="AD35F36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lang w:val="en-US" w:eastAsia="zh-CN" w:bidi="ar-SA"/>
    </w:rPr>
  </w:style>
  <w:style w:type="paragraph" w:styleId="4">
    <w:name w:val="heading 1"/>
    <w:basedOn w:val="1"/>
    <w:next w:val="1"/>
    <w:link w:val="75"/>
    <w:qFormat/>
    <w:uiPriority w:val="0"/>
    <w:pPr>
      <w:keepNext/>
      <w:tabs>
        <w:tab w:val="left" w:pos="3360"/>
      </w:tabs>
      <w:snapToGrid w:val="0"/>
      <w:spacing w:before="312" w:beforeLines="100" w:beforeAutospacing="0" w:after="156" w:afterLines="50" w:afterAutospacing="0" w:line="800" w:lineRule="atLeast"/>
      <w:jc w:val="center"/>
      <w:outlineLvl w:val="0"/>
    </w:pPr>
    <w:rPr>
      <w:rFonts w:eastAsia="黑体"/>
      <w:sz w:val="44"/>
    </w:rPr>
  </w:style>
  <w:style w:type="paragraph" w:styleId="5">
    <w:name w:val="heading 2"/>
    <w:basedOn w:val="1"/>
    <w:next w:val="1"/>
    <w:link w:val="76"/>
    <w:qFormat/>
    <w:uiPriority w:val="0"/>
    <w:pPr>
      <w:keepNext/>
      <w:keepLines/>
      <w:adjustRightInd w:val="0"/>
      <w:snapToGrid w:val="0"/>
      <w:spacing w:line="360" w:lineRule="auto"/>
      <w:outlineLvl w:val="1"/>
    </w:pPr>
    <w:rPr>
      <w:rFonts w:ascii="宋体" w:hAnsi="宋体"/>
    </w:rPr>
  </w:style>
  <w:style w:type="paragraph" w:styleId="6">
    <w:name w:val="heading 3"/>
    <w:basedOn w:val="1"/>
    <w:next w:val="1"/>
    <w:qFormat/>
    <w:uiPriority w:val="0"/>
    <w:pPr>
      <w:keepNext/>
      <w:keepLines/>
      <w:spacing w:before="260" w:beforeLines="0" w:beforeAutospacing="0" w:after="260" w:afterLines="0" w:afterAutospacing="0" w:line="413" w:lineRule="auto"/>
      <w:jc w:val="center"/>
      <w:outlineLvl w:val="2"/>
    </w:pPr>
    <w:rPr>
      <w:b/>
      <w:sz w:val="44"/>
    </w:rPr>
  </w:style>
  <w:style w:type="paragraph" w:styleId="7">
    <w:name w:val="heading 4"/>
    <w:basedOn w:val="1"/>
    <w:next w:val="1"/>
    <w:qFormat/>
    <w:uiPriority w:val="0"/>
    <w:pPr>
      <w:keepNext/>
      <w:keepLines/>
      <w:numPr>
        <w:ilvl w:val="0"/>
        <w:numId w:val="1"/>
      </w:numPr>
      <w:spacing w:before="560" w:beforeLines="0" w:after="290" w:afterLines="0" w:line="377" w:lineRule="auto"/>
      <w:outlineLvl w:val="3"/>
    </w:pPr>
    <w:rPr>
      <w:rFonts w:ascii="Arial" w:hAnsi="Arial" w:eastAsia="黑体"/>
      <w:b/>
    </w:rPr>
  </w:style>
  <w:style w:type="paragraph" w:styleId="8">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9">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10">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11">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2">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59">
    <w:name w:val="Default Paragraph Font"/>
    <w:qFormat/>
    <w:uiPriority w:val="0"/>
  </w:style>
  <w:style w:type="table" w:default="1" w:styleId="57">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kern w:val="2"/>
      <w:sz w:val="32"/>
    </w:rPr>
  </w:style>
  <w:style w:type="paragraph" w:styleId="3">
    <w:name w:val="Body Text 2"/>
    <w:basedOn w:val="1"/>
    <w:qFormat/>
    <w:uiPriority w:val="0"/>
    <w:pPr>
      <w:adjustRightInd w:val="0"/>
      <w:snapToGrid w:val="0"/>
      <w:spacing w:after="120" w:afterLines="0" w:afterAutospacing="0" w:line="480" w:lineRule="auto"/>
    </w:pPr>
    <w:rPr>
      <w:sz w:val="24"/>
    </w:rPr>
  </w:style>
  <w:style w:type="paragraph" w:styleId="13">
    <w:name w:val="List 3"/>
    <w:basedOn w:val="1"/>
    <w:qFormat/>
    <w:uiPriority w:val="0"/>
    <w:pPr>
      <w:adjustRightInd w:val="0"/>
      <w:snapToGrid w:val="0"/>
      <w:spacing w:line="360" w:lineRule="auto"/>
      <w:ind w:left="100" w:leftChars="400" w:hanging="200" w:hangingChars="200"/>
    </w:pPr>
    <w:rPr>
      <w:sz w:val="24"/>
    </w:rPr>
  </w:style>
  <w:style w:type="paragraph" w:styleId="14">
    <w:name w:val="toc 7"/>
    <w:basedOn w:val="1"/>
    <w:next w:val="1"/>
    <w:qFormat/>
    <w:uiPriority w:val="0"/>
    <w:pPr>
      <w:ind w:left="2520" w:leftChars="1200"/>
    </w:pPr>
  </w:style>
  <w:style w:type="paragraph" w:styleId="15">
    <w:name w:val="List Number 2"/>
    <w:basedOn w:val="1"/>
    <w:qFormat/>
    <w:uiPriority w:val="0"/>
    <w:pPr>
      <w:numPr>
        <w:ilvl w:val="0"/>
        <w:numId w:val="2"/>
      </w:numPr>
      <w:spacing w:line="360" w:lineRule="auto"/>
    </w:pPr>
    <w:rPr>
      <w:sz w:val="24"/>
    </w:rPr>
  </w:style>
  <w:style w:type="paragraph" w:styleId="16">
    <w:name w:val="List Bullet 4"/>
    <w:basedOn w:val="1"/>
    <w:qFormat/>
    <w:uiPriority w:val="0"/>
    <w:pPr>
      <w:widowControl/>
      <w:numPr>
        <w:ilvl w:val="0"/>
        <w:numId w:val="3"/>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7">
    <w:name w:val="Normal Indent"/>
    <w:basedOn w:val="1"/>
    <w:qFormat/>
    <w:uiPriority w:val="0"/>
    <w:pPr>
      <w:adjustRightInd w:val="0"/>
      <w:snapToGrid w:val="0"/>
      <w:spacing w:line="360" w:lineRule="auto"/>
      <w:ind w:firstLine="420"/>
    </w:pPr>
    <w:rPr>
      <w:sz w:val="24"/>
    </w:rPr>
  </w:style>
  <w:style w:type="paragraph" w:styleId="18">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9">
    <w:name w:val="Document Map"/>
    <w:basedOn w:val="1"/>
    <w:qFormat/>
    <w:uiPriority w:val="0"/>
    <w:pPr>
      <w:shd w:val="clear" w:color="auto" w:fill="000080"/>
    </w:pPr>
  </w:style>
  <w:style w:type="paragraph" w:styleId="20">
    <w:name w:val="toa heading"/>
    <w:basedOn w:val="1"/>
    <w:next w:val="1"/>
    <w:qFormat/>
    <w:uiPriority w:val="0"/>
    <w:pPr>
      <w:spacing w:before="120" w:beforeLines="0" w:beforeAutospacing="0"/>
    </w:pPr>
    <w:rPr>
      <w:rFonts w:ascii="Arial" w:hAnsi="Arial"/>
      <w:sz w:val="24"/>
    </w:rPr>
  </w:style>
  <w:style w:type="paragraph" w:styleId="21">
    <w:name w:val="annotation text"/>
    <w:basedOn w:val="1"/>
    <w:link w:val="77"/>
    <w:qFormat/>
    <w:uiPriority w:val="0"/>
    <w:pPr>
      <w:widowControl/>
      <w:tabs>
        <w:tab w:val="left" w:pos="1134"/>
      </w:tabs>
      <w:adjustRightInd w:val="0"/>
      <w:snapToGrid w:val="0"/>
      <w:spacing w:line="280" w:lineRule="atLeast"/>
      <w:jc w:val="left"/>
    </w:pPr>
    <w:rPr>
      <w:rFonts w:eastAsia="PMingLiU"/>
      <w:kern w:val="0"/>
      <w:sz w:val="24"/>
      <w:lang w:eastAsia="zh-TW"/>
    </w:rPr>
  </w:style>
  <w:style w:type="paragraph" w:styleId="22">
    <w:name w:val="Body Text 3"/>
    <w:basedOn w:val="1"/>
    <w:qFormat/>
    <w:uiPriority w:val="0"/>
    <w:pPr>
      <w:adjustRightInd w:val="0"/>
      <w:snapToGrid w:val="0"/>
      <w:spacing w:after="120" w:afterLines="0" w:afterAutospacing="0" w:line="360" w:lineRule="auto"/>
    </w:pPr>
    <w:rPr>
      <w:sz w:val="16"/>
    </w:rPr>
  </w:style>
  <w:style w:type="paragraph" w:styleId="23">
    <w:name w:val="List Bullet 3"/>
    <w:basedOn w:val="1"/>
    <w:qFormat/>
    <w:uiPriority w:val="0"/>
    <w:pPr>
      <w:numPr>
        <w:ilvl w:val="0"/>
        <w:numId w:val="4"/>
      </w:numPr>
      <w:adjustRightInd w:val="0"/>
      <w:snapToGrid w:val="0"/>
      <w:spacing w:line="360" w:lineRule="auto"/>
    </w:pPr>
    <w:rPr>
      <w:sz w:val="24"/>
    </w:rPr>
  </w:style>
  <w:style w:type="paragraph" w:styleId="24">
    <w:name w:val="Body Text Indent"/>
    <w:basedOn w:val="1"/>
    <w:link w:val="78"/>
    <w:qFormat/>
    <w:uiPriority w:val="0"/>
    <w:pPr>
      <w:spacing w:line="700" w:lineRule="exact"/>
      <w:ind w:left="960"/>
    </w:pPr>
    <w:rPr>
      <w:sz w:val="44"/>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afterLines="0" w:afterAutospacing="0" w:line="360" w:lineRule="auto"/>
      <w:ind w:left="420" w:leftChars="200"/>
    </w:pPr>
    <w:rPr>
      <w:sz w:val="24"/>
    </w:rPr>
  </w:style>
  <w:style w:type="paragraph" w:styleId="28">
    <w:name w:val="List Bullet 2"/>
    <w:basedOn w:val="1"/>
    <w:qFormat/>
    <w:uiPriority w:val="0"/>
    <w:pPr>
      <w:numPr>
        <w:ilvl w:val="0"/>
        <w:numId w:val="5"/>
      </w:numPr>
      <w:adjustRightInd w:val="0"/>
      <w:snapToGrid w:val="0"/>
      <w:spacing w:line="360" w:lineRule="auto"/>
    </w:pPr>
    <w:rPr>
      <w:sz w:val="24"/>
    </w:rPr>
  </w:style>
  <w:style w:type="paragraph" w:styleId="29">
    <w:name w:val="toc 5"/>
    <w:basedOn w:val="1"/>
    <w:next w:val="1"/>
    <w:qFormat/>
    <w:uiPriority w:val="0"/>
    <w:pPr>
      <w:ind w:left="1680" w:leftChars="800"/>
    </w:pPr>
  </w:style>
  <w:style w:type="paragraph" w:styleId="30">
    <w:name w:val="toc 3"/>
    <w:basedOn w:val="1"/>
    <w:next w:val="1"/>
    <w:qFormat/>
    <w:uiPriority w:val="39"/>
    <w:pPr>
      <w:ind w:left="840" w:leftChars="400"/>
    </w:pPr>
  </w:style>
  <w:style w:type="paragraph" w:styleId="31">
    <w:name w:val="Plain Text"/>
    <w:basedOn w:val="1"/>
    <w:qFormat/>
    <w:uiPriority w:val="0"/>
    <w:pPr>
      <w:adjustRightInd w:val="0"/>
      <w:snapToGrid w:val="0"/>
      <w:spacing w:line="360" w:lineRule="auto"/>
    </w:pPr>
    <w:rPr>
      <w:rFonts w:ascii="宋体" w:hAnsi="Courier New"/>
      <w:sz w:val="21"/>
    </w:rPr>
  </w:style>
  <w:style w:type="paragraph" w:styleId="32">
    <w:name w:val="toc 8"/>
    <w:basedOn w:val="1"/>
    <w:next w:val="1"/>
    <w:qFormat/>
    <w:uiPriority w:val="0"/>
    <w:pPr>
      <w:ind w:left="2940" w:leftChars="1400"/>
    </w:pPr>
  </w:style>
  <w:style w:type="paragraph" w:styleId="33">
    <w:name w:val="Date"/>
    <w:basedOn w:val="1"/>
    <w:next w:val="1"/>
    <w:link w:val="79"/>
    <w:qFormat/>
    <w:uiPriority w:val="0"/>
  </w:style>
  <w:style w:type="paragraph" w:styleId="34">
    <w:name w:val="Body Text Indent 2"/>
    <w:basedOn w:val="1"/>
    <w:qFormat/>
    <w:uiPriority w:val="0"/>
    <w:pPr>
      <w:snapToGrid w:val="0"/>
      <w:spacing w:line="440" w:lineRule="atLeast"/>
      <w:ind w:firstLine="570"/>
    </w:pPr>
    <w:rPr>
      <w:rFonts w:ascii="宋体"/>
    </w:rPr>
  </w:style>
  <w:style w:type="paragraph" w:styleId="35">
    <w:name w:val="Balloon Text"/>
    <w:basedOn w:val="1"/>
    <w:link w:val="80"/>
    <w:qFormat/>
    <w:uiPriority w:val="0"/>
    <w:rPr>
      <w:sz w:val="18"/>
    </w:rPr>
  </w:style>
  <w:style w:type="paragraph" w:styleId="36">
    <w:name w:val="footer"/>
    <w:basedOn w:val="1"/>
    <w:qFormat/>
    <w:uiPriority w:val="0"/>
    <w:pPr>
      <w:tabs>
        <w:tab w:val="center" w:pos="4153"/>
        <w:tab w:val="right" w:pos="8306"/>
      </w:tabs>
      <w:snapToGrid w:val="0"/>
      <w:jc w:val="left"/>
    </w:pPr>
    <w:rPr>
      <w:rFonts w:eastAsia="宋体"/>
      <w:kern w:val="2"/>
      <w:sz w:val="18"/>
      <w:lang w:val="en-US" w:eastAsia="zh-CN"/>
    </w:rPr>
  </w:style>
  <w:style w:type="paragraph" w:styleId="37">
    <w:name w:val="header"/>
    <w:basedOn w:val="1"/>
    <w:qFormat/>
    <w:uiPriority w:val="0"/>
    <w:pPr>
      <w:pBdr>
        <w:bottom w:val="single" w:color="auto" w:sz="6" w:space="1"/>
      </w:pBdr>
      <w:tabs>
        <w:tab w:val="center" w:pos="4153"/>
        <w:tab w:val="right" w:pos="8306"/>
      </w:tabs>
      <w:snapToGrid w:val="0"/>
      <w:jc w:val="center"/>
    </w:pPr>
    <w:rPr>
      <w:rFonts w:eastAsia="宋体"/>
      <w:kern w:val="2"/>
      <w:sz w:val="18"/>
      <w:lang w:val="en-US" w:eastAsia="zh-CN"/>
    </w:rPr>
  </w:style>
  <w:style w:type="paragraph" w:styleId="38">
    <w:name w:val="toc 1"/>
    <w:basedOn w:val="1"/>
    <w:next w:val="1"/>
    <w:qFormat/>
    <w:uiPriority w:val="39"/>
    <w:pPr>
      <w:tabs>
        <w:tab w:val="left" w:pos="1260"/>
        <w:tab w:val="left" w:pos="1685"/>
        <w:tab w:val="right" w:leader="dot" w:pos="8400"/>
      </w:tabs>
      <w:spacing w:line="320" w:lineRule="exact"/>
      <w:ind w:firstLine="280" w:firstLineChars="100"/>
    </w:pPr>
  </w:style>
  <w:style w:type="paragraph" w:styleId="39">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0">
    <w:name w:val="toc 4"/>
    <w:basedOn w:val="1"/>
    <w:next w:val="1"/>
    <w:qFormat/>
    <w:uiPriority w:val="0"/>
    <w:pPr>
      <w:ind w:left="1260" w:leftChars="600"/>
    </w:pPr>
  </w:style>
  <w:style w:type="paragraph" w:styleId="41">
    <w:name w:val="footnote text"/>
    <w:basedOn w:val="1"/>
    <w:qFormat/>
    <w:uiPriority w:val="0"/>
    <w:pPr>
      <w:spacing w:line="360" w:lineRule="auto"/>
    </w:pPr>
    <w:rPr>
      <w:sz w:val="18"/>
    </w:rPr>
  </w:style>
  <w:style w:type="paragraph" w:styleId="42">
    <w:name w:val="toc 6"/>
    <w:basedOn w:val="1"/>
    <w:next w:val="1"/>
    <w:qFormat/>
    <w:uiPriority w:val="0"/>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tabs>
        <w:tab w:val="right" w:leader="dot" w:pos="8400"/>
      </w:tabs>
      <w:spacing w:line="440" w:lineRule="exact"/>
      <w:ind w:left="280" w:leftChars="100" w:rightChars="-91"/>
    </w:pPr>
  </w:style>
  <w:style w:type="paragraph" w:styleId="47">
    <w:name w:val="toc 9"/>
    <w:basedOn w:val="1"/>
    <w:next w:val="1"/>
    <w:qFormat/>
    <w:uiPriority w:val="0"/>
    <w:pPr>
      <w:ind w:left="3360" w:leftChars="1600"/>
    </w:p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0">
    <w:name w:val="Normal (Web)"/>
    <w:basedOn w:val="1"/>
    <w:qFormat/>
    <w:uiPriority w:val="99"/>
    <w:pPr>
      <w:widowControl/>
      <w:spacing w:before="100" w:beforeLines="0" w:beforeAutospacing="1" w:after="100" w:afterLines="0" w:afterAutospacing="1"/>
      <w:jc w:val="left"/>
    </w:pPr>
    <w:rPr>
      <w:rFonts w:ascii="Arial Unicode MS" w:hAnsi="Arial Unicode MS" w:eastAsia="Arial Unicode MS"/>
      <w:kern w:val="0"/>
      <w:sz w:val="24"/>
    </w:rPr>
  </w:style>
  <w:style w:type="paragraph" w:styleId="51">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afterLines="0" w:afterAutospacing="0" w:line="360" w:lineRule="auto"/>
      <w:jc w:val="center"/>
    </w:pPr>
    <w:rPr>
      <w:rFonts w:ascii="Arial" w:hAnsi="Arial" w:eastAsia="宋体"/>
      <w:b/>
      <w:smallCaps/>
      <w:kern w:val="28"/>
      <w:sz w:val="36"/>
      <w:lang w:val="en-US" w:eastAsia="en-US"/>
    </w:rPr>
  </w:style>
  <w:style w:type="paragraph" w:styleId="54">
    <w:name w:val="annotation subject"/>
    <w:basedOn w:val="21"/>
    <w:next w:val="21"/>
    <w:qFormat/>
    <w:uiPriority w:val="0"/>
    <w:pPr>
      <w:widowControl w:val="0"/>
      <w:tabs>
        <w:tab w:val="clear" w:pos="1134"/>
      </w:tabs>
      <w:adjustRightInd/>
      <w:snapToGrid/>
      <w:spacing w:line="240" w:lineRule="auto"/>
    </w:pPr>
    <w:rPr>
      <w:rFonts w:eastAsia="宋体"/>
      <w:b/>
      <w:kern w:val="2"/>
      <w:sz w:val="21"/>
      <w:lang w:val="en-US" w:eastAsia="zh-CN"/>
    </w:r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4"/>
    <w:qFormat/>
    <w:uiPriority w:val="0"/>
    <w:pPr>
      <w:spacing w:after="120" w:afterLines="0" w:afterAutospacing="0" w:line="240" w:lineRule="auto"/>
      <w:ind w:left="420" w:leftChars="200" w:firstLine="420" w:firstLineChars="200"/>
    </w:pPr>
    <w:rPr>
      <w:sz w:val="21"/>
    </w:rPr>
  </w:style>
  <w:style w:type="table" w:styleId="58">
    <w:name w:val="Table Grid"/>
    <w:basedOn w:val="5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qFormat/>
    <w:uiPriority w:val="22"/>
    <w:rPr>
      <w:b/>
    </w:rPr>
  </w:style>
  <w:style w:type="character" w:styleId="61">
    <w:name w:val="page number"/>
    <w:qFormat/>
    <w:uiPriority w:val="0"/>
  </w:style>
  <w:style w:type="character" w:styleId="62">
    <w:name w:val="FollowedHyperlink"/>
    <w:qFormat/>
    <w:uiPriority w:val="0"/>
    <w:rPr>
      <w:color w:val="333333"/>
      <w:u w:val="none"/>
    </w:rPr>
  </w:style>
  <w:style w:type="character" w:styleId="63">
    <w:name w:val="Emphasis"/>
    <w:qFormat/>
    <w:uiPriority w:val="20"/>
    <w:rPr>
      <w:i/>
    </w:rPr>
  </w:style>
  <w:style w:type="character" w:styleId="64">
    <w:name w:val="HTML Definition"/>
    <w:basedOn w:val="59"/>
    <w:unhideWhenUsed/>
    <w:qFormat/>
    <w:uiPriority w:val="99"/>
  </w:style>
  <w:style w:type="character" w:styleId="65">
    <w:name w:val="HTML Typewriter"/>
    <w:basedOn w:val="59"/>
    <w:unhideWhenUsed/>
    <w:qFormat/>
    <w:uiPriority w:val="99"/>
    <w:rPr>
      <w:rFonts w:hint="default" w:ascii="monospace" w:hAnsi="monospace" w:eastAsia="monospace" w:cs="monospace"/>
      <w:sz w:val="20"/>
    </w:rPr>
  </w:style>
  <w:style w:type="character" w:styleId="66">
    <w:name w:val="HTML Acronym"/>
    <w:basedOn w:val="59"/>
    <w:unhideWhenUsed/>
    <w:qFormat/>
    <w:uiPriority w:val="99"/>
  </w:style>
  <w:style w:type="character" w:styleId="67">
    <w:name w:val="HTML Variable"/>
    <w:basedOn w:val="59"/>
    <w:unhideWhenUsed/>
    <w:qFormat/>
    <w:uiPriority w:val="99"/>
  </w:style>
  <w:style w:type="character" w:styleId="68">
    <w:name w:val="Hyperlink"/>
    <w:basedOn w:val="59"/>
    <w:qFormat/>
    <w:uiPriority w:val="99"/>
    <w:rPr>
      <w:color w:val="0000FF"/>
      <w:u w:val="none"/>
    </w:rPr>
  </w:style>
  <w:style w:type="character" w:styleId="69">
    <w:name w:val="HTML Code"/>
    <w:basedOn w:val="59"/>
    <w:unhideWhenUsed/>
    <w:qFormat/>
    <w:uiPriority w:val="99"/>
    <w:rPr>
      <w:rFonts w:hint="default" w:ascii="monospace" w:hAnsi="monospace" w:eastAsia="monospace" w:cs="monospace"/>
      <w:sz w:val="20"/>
    </w:rPr>
  </w:style>
  <w:style w:type="character" w:styleId="70">
    <w:name w:val="annotation reference"/>
    <w:qFormat/>
    <w:uiPriority w:val="0"/>
    <w:rPr>
      <w:sz w:val="21"/>
    </w:rPr>
  </w:style>
  <w:style w:type="character" w:styleId="71">
    <w:name w:val="HTML Cite"/>
    <w:basedOn w:val="59"/>
    <w:unhideWhenUsed/>
    <w:qFormat/>
    <w:uiPriority w:val="99"/>
  </w:style>
  <w:style w:type="character" w:styleId="72">
    <w:name w:val="footnote reference"/>
    <w:qFormat/>
    <w:uiPriority w:val="0"/>
    <w:rPr>
      <w:position w:val="6"/>
      <w:sz w:val="14"/>
      <w:vertAlign w:val="superscript"/>
    </w:rPr>
  </w:style>
  <w:style w:type="character" w:styleId="73">
    <w:name w:val="HTML Keyboard"/>
    <w:basedOn w:val="59"/>
    <w:unhideWhenUsed/>
    <w:qFormat/>
    <w:uiPriority w:val="99"/>
    <w:rPr>
      <w:rFonts w:hint="default" w:ascii="monospace" w:hAnsi="monospace" w:eastAsia="monospace" w:cs="monospace"/>
      <w:sz w:val="20"/>
    </w:rPr>
  </w:style>
  <w:style w:type="character" w:styleId="74">
    <w:name w:val="HTML Sample"/>
    <w:basedOn w:val="59"/>
    <w:unhideWhenUsed/>
    <w:qFormat/>
    <w:uiPriority w:val="99"/>
    <w:rPr>
      <w:rFonts w:ascii="monospace" w:hAnsi="monospace" w:eastAsia="monospace" w:cs="monospace"/>
    </w:rPr>
  </w:style>
  <w:style w:type="character" w:customStyle="1" w:styleId="75">
    <w:name w:val="标题 1 Char"/>
    <w:link w:val="4"/>
    <w:qFormat/>
    <w:uiPriority w:val="9"/>
    <w:rPr>
      <w:rFonts w:eastAsia="黑体"/>
      <w:kern w:val="2"/>
      <w:sz w:val="44"/>
    </w:rPr>
  </w:style>
  <w:style w:type="character" w:customStyle="1" w:styleId="76">
    <w:name w:val="标题 2 Char"/>
    <w:link w:val="5"/>
    <w:qFormat/>
    <w:uiPriority w:val="0"/>
    <w:rPr>
      <w:rFonts w:ascii="宋体" w:hAnsi="宋体"/>
      <w:kern w:val="2"/>
      <w:sz w:val="28"/>
    </w:rPr>
  </w:style>
  <w:style w:type="character" w:customStyle="1" w:styleId="77">
    <w:name w:val="批注文字 Char1"/>
    <w:link w:val="21"/>
    <w:qFormat/>
    <w:uiPriority w:val="0"/>
    <w:rPr>
      <w:rFonts w:eastAsia="PMingLiU"/>
      <w:sz w:val="24"/>
      <w:lang w:eastAsia="zh-TW"/>
    </w:rPr>
  </w:style>
  <w:style w:type="character" w:customStyle="1" w:styleId="78">
    <w:name w:val="正文文本缩进 Char"/>
    <w:link w:val="24"/>
    <w:qFormat/>
    <w:uiPriority w:val="0"/>
    <w:rPr>
      <w:kern w:val="2"/>
      <w:sz w:val="44"/>
    </w:rPr>
  </w:style>
  <w:style w:type="character" w:customStyle="1" w:styleId="79">
    <w:name w:val="日期 Char"/>
    <w:link w:val="33"/>
    <w:qFormat/>
    <w:uiPriority w:val="0"/>
    <w:rPr>
      <w:kern w:val="2"/>
      <w:sz w:val="28"/>
    </w:rPr>
  </w:style>
  <w:style w:type="character" w:customStyle="1" w:styleId="80">
    <w:name w:val="批注框文本 Char"/>
    <w:link w:val="35"/>
    <w:qFormat/>
    <w:uiPriority w:val="0"/>
    <w:rPr>
      <w:kern w:val="2"/>
      <w:sz w:val="18"/>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2">
    <w:name w:val=" Char Char2"/>
    <w:qFormat/>
    <w:uiPriority w:val="0"/>
    <w:rPr>
      <w:rFonts w:eastAsia="宋体"/>
      <w:kern w:val="2"/>
      <w:sz w:val="18"/>
      <w:lang w:val="en-US" w:eastAsia="zh-CN"/>
    </w:rPr>
  </w:style>
  <w:style w:type="character" w:customStyle="1" w:styleId="83">
    <w:name w:val=" Char Char7"/>
    <w:qFormat/>
    <w:uiPriority w:val="0"/>
    <w:rPr>
      <w:rFonts w:ascii="宋体" w:hAnsi="宋体" w:eastAsia="宋体"/>
      <w:kern w:val="2"/>
      <w:sz w:val="28"/>
    </w:rPr>
  </w:style>
  <w:style w:type="character" w:customStyle="1" w:styleId="84">
    <w:name w:val="font11"/>
    <w:qFormat/>
    <w:uiPriority w:val="0"/>
    <w:rPr>
      <w:rFonts w:hint="eastAsia" w:ascii="等线" w:hAnsi="等线" w:eastAsia="等线" w:cs="等线"/>
      <w:color w:val="000000"/>
      <w:sz w:val="22"/>
      <w:szCs w:val="22"/>
      <w:u w:val="none"/>
      <w:vertAlign w:val="superscript"/>
    </w:rPr>
  </w:style>
  <w:style w:type="character" w:customStyle="1" w:styleId="85">
    <w:name w:val="content-white1"/>
    <w:qFormat/>
    <w:uiPriority w:val="0"/>
    <w:rPr>
      <w:rFonts w:ascii="_x000B__x000C_" w:hAnsi="_x000B__x000C_"/>
      <w:color w:val="auto"/>
      <w:sz w:val="18"/>
      <w:u w:val="none"/>
    </w:rPr>
  </w:style>
  <w:style w:type="character" w:customStyle="1" w:styleId="86">
    <w:name w:val="font1"/>
    <w:qFormat/>
    <w:uiPriority w:val="0"/>
    <w:rPr>
      <w:color w:val="000000"/>
      <w:sz w:val="18"/>
    </w:rPr>
  </w:style>
  <w:style w:type="character" w:customStyle="1" w:styleId="87">
    <w:name w:val="font51"/>
    <w:qFormat/>
    <w:uiPriority w:val="0"/>
    <w:rPr>
      <w:rFonts w:hint="eastAsia" w:ascii="宋体" w:hAnsi="宋体" w:eastAsia="宋体" w:cs="宋体"/>
      <w:color w:val="FF0000"/>
      <w:sz w:val="16"/>
      <w:szCs w:val="16"/>
      <w:u w:val="none"/>
    </w:rPr>
  </w:style>
  <w:style w:type="character" w:customStyle="1" w:styleId="88">
    <w:name w:val="top-det1"/>
    <w:qFormat/>
    <w:uiPriority w:val="0"/>
    <w:rPr>
      <w:b/>
      <w:color w:val="000000"/>
    </w:rPr>
  </w:style>
  <w:style w:type="character" w:customStyle="1" w:styleId="89">
    <w:name w:val="font41"/>
    <w:qFormat/>
    <w:uiPriority w:val="0"/>
    <w:rPr>
      <w:rFonts w:hint="eastAsia" w:ascii="宋体" w:hAnsi="宋体" w:eastAsia="宋体" w:cs="宋体"/>
      <w:b/>
      <w:bCs/>
      <w:color w:val="FF0000"/>
      <w:sz w:val="16"/>
      <w:szCs w:val="16"/>
      <w:u w:val="none"/>
    </w:rPr>
  </w:style>
  <w:style w:type="character" w:customStyle="1" w:styleId="90">
    <w:name w:val="小 Char"/>
    <w:qFormat/>
    <w:uiPriority w:val="0"/>
    <w:rPr>
      <w:rFonts w:ascii="宋体" w:hAnsi="Courier New" w:eastAsia="宋体"/>
      <w:kern w:val="2"/>
      <w:sz w:val="21"/>
      <w:lang w:val="en-US" w:eastAsia="zh-CN" w:bidi="ar-SA"/>
    </w:rPr>
  </w:style>
  <w:style w:type="character" w:customStyle="1" w:styleId="91">
    <w:name w:val=" Char Char3"/>
    <w:qFormat/>
    <w:uiPriority w:val="0"/>
    <w:rPr>
      <w:rFonts w:eastAsia="宋体"/>
      <w:kern w:val="2"/>
      <w:sz w:val="18"/>
      <w:lang w:val="en-US" w:eastAsia="zh-CN"/>
    </w:rPr>
  </w:style>
  <w:style w:type="character" w:customStyle="1" w:styleId="92">
    <w:name w:val=" Char Char4"/>
    <w:qFormat/>
    <w:uiPriority w:val="0"/>
    <w:rPr>
      <w:rFonts w:eastAsia="宋体"/>
      <w:b/>
      <w:kern w:val="2"/>
      <w:sz w:val="21"/>
      <w:lang w:val="en-US" w:eastAsia="zh-CN"/>
    </w:rPr>
  </w:style>
  <w:style w:type="character" w:customStyle="1" w:styleId="93">
    <w:name w:val="文字 Char"/>
    <w:link w:val="94"/>
    <w:qFormat/>
    <w:uiPriority w:val="0"/>
    <w:rPr>
      <w:rFonts w:ascii="宋体" w:eastAsia="宋体"/>
      <w:kern w:val="2"/>
      <w:sz w:val="28"/>
      <w:lang w:val="en-US" w:eastAsia="zh-CN" w:bidi="ar-SA"/>
    </w:rPr>
  </w:style>
  <w:style w:type="paragraph" w:customStyle="1" w:styleId="94">
    <w:name w:val="文字"/>
    <w:basedOn w:val="1"/>
    <w:link w:val="93"/>
    <w:qFormat/>
    <w:uiPriority w:val="0"/>
    <w:pPr>
      <w:tabs>
        <w:tab w:val="left" w:pos="8520"/>
      </w:tabs>
      <w:spacing w:line="312" w:lineRule="auto"/>
      <w:ind w:right="-210" w:firstLine="556"/>
    </w:pPr>
    <w:rPr>
      <w:rFonts w:ascii="宋体"/>
    </w:rPr>
  </w:style>
  <w:style w:type="character" w:customStyle="1" w:styleId="95">
    <w:name w:val="Table Heading Char Char"/>
    <w:qFormat/>
    <w:uiPriority w:val="0"/>
    <w:rPr>
      <w:rFonts w:ascii="Arial" w:hAnsi="Arial" w:eastAsia="黑体"/>
      <w:kern w:val="2"/>
      <w:sz w:val="18"/>
      <w:lang w:val="en-US" w:eastAsia="zh-CN"/>
    </w:rPr>
  </w:style>
  <w:style w:type="character" w:customStyle="1" w:styleId="96">
    <w:name w:val="标书正文:  0.74 厘米 Char1"/>
    <w:qFormat/>
    <w:uiPriority w:val="0"/>
    <w:rPr>
      <w:rFonts w:eastAsia="宋体"/>
      <w:kern w:val="2"/>
      <w:sz w:val="24"/>
      <w:lang w:val="en-US" w:eastAsia="zh-CN"/>
    </w:rPr>
  </w:style>
  <w:style w:type="character" w:customStyle="1" w:styleId="97">
    <w:name w:val="Table Text Char Char Char Char"/>
    <w:qFormat/>
    <w:uiPriority w:val="0"/>
    <w:rPr>
      <w:rFonts w:ascii="Arial" w:hAnsi="Arial"/>
      <w:kern w:val="2"/>
      <w:sz w:val="18"/>
      <w:lang w:val="en-US" w:eastAsia="zh-CN" w:bidi="ar-SA"/>
    </w:rPr>
  </w:style>
  <w:style w:type="character" w:customStyle="1" w:styleId="98">
    <w:name w:val="Table Text Char"/>
    <w:qFormat/>
    <w:uiPriority w:val="0"/>
    <w:rPr>
      <w:rFonts w:ascii="Arial" w:hAnsi="Arial"/>
      <w:kern w:val="2"/>
      <w:sz w:val="18"/>
      <w:lang w:val="en-US" w:eastAsia="zh-CN" w:bidi="ar-SA"/>
    </w:rPr>
  </w:style>
  <w:style w:type="character" w:customStyle="1" w:styleId="99">
    <w:name w:val=" Char Char"/>
    <w:qFormat/>
    <w:uiPriority w:val="0"/>
    <w:rPr>
      <w:rFonts w:ascii="宋体" w:hAnsi="宋体" w:eastAsia="宋体"/>
      <w:kern w:val="2"/>
      <w:sz w:val="24"/>
      <w:lang w:val="en-US" w:eastAsia="zh-CN" w:bidi="ar-SA"/>
    </w:rPr>
  </w:style>
  <w:style w:type="character" w:customStyle="1" w:styleId="100">
    <w:name w:val="Table Text Char1 Char"/>
    <w:qFormat/>
    <w:uiPriority w:val="0"/>
    <w:rPr>
      <w:rFonts w:ascii="Arial" w:hAnsi="Arial"/>
      <w:kern w:val="2"/>
      <w:sz w:val="18"/>
      <w:lang w:val="en-US" w:eastAsia="zh-CN" w:bidi="ar-SA"/>
    </w:rPr>
  </w:style>
  <w:style w:type="character" w:customStyle="1" w:styleId="101">
    <w:name w:val="样式 宋体"/>
    <w:qFormat/>
    <w:uiPriority w:val="0"/>
    <w:rPr>
      <w:rFonts w:ascii="宋体" w:hAnsi="宋体" w:eastAsia="宋体"/>
      <w:sz w:val="28"/>
    </w:rPr>
  </w:style>
  <w:style w:type="character" w:customStyle="1" w:styleId="102">
    <w:name w:val=" Char Char5"/>
    <w:qFormat/>
    <w:uiPriority w:val="0"/>
    <w:rPr>
      <w:rFonts w:ascii="Arial" w:hAnsi="Arial" w:eastAsia="宋体"/>
      <w:b/>
      <w:smallCaps/>
      <w:kern w:val="28"/>
      <w:sz w:val="36"/>
      <w:lang w:val="en-US" w:eastAsia="en-US"/>
    </w:rPr>
  </w:style>
  <w:style w:type="character" w:customStyle="1" w:styleId="103">
    <w:name w:val="正文 + 三号 Char"/>
    <w:qFormat/>
    <w:uiPriority w:val="0"/>
    <w:rPr>
      <w:rFonts w:eastAsia="宋体"/>
      <w:kern w:val="2"/>
      <w:sz w:val="21"/>
      <w:lang w:val="en-US" w:eastAsia="zh-CN"/>
    </w:rPr>
  </w:style>
  <w:style w:type="character" w:customStyle="1" w:styleId="104">
    <w:name w:val="批注文字 Char"/>
    <w:qFormat/>
    <w:uiPriority w:val="0"/>
    <w:rPr>
      <w:rFonts w:eastAsia="PMingLiU"/>
      <w:sz w:val="24"/>
      <w:lang w:eastAsia="zh-TW"/>
    </w:rPr>
  </w:style>
  <w:style w:type="character" w:customStyle="1" w:styleId="105">
    <w:name w:val="font61"/>
    <w:qFormat/>
    <w:uiPriority w:val="0"/>
    <w:rPr>
      <w:rFonts w:hint="eastAsia" w:ascii="宋体" w:hAnsi="宋体" w:eastAsia="宋体" w:cs="宋体"/>
      <w:color w:val="000000"/>
      <w:sz w:val="16"/>
      <w:szCs w:val="16"/>
      <w:u w:val="none"/>
    </w:rPr>
  </w:style>
  <w:style w:type="character" w:customStyle="1" w:styleId="106">
    <w:name w:val="font31"/>
    <w:qFormat/>
    <w:uiPriority w:val="0"/>
    <w:rPr>
      <w:rFonts w:hint="eastAsia" w:ascii="宋体" w:hAnsi="宋体" w:eastAsia="宋体" w:cs="宋体"/>
      <w:color w:val="000000"/>
      <w:sz w:val="16"/>
      <w:szCs w:val="16"/>
      <w:u w:val="none"/>
    </w:rPr>
  </w:style>
  <w:style w:type="character" w:customStyle="1" w:styleId="107">
    <w:name w:val="trnone1"/>
    <w:qFormat/>
    <w:uiPriority w:val="0"/>
  </w:style>
  <w:style w:type="character" w:customStyle="1" w:styleId="108">
    <w:name w:val="font01"/>
    <w:qFormat/>
    <w:uiPriority w:val="0"/>
    <w:rPr>
      <w:rFonts w:hint="eastAsia" w:ascii="等线" w:hAnsi="等线" w:eastAsia="等线" w:cs="等线"/>
      <w:color w:val="000000"/>
      <w:sz w:val="22"/>
      <w:szCs w:val="22"/>
      <w:u w:val="none"/>
    </w:rPr>
  </w:style>
  <w:style w:type="character" w:customStyle="1" w:styleId="109">
    <w:name w:val="crowed11"/>
    <w:qFormat/>
    <w:uiPriority w:val="0"/>
    <w:rPr>
      <w:rFonts w:hint="default" w:ascii="_x000B__x000C_" w:hAnsi="_x000B__x000C_"/>
      <w:sz w:val="24"/>
    </w:rPr>
  </w:style>
  <w:style w:type="character" w:customStyle="1" w:styleId="110">
    <w:name w:val="v151"/>
    <w:qFormat/>
    <w:uiPriority w:val="0"/>
    <w:rPr>
      <w:sz w:val="18"/>
    </w:rPr>
  </w:style>
  <w:style w:type="character" w:customStyle="1" w:styleId="111">
    <w:name w:val=" Char Char6"/>
    <w:qFormat/>
    <w:uiPriority w:val="0"/>
    <w:rPr>
      <w:rFonts w:ascii="仿宋_GB2312" w:eastAsia="仿宋_GB2312"/>
      <w:kern w:val="2"/>
      <w:sz w:val="32"/>
    </w:rPr>
  </w:style>
  <w:style w:type="character" w:customStyle="1" w:styleId="112">
    <w:name w:val="未命名11"/>
    <w:qFormat/>
    <w:uiPriority w:val="0"/>
    <w:rPr>
      <w:color w:val="77FFFF"/>
      <w:sz w:val="24"/>
    </w:rPr>
  </w:style>
  <w:style w:type="paragraph" w:customStyle="1" w:styleId="113">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14">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15">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116">
    <w:name w:val="Table Text"/>
    <w:qFormat/>
    <w:uiPriority w:val="0"/>
    <w:pPr>
      <w:snapToGrid w:val="0"/>
      <w:spacing w:before="80" w:after="80"/>
    </w:pPr>
    <w:rPr>
      <w:rFonts w:ascii="Arial" w:hAnsi="Arial" w:eastAsia="宋体" w:cs="Times New Roman"/>
      <w:kern w:val="2"/>
      <w:sz w:val="18"/>
      <w:lang w:val="en-US" w:eastAsia="zh-CN" w:bidi="ar-SA"/>
    </w:rPr>
  </w:style>
  <w:style w:type="paragraph" w:customStyle="1" w:styleId="117">
    <w:name w:val="IN Feature"/>
    <w:next w:val="118"/>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18">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119">
    <w:name w:val="二级列表"/>
    <w:basedOn w:val="120"/>
    <w:next w:val="120"/>
    <w:qFormat/>
    <w:uiPriority w:val="0"/>
    <w:pPr>
      <w:tabs>
        <w:tab w:val="left" w:pos="2120"/>
      </w:tabs>
      <w:ind w:firstLine="0" w:firstLineChars="0"/>
    </w:pPr>
    <w:rPr>
      <w:b/>
    </w:rPr>
  </w:style>
  <w:style w:type="paragraph" w:customStyle="1" w:styleId="120">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21">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22">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123">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124">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25">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126">
    <w:name w:val="样式3"/>
    <w:basedOn w:val="4"/>
    <w:next w:val="4"/>
    <w:qFormat/>
    <w:uiPriority w:val="0"/>
    <w:pPr>
      <w:keepLines/>
      <w:tabs>
        <w:tab w:val="clear" w:pos="3360"/>
      </w:tabs>
      <w:adjustRightInd w:val="0"/>
      <w:spacing w:before="340" w:beforeLines="0" w:beforeAutospacing="0" w:after="330" w:afterLines="0" w:afterAutospacing="0" w:line="576" w:lineRule="auto"/>
      <w:jc w:val="both"/>
    </w:pPr>
    <w:rPr>
      <w:b/>
      <w:kern w:val="44"/>
    </w:rPr>
  </w:style>
  <w:style w:type="paragraph" w:customStyle="1" w:styleId="127">
    <w:name w:val="样式1xz"/>
    <w:basedOn w:val="1"/>
    <w:qFormat/>
    <w:uiPriority w:val="0"/>
    <w:pPr>
      <w:tabs>
        <w:tab w:val="left" w:pos="1050"/>
        <w:tab w:val="right" w:leader="dot" w:pos="8296"/>
      </w:tabs>
    </w:pPr>
    <w:rPr>
      <w:caps/>
      <w:spacing w:val="20"/>
      <w:sz w:val="24"/>
    </w:rPr>
  </w:style>
  <w:style w:type="paragraph" w:customStyle="1" w:styleId="128">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129">
    <w:name w:val="Body Text Indent 2"/>
    <w:basedOn w:val="1"/>
    <w:qFormat/>
    <w:uiPriority w:val="0"/>
    <w:pPr>
      <w:adjustRightInd w:val="0"/>
      <w:spacing w:before="120" w:beforeLines="0" w:beforeAutospacing="0"/>
      <w:ind w:firstLine="420"/>
      <w:textAlignment w:val="baseline"/>
    </w:pPr>
    <w:rPr>
      <w:sz w:val="24"/>
    </w:rPr>
  </w:style>
  <w:style w:type="paragraph" w:customStyle="1" w:styleId="130">
    <w:name w:val="1"/>
    <w:basedOn w:val="1"/>
    <w:qFormat/>
    <w:uiPriority w:val="0"/>
    <w:rPr>
      <w:rFonts w:ascii="Tahoma" w:hAnsi="Tahoma"/>
      <w:sz w:val="24"/>
    </w:rPr>
  </w:style>
  <w:style w:type="paragraph" w:customStyle="1" w:styleId="131">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32">
    <w:name w:val="编号正文"/>
    <w:basedOn w:val="124"/>
    <w:qFormat/>
    <w:uiPriority w:val="0"/>
    <w:pPr>
      <w:snapToGrid/>
      <w:spacing w:line="360" w:lineRule="auto"/>
      <w:ind w:left="1407" w:hanging="1047"/>
      <w:jc w:val="left"/>
    </w:pPr>
    <w:rPr>
      <w:rFonts w:eastAsia="仿宋_GB2312"/>
    </w:rPr>
  </w:style>
  <w:style w:type="paragraph" w:customStyle="1" w:styleId="133">
    <w:name w:val="Style Heading 3h3Heading 3 - oldLevel 3 HeadH3level_3PIM 3se..."/>
    <w:basedOn w:val="6"/>
    <w:qFormat/>
    <w:uiPriority w:val="0"/>
    <w:pPr>
      <w:numPr>
        <w:ilvl w:val="2"/>
        <w:numId w:val="7"/>
      </w:numPr>
      <w:jc w:val="both"/>
    </w:pPr>
    <w:rPr>
      <w:sz w:val="32"/>
    </w:rPr>
  </w:style>
  <w:style w:type="paragraph" w:customStyle="1" w:styleId="134">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35">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136">
    <w:name w:val="样式 正文首行缩进 2 + 首行缩进:  2 字符"/>
    <w:basedOn w:val="1"/>
    <w:qFormat/>
    <w:uiPriority w:val="0"/>
    <w:pPr>
      <w:numPr>
        <w:ilvl w:val="0"/>
        <w:numId w:val="8"/>
      </w:numPr>
      <w:adjustRightInd w:val="0"/>
      <w:snapToGrid w:val="0"/>
      <w:spacing w:line="360" w:lineRule="auto"/>
    </w:pPr>
    <w:rPr>
      <w:rFonts w:ascii="Arial" w:hAnsi="Arial"/>
      <w:b/>
      <w:sz w:val="24"/>
    </w:rPr>
  </w:style>
  <w:style w:type="paragraph" w:customStyle="1" w:styleId="137">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customStyle="1" w:styleId="138">
    <w:name w:val="表头文本"/>
    <w:qFormat/>
    <w:uiPriority w:val="0"/>
    <w:pPr>
      <w:jc w:val="center"/>
    </w:pPr>
    <w:rPr>
      <w:rFonts w:ascii="Arial" w:hAnsi="Arial" w:eastAsia="宋体" w:cs="Times New Roman"/>
      <w:b/>
      <w:sz w:val="21"/>
      <w:lang w:val="en-US" w:eastAsia="zh-CN" w:bidi="ar-SA"/>
    </w:rPr>
  </w:style>
  <w:style w:type="paragraph" w:customStyle="1" w:styleId="139">
    <w:name w:val="Char Char Char Char Char Char Char"/>
    <w:basedOn w:val="19"/>
    <w:qFormat/>
    <w:uiPriority w:val="0"/>
    <w:rPr>
      <w:rFonts w:ascii="宋体" w:hAnsi="Tahoma"/>
    </w:rPr>
  </w:style>
  <w:style w:type="paragraph" w:customStyle="1" w:styleId="140">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41">
    <w:name w:val="_"/>
    <w:basedOn w:val="1"/>
    <w:qFormat/>
    <w:uiPriority w:val="0"/>
    <w:pPr>
      <w:adjustRightInd w:val="0"/>
      <w:spacing w:line="360" w:lineRule="auto"/>
      <w:ind w:left="480" w:firstLine="200" w:firstLineChars="200"/>
      <w:textAlignment w:val="baseline"/>
    </w:pPr>
    <w:rPr>
      <w:kern w:val="0"/>
      <w:sz w:val="24"/>
    </w:rPr>
  </w:style>
  <w:style w:type="paragraph" w:customStyle="1" w:styleId="142">
    <w:name w:val="默认段落字体 Para Char Char Char Char Char Char Char"/>
    <w:basedOn w:val="1"/>
    <w:qFormat/>
    <w:uiPriority w:val="0"/>
    <w:rPr>
      <w:rFonts w:ascii="Tahoma" w:hAnsi="Tahoma"/>
      <w:sz w:val="24"/>
    </w:rPr>
  </w:style>
  <w:style w:type="paragraph" w:customStyle="1" w:styleId="143">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44">
    <w:name w:val="正文表格"/>
    <w:basedOn w:val="1"/>
    <w:qFormat/>
    <w:uiPriority w:val="0"/>
    <w:pPr>
      <w:adjustRightInd w:val="0"/>
      <w:spacing w:before="40" w:beforeLines="0" w:beforeAutospacing="0" w:after="40" w:afterLines="0" w:afterAutospacing="0"/>
    </w:pPr>
    <w:rPr>
      <w:sz w:val="24"/>
    </w:rPr>
  </w:style>
  <w:style w:type="paragraph" w:customStyle="1" w:styleId="145">
    <w:name w:val="表头样式"/>
    <w:basedOn w:val="1"/>
    <w:qFormat/>
    <w:uiPriority w:val="0"/>
    <w:pPr>
      <w:autoSpaceDE w:val="0"/>
      <w:autoSpaceDN w:val="0"/>
      <w:adjustRightInd w:val="0"/>
      <w:spacing w:line="360" w:lineRule="auto"/>
      <w:jc w:val="left"/>
    </w:pPr>
    <w:rPr>
      <w:b/>
      <w:kern w:val="0"/>
      <w:sz w:val="21"/>
    </w:rPr>
  </w:style>
  <w:style w:type="paragraph" w:customStyle="1" w:styleId="146">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47">
    <w:name w:val="Table Contents"/>
    <w:basedOn w:val="2"/>
    <w:qFormat/>
    <w:uiPriority w:val="0"/>
    <w:pPr>
      <w:suppressAutoHyphens/>
      <w:jc w:val="left"/>
    </w:pPr>
    <w:rPr>
      <w:rFonts w:ascii="Times New Roman" w:eastAsia="Times New Roman"/>
      <w:kern w:val="0"/>
      <w:sz w:val="24"/>
    </w:rPr>
  </w:style>
  <w:style w:type="paragraph" w:customStyle="1" w:styleId="148">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49">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150">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51">
    <w:name w:val="首行缩进"/>
    <w:basedOn w:val="1"/>
    <w:qFormat/>
    <w:uiPriority w:val="0"/>
    <w:pPr>
      <w:spacing w:line="360" w:lineRule="auto"/>
      <w:ind w:firstLine="420" w:firstLineChars="200"/>
    </w:pPr>
    <w:rPr>
      <w:sz w:val="21"/>
    </w:rPr>
  </w:style>
  <w:style w:type="paragraph" w:customStyle="1" w:styleId="152">
    <w:name w:val=" Char Char Char Char Char Char Char"/>
    <w:basedOn w:val="1"/>
    <w:qFormat/>
    <w:uiPriority w:val="0"/>
    <w:pPr>
      <w:widowControl/>
      <w:spacing w:after="160" w:afterLines="0" w:line="240" w:lineRule="exact"/>
      <w:jc w:val="left"/>
    </w:pPr>
    <w:rPr>
      <w:rFonts w:ascii="Verdana" w:hAnsi="Verdana" w:eastAsia="仿宋_GB2312"/>
      <w:kern w:val="0"/>
      <w:sz w:val="24"/>
      <w:lang w:eastAsia="en-US"/>
    </w:rPr>
  </w:style>
  <w:style w:type="paragraph" w:customStyle="1" w:styleId="153">
    <w:name w:val="Note"/>
    <w:basedOn w:val="1"/>
    <w:qFormat/>
    <w:uiPriority w:val="0"/>
    <w:pPr>
      <w:pBdr>
        <w:top w:val="single" w:color="auto" w:sz="12" w:space="3"/>
        <w:bottom w:val="single" w:color="auto" w:sz="12" w:space="3"/>
      </w:pBdr>
      <w:spacing w:line="360" w:lineRule="auto"/>
    </w:pPr>
    <w:rPr>
      <w:sz w:val="24"/>
    </w:rPr>
  </w:style>
  <w:style w:type="paragraph" w:customStyle="1" w:styleId="154">
    <w:name w:val="内容标题"/>
    <w:basedOn w:val="19"/>
    <w:qFormat/>
    <w:uiPriority w:val="0"/>
    <w:rPr>
      <w:rFonts w:ascii="Tahoma" w:hAnsi="Tahoma"/>
      <w:sz w:val="24"/>
    </w:rPr>
  </w:style>
  <w:style w:type="paragraph" w:customStyle="1" w:styleId="155">
    <w:name w:val="表文字"/>
    <w:qFormat/>
    <w:uiPriority w:val="0"/>
    <w:rPr>
      <w:rFonts w:ascii="宋体" w:hAnsi="Times New Roman" w:eastAsia="宋体" w:cs="Times New Roman"/>
      <w:kern w:val="2"/>
      <w:lang w:val="en-US" w:eastAsia="zh-CN" w:bidi="ar-SA"/>
    </w:rPr>
  </w:style>
  <w:style w:type="paragraph" w:customStyle="1" w:styleId="156">
    <w:name w:val="附录3"/>
    <w:basedOn w:val="1"/>
    <w:next w:val="1"/>
    <w:qFormat/>
    <w:uiPriority w:val="0"/>
    <w:pPr>
      <w:numPr>
        <w:ilvl w:val="2"/>
        <w:numId w:val="0"/>
      </w:numPr>
      <w:tabs>
        <w:tab w:val="left" w:pos="851"/>
      </w:tabs>
      <w:ind w:left="425" w:hanging="425"/>
      <w:outlineLvl w:val="2"/>
    </w:pPr>
    <w:rPr>
      <w:rFonts w:eastAsia="黑体"/>
      <w:b/>
      <w:sz w:val="32"/>
    </w:rPr>
  </w:style>
  <w:style w:type="paragraph" w:customStyle="1" w:styleId="157">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58">
    <w:name w:val="Char1 Char Char Char"/>
    <w:basedOn w:val="1"/>
    <w:qFormat/>
    <w:uiPriority w:val="0"/>
    <w:rPr>
      <w:rFonts w:ascii="Tahoma" w:hAnsi="Tahoma"/>
      <w:sz w:val="21"/>
    </w:rPr>
  </w:style>
  <w:style w:type="paragraph" w:customStyle="1" w:styleId="159">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160">
    <w:name w:val="正文（首行不缩进）"/>
    <w:basedOn w:val="1"/>
    <w:qFormat/>
    <w:uiPriority w:val="0"/>
    <w:pPr>
      <w:autoSpaceDE w:val="0"/>
      <w:autoSpaceDN w:val="0"/>
      <w:adjustRightInd w:val="0"/>
      <w:spacing w:line="360" w:lineRule="auto"/>
      <w:jc w:val="left"/>
    </w:pPr>
    <w:rPr>
      <w:kern w:val="0"/>
      <w:sz w:val="21"/>
    </w:rPr>
  </w:style>
  <w:style w:type="paragraph" w:customStyle="1" w:styleId="161">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6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63">
    <w:name w:val="Item Step in Table"/>
    <w:qFormat/>
    <w:uiPriority w:val="0"/>
    <w:pPr>
      <w:numPr>
        <w:ilvl w:val="0"/>
        <w:numId w:val="9"/>
      </w:numPr>
      <w:spacing w:before="40" w:after="40"/>
      <w:jc w:val="both"/>
    </w:pPr>
    <w:rPr>
      <w:rFonts w:ascii="Arial" w:hAnsi="Arial" w:eastAsia="宋体" w:cs="Times New Roman"/>
      <w:sz w:val="18"/>
      <w:lang w:val="en-US" w:eastAsia="zh-CN" w:bidi="ar-SA"/>
    </w:rPr>
  </w:style>
  <w:style w:type="paragraph" w:customStyle="1" w:styleId="164">
    <w:name w:val=" Char1"/>
    <w:basedOn w:val="1"/>
    <w:qFormat/>
    <w:uiPriority w:val="0"/>
    <w:rPr>
      <w:sz w:val="21"/>
    </w:rPr>
  </w:style>
  <w:style w:type="paragraph" w:customStyle="1" w:styleId="165">
    <w:name w:val="Char"/>
    <w:basedOn w:val="1"/>
    <w:qFormat/>
    <w:uiPriority w:val="0"/>
    <w:pPr>
      <w:widowControl/>
      <w:spacing w:line="400" w:lineRule="exact"/>
      <w:jc w:val="center"/>
    </w:pPr>
    <w:rPr>
      <w:sz w:val="24"/>
    </w:rPr>
  </w:style>
  <w:style w:type="paragraph" w:customStyle="1" w:styleId="166">
    <w:name w:val="标书正文1"/>
    <w:basedOn w:val="1"/>
    <w:qFormat/>
    <w:uiPriority w:val="99"/>
    <w:pPr>
      <w:spacing w:line="520" w:lineRule="exact"/>
      <w:ind w:firstLine="640" w:firstLineChars="200"/>
    </w:pPr>
    <w:rPr>
      <w:sz w:val="21"/>
      <w:szCs w:val="24"/>
    </w:rPr>
  </w:style>
  <w:style w:type="paragraph" w:customStyle="1" w:styleId="167">
    <w:name w:val="默认段落字体 Para Char Char Char Char Char Char Char Char Char1 Char Char Char Char"/>
    <w:basedOn w:val="1"/>
    <w:qFormat/>
    <w:uiPriority w:val="0"/>
    <w:rPr>
      <w:rFonts w:ascii="Tahoma" w:hAnsi="Tahoma"/>
      <w:sz w:val="24"/>
    </w:rPr>
  </w:style>
  <w:style w:type="paragraph" w:customStyle="1" w:styleId="168">
    <w:name w:val="标题无"/>
    <w:basedOn w:val="1"/>
    <w:qFormat/>
    <w:uiPriority w:val="0"/>
    <w:pPr>
      <w:spacing w:line="360" w:lineRule="auto"/>
    </w:pPr>
    <w:rPr>
      <w:sz w:val="24"/>
    </w:rPr>
  </w:style>
  <w:style w:type="paragraph" w:customStyle="1" w:styleId="169">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70">
    <w:name w:val="标题3——2"/>
    <w:basedOn w:val="6"/>
    <w:next w:val="55"/>
    <w:qFormat/>
    <w:uiPriority w:val="0"/>
    <w:pPr>
      <w:tabs>
        <w:tab w:val="left" w:pos="1280"/>
        <w:tab w:val="right" w:leader="dot" w:pos="8777"/>
      </w:tabs>
      <w:spacing w:before="312" w:beforeLines="100" w:beforeAutospacing="0" w:after="0" w:afterLines="0" w:afterAutospacing="0" w:line="240" w:lineRule="auto"/>
      <w:ind w:left="851" w:hanging="851"/>
      <w:jc w:val="both"/>
      <w:outlineLvl w:val="9"/>
    </w:pPr>
    <w:rPr>
      <w:rFonts w:ascii="黑体" w:hAnsi="宋体" w:eastAsia="黑体"/>
      <w:sz w:val="30"/>
    </w:rPr>
  </w:style>
  <w:style w:type="paragraph" w:customStyle="1" w:styleId="17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72">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173">
    <w:name w:val="关键词"/>
    <w:basedOn w:val="1"/>
    <w:next w:val="1"/>
    <w:qFormat/>
    <w:uiPriority w:val="0"/>
    <w:pPr>
      <w:spacing w:line="360" w:lineRule="auto"/>
    </w:pPr>
    <w:rPr>
      <w:rFonts w:eastAsia="黑体"/>
      <w:sz w:val="20"/>
    </w:rPr>
  </w:style>
  <w:style w:type="paragraph" w:customStyle="1" w:styleId="174">
    <w:name w:val="标书正文:  0.74 厘米"/>
    <w:basedOn w:val="1"/>
    <w:qFormat/>
    <w:uiPriority w:val="0"/>
    <w:pPr>
      <w:snapToGrid w:val="0"/>
      <w:spacing w:line="360" w:lineRule="auto"/>
      <w:ind w:firstLine="420"/>
    </w:pPr>
    <w:rPr>
      <w:rFonts w:eastAsia="宋体"/>
      <w:kern w:val="2"/>
      <w:sz w:val="24"/>
      <w:lang w:val="en-US" w:eastAsia="zh-CN"/>
    </w:rPr>
  </w:style>
  <w:style w:type="paragraph" w:customStyle="1" w:styleId="175">
    <w:name w:val="列表项目"/>
    <w:basedOn w:val="1"/>
    <w:qFormat/>
    <w:uiPriority w:val="0"/>
    <w:pPr>
      <w:numPr>
        <w:ilvl w:val="0"/>
        <w:numId w:val="10"/>
      </w:numPr>
      <w:tabs>
        <w:tab w:val="left" w:pos="420"/>
        <w:tab w:val="clear" w:pos="980"/>
      </w:tabs>
      <w:spacing w:line="288" w:lineRule="auto"/>
      <w:ind w:left="840" w:leftChars="200" w:hanging="420" w:hangingChars="200"/>
    </w:pPr>
    <w:rPr>
      <w:sz w:val="21"/>
    </w:rPr>
  </w:style>
  <w:style w:type="paragraph" w:customStyle="1" w:styleId="176">
    <w:name w:val="样式 标题 1章标题Heading 0Section HeadPIM 1H1h11st levell11H1..."/>
    <w:basedOn w:val="4"/>
    <w:qFormat/>
    <w:uiPriority w:val="0"/>
    <w:pPr>
      <w:keepLines/>
      <w:pageBreakBefore/>
      <w:tabs>
        <w:tab w:val="left" w:pos="432"/>
        <w:tab w:val="clear" w:pos="3360"/>
      </w:tabs>
      <w:autoSpaceDE w:val="0"/>
      <w:autoSpaceDN w:val="0"/>
      <w:adjustRightInd w:val="0"/>
      <w:spacing w:before="340" w:beforeLines="0" w:beforeAutospacing="0" w:after="330" w:afterLines="0" w:afterAutospacing="0" w:line="578" w:lineRule="atLeast"/>
      <w:jc w:val="both"/>
      <w:textAlignment w:val="bottom"/>
    </w:pPr>
    <w:rPr>
      <w:rFonts w:ascii="宋体" w:hAnsi="宋体"/>
      <w:b/>
      <w:kern w:val="44"/>
      <w:sz w:val="36"/>
    </w:rPr>
  </w:style>
  <w:style w:type="paragraph" w:customStyle="1" w:styleId="177">
    <w:name w:val="样式 标题 6第五层条 + 三号 段前: 0.5 行"/>
    <w:basedOn w:val="9"/>
    <w:qFormat/>
    <w:uiPriority w:val="0"/>
    <w:pPr>
      <w:widowControl/>
      <w:numPr>
        <w:ilvl w:val="5"/>
        <w:numId w:val="0"/>
      </w:numPr>
      <w:adjustRightInd/>
      <w:snapToGrid/>
      <w:spacing w:before="156" w:beforeLines="50" w:beforeAutospacing="0"/>
      <w:ind w:left="1152" w:hanging="1152"/>
      <w:jc w:val="left"/>
    </w:pPr>
    <w:rPr>
      <w:snapToGrid w:val="0"/>
      <w:kern w:val="24"/>
      <w:sz w:val="28"/>
    </w:rPr>
  </w:style>
  <w:style w:type="paragraph" w:customStyle="1" w:styleId="178">
    <w:name w:val="bt"/>
    <w:basedOn w:val="1"/>
    <w:next w:val="2"/>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179">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80">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181">
    <w:name w:val="00"/>
    <w:basedOn w:val="1"/>
    <w:qFormat/>
    <w:uiPriority w:val="0"/>
    <w:pPr>
      <w:autoSpaceDE w:val="0"/>
      <w:autoSpaceDN w:val="0"/>
      <w:adjustRightInd w:val="0"/>
      <w:jc w:val="left"/>
    </w:pPr>
    <w:rPr>
      <w:rFonts w:ascii="黑体" w:eastAsia="黑体"/>
      <w:b/>
      <w:kern w:val="0"/>
      <w:sz w:val="20"/>
    </w:rPr>
  </w:style>
  <w:style w:type="paragraph" w:customStyle="1" w:styleId="182">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83">
    <w:name w:val="标准正文"/>
    <w:basedOn w:val="24"/>
    <w:qFormat/>
    <w:uiPriority w:val="0"/>
    <w:pPr>
      <w:spacing w:before="60" w:beforeLines="0" w:beforeAutospacing="0" w:after="60" w:afterLines="0" w:afterAutospacing="0" w:line="360" w:lineRule="auto"/>
      <w:ind w:left="0" w:firstLine="482"/>
    </w:pPr>
    <w:rPr>
      <w:rFonts w:ascii="Arial" w:hAnsi="Arial"/>
      <w:sz w:val="24"/>
    </w:rPr>
  </w:style>
  <w:style w:type="paragraph" w:customStyle="1" w:styleId="184">
    <w:name w:val="章标题"/>
    <w:next w:val="1"/>
    <w:qFormat/>
    <w:uiPriority w:val="0"/>
    <w:pPr>
      <w:numPr>
        <w:ilvl w:val="1"/>
        <w:numId w:val="12"/>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85">
    <w:name w:val="样式4"/>
    <w:basedOn w:val="7"/>
    <w:qFormat/>
    <w:uiPriority w:val="0"/>
    <w:pPr>
      <w:numPr>
        <w:ilvl w:val="0"/>
        <w:numId w:val="0"/>
      </w:numPr>
      <w:adjustRightInd w:val="0"/>
      <w:snapToGrid w:val="0"/>
      <w:spacing w:before="280" w:beforeLines="0" w:beforeAutospacing="0" w:line="372" w:lineRule="auto"/>
    </w:pPr>
  </w:style>
  <w:style w:type="paragraph" w:customStyle="1" w:styleId="186">
    <w:name w:val="CSS1级正文 Char"/>
    <w:basedOn w:val="2"/>
    <w:qFormat/>
    <w:uiPriority w:val="0"/>
    <w:pPr>
      <w:adjustRightInd w:val="0"/>
      <w:snapToGrid w:val="0"/>
      <w:spacing w:line="360" w:lineRule="auto"/>
      <w:ind w:firstLine="480"/>
    </w:pPr>
    <w:rPr>
      <w:rFonts w:ascii="Times New Roman" w:eastAsia="宋体"/>
      <w:sz w:val="24"/>
    </w:rPr>
  </w:style>
  <w:style w:type="paragraph" w:customStyle="1" w:styleId="187">
    <w:name w:val="1.正文"/>
    <w:basedOn w:val="1"/>
    <w:qFormat/>
    <w:uiPriority w:val="0"/>
    <w:pPr>
      <w:spacing w:line="360" w:lineRule="auto"/>
      <w:ind w:left="540" w:leftChars="225" w:firstLine="540" w:firstLineChars="225"/>
    </w:pPr>
    <w:rPr>
      <w:sz w:val="24"/>
    </w:rPr>
  </w:style>
  <w:style w:type="paragraph" w:customStyle="1" w:styleId="188">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189">
    <w:name w:val="样式2"/>
    <w:basedOn w:val="7"/>
    <w:qFormat/>
    <w:uiPriority w:val="0"/>
    <w:pPr>
      <w:numPr>
        <w:ilvl w:val="0"/>
        <w:numId w:val="13"/>
      </w:numPr>
      <w:spacing w:line="400" w:lineRule="exact"/>
      <w:jc w:val="center"/>
      <w:outlineLvl w:val="0"/>
    </w:pPr>
    <w:rPr>
      <w:b w:val="0"/>
      <w:sz w:val="44"/>
    </w:rPr>
  </w:style>
  <w:style w:type="paragraph" w:customStyle="1" w:styleId="190">
    <w:name w:val="文本1"/>
    <w:basedOn w:val="1"/>
    <w:qFormat/>
    <w:uiPriority w:val="0"/>
    <w:pPr>
      <w:adjustRightInd w:val="0"/>
      <w:spacing w:line="312" w:lineRule="atLeast"/>
      <w:jc w:val="center"/>
      <w:textAlignment w:val="baseline"/>
    </w:pPr>
    <w:rPr>
      <w:kern w:val="0"/>
      <w:sz w:val="18"/>
    </w:rPr>
  </w:style>
  <w:style w:type="paragraph" w:customStyle="1" w:styleId="191">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92">
    <w:name w:val=" Char1 Char Char Char"/>
    <w:basedOn w:val="1"/>
    <w:qFormat/>
    <w:uiPriority w:val="0"/>
    <w:rPr>
      <w:rFonts w:ascii="Tahoma" w:hAnsi="Tahoma"/>
      <w:sz w:val="24"/>
    </w:rPr>
  </w:style>
  <w:style w:type="paragraph" w:customStyle="1" w:styleId="193">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94">
    <w:name w:val=" Char Char1 Char"/>
    <w:basedOn w:val="1"/>
    <w:qFormat/>
    <w:uiPriority w:val="0"/>
    <w:rPr>
      <w:rFonts w:ascii="Tahoma" w:hAnsi="Tahoma"/>
      <w:sz w:val="24"/>
      <w:szCs w:val="24"/>
    </w:rPr>
  </w:style>
  <w:style w:type="paragraph" w:customStyle="1" w:styleId="195">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96">
    <w:name w:val=" Char Char Char Char Char"/>
    <w:basedOn w:val="1"/>
    <w:qFormat/>
    <w:uiPriority w:val="0"/>
    <w:pPr>
      <w:numPr>
        <w:ilvl w:val="0"/>
        <w:numId w:val="7"/>
      </w:numPr>
    </w:pPr>
    <w:rPr>
      <w:rFonts w:ascii="Tahoma" w:hAnsi="Tahoma"/>
      <w:sz w:val="24"/>
    </w:rPr>
  </w:style>
  <w:style w:type="paragraph" w:customStyle="1" w:styleId="197">
    <w:name w:val="可研正文"/>
    <w:basedOn w:val="2"/>
    <w:qFormat/>
    <w:uiPriority w:val="0"/>
    <w:pPr>
      <w:adjustRightInd w:val="0"/>
      <w:snapToGrid w:val="0"/>
      <w:spacing w:line="440" w:lineRule="exact"/>
      <w:ind w:firstLine="567"/>
    </w:pPr>
    <w:rPr>
      <w:sz w:val="28"/>
    </w:rPr>
  </w:style>
  <w:style w:type="paragraph" w:customStyle="1" w:styleId="198">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199">
    <w:name w:val="图片文字"/>
    <w:basedOn w:val="1"/>
    <w:qFormat/>
    <w:uiPriority w:val="0"/>
    <w:pPr>
      <w:spacing w:line="240" w:lineRule="atLeast"/>
      <w:jc w:val="center"/>
    </w:pPr>
    <w:rPr>
      <w:sz w:val="21"/>
    </w:rPr>
  </w:style>
  <w:style w:type="paragraph" w:customStyle="1" w:styleId="200">
    <w:name w:val="_Style 199"/>
    <w:qFormat/>
    <w:uiPriority w:val="0"/>
    <w:rPr>
      <w:rFonts w:ascii="Times New Roman" w:hAnsi="Times New Roman" w:eastAsia="宋体" w:cs="Times New Roman"/>
      <w:kern w:val="2"/>
      <w:sz w:val="21"/>
      <w:lang w:val="en-US" w:eastAsia="zh-CN" w:bidi="ar-SA"/>
    </w:rPr>
  </w:style>
  <w:style w:type="paragraph" w:customStyle="1" w:styleId="201">
    <w:name w:val="Title - Date"/>
    <w:basedOn w:val="53"/>
    <w:next w:val="1"/>
    <w:qFormat/>
    <w:uiPriority w:val="0"/>
    <w:pPr>
      <w:spacing w:before="240" w:beforeLines="0" w:beforeAutospacing="0" w:after="720" w:afterLines="0" w:afterAutospacing="0"/>
    </w:pPr>
    <w:rPr>
      <w:sz w:val="28"/>
    </w:rPr>
  </w:style>
  <w:style w:type="paragraph" w:customStyle="1" w:styleId="202">
    <w:name w:val=" Char"/>
    <w:basedOn w:val="1"/>
    <w:qFormat/>
    <w:uiPriority w:val="0"/>
    <w:pPr>
      <w:spacing w:line="240" w:lineRule="atLeast"/>
      <w:ind w:left="420" w:firstLine="420"/>
    </w:pPr>
    <w:rPr>
      <w:kern w:val="0"/>
      <w:sz w:val="21"/>
    </w:rPr>
  </w:style>
  <w:style w:type="paragraph" w:customStyle="1" w:styleId="203">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204">
    <w:name w:val="操作步骤"/>
    <w:basedOn w:val="1"/>
    <w:qFormat/>
    <w:uiPriority w:val="0"/>
    <w:pPr>
      <w:numPr>
        <w:ilvl w:val="0"/>
        <w:numId w:val="14"/>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05">
    <w:name w:val="样式 首行缩进:  0.74 厘米"/>
    <w:basedOn w:val="1"/>
    <w:qFormat/>
    <w:uiPriority w:val="0"/>
    <w:pPr>
      <w:spacing w:line="360" w:lineRule="auto"/>
      <w:ind w:firstLine="420"/>
    </w:pPr>
    <w:rPr>
      <w:sz w:val="24"/>
    </w:rPr>
  </w:style>
  <w:style w:type="paragraph" w:customStyle="1" w:styleId="206">
    <w:name w:val="标题2"/>
    <w:basedOn w:val="5"/>
    <w:qFormat/>
    <w:uiPriority w:val="0"/>
    <w:pPr>
      <w:keepNext w:val="0"/>
      <w:keepLines w:val="0"/>
      <w:snapToGrid w:val="0"/>
      <w:spacing w:before="0" w:beforeLines="0" w:beforeAutospacing="0" w:after="0" w:afterLines="0" w:afterAutospacing="0"/>
      <w:ind w:firstLine="574" w:firstLineChars="196"/>
      <w:outlineLvl w:val="9"/>
    </w:pPr>
    <w:rPr>
      <w:b/>
      <w:spacing w:val="6"/>
      <w:u w:val="single"/>
    </w:rPr>
  </w:style>
  <w:style w:type="paragraph" w:customStyle="1" w:styleId="207">
    <w:name w:val=" Char Char 字元 字元 字元 Char Char Char Char"/>
    <w:basedOn w:val="1"/>
    <w:qFormat/>
    <w:uiPriority w:val="0"/>
    <w:pPr>
      <w:adjustRightInd w:val="0"/>
      <w:spacing w:line="360" w:lineRule="auto"/>
    </w:pPr>
    <w:rPr>
      <w:kern w:val="0"/>
      <w:sz w:val="24"/>
    </w:rPr>
  </w:style>
  <w:style w:type="paragraph" w:customStyle="1" w:styleId="208">
    <w:name w:val="样式 标题 1 + 居中 段前: 6 磅 段后: 6 磅 行距: 1.5 倍行距"/>
    <w:basedOn w:val="4"/>
    <w:qFormat/>
    <w:uiPriority w:val="0"/>
    <w:pPr>
      <w:keepLines/>
      <w:tabs>
        <w:tab w:val="clear" w:pos="3360"/>
      </w:tabs>
      <w:adjustRightInd w:val="0"/>
      <w:spacing w:before="120" w:beforeLines="0" w:beforeAutospacing="0" w:line="360" w:lineRule="auto"/>
    </w:pPr>
    <w:rPr>
      <w:rFonts w:eastAsia="宋体"/>
      <w:b/>
      <w:kern w:val="44"/>
      <w:sz w:val="32"/>
    </w:rPr>
  </w:style>
  <w:style w:type="paragraph" w:customStyle="1" w:styleId="209">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0">
    <w:name w:val="样式 行距: 1.5 倍行距1"/>
    <w:basedOn w:val="1"/>
    <w:qFormat/>
    <w:uiPriority w:val="0"/>
    <w:pPr>
      <w:snapToGrid w:val="0"/>
    </w:pPr>
    <w:rPr>
      <w:sz w:val="21"/>
    </w:rPr>
  </w:style>
  <w:style w:type="paragraph" w:customStyle="1" w:styleId="211">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12">
    <w:name w:val="文章正文"/>
    <w:basedOn w:val="1"/>
    <w:qFormat/>
    <w:uiPriority w:val="0"/>
    <w:pPr>
      <w:ind w:firstLine="560" w:firstLineChars="200"/>
    </w:pPr>
    <w:rPr>
      <w:rFonts w:ascii="仿宋_GB2312" w:hAnsi="宋体" w:eastAsia="仿宋_GB2312"/>
      <w:color w:val="000000"/>
    </w:rPr>
  </w:style>
  <w:style w:type="paragraph" w:customStyle="1" w:styleId="213">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14">
    <w:name w:val="摘要"/>
    <w:basedOn w:val="1"/>
    <w:next w:val="5"/>
    <w:qFormat/>
    <w:uiPriority w:val="0"/>
    <w:pPr>
      <w:spacing w:line="360" w:lineRule="auto"/>
    </w:pPr>
    <w:rPr>
      <w:rFonts w:eastAsia="黑体"/>
      <w:sz w:val="20"/>
    </w:rPr>
  </w:style>
  <w:style w:type="paragraph" w:customStyle="1" w:styleId="215">
    <w:name w:val="样式1"/>
    <w:basedOn w:val="7"/>
    <w:qFormat/>
    <w:uiPriority w:val="0"/>
    <w:pPr>
      <w:spacing w:before="500" w:beforeLines="0" w:after="260" w:afterLines="0" w:line="560" w:lineRule="atLeast"/>
    </w:pPr>
  </w:style>
  <w:style w:type="paragraph" w:customStyle="1" w:styleId="216">
    <w:name w:val="正文1"/>
    <w:basedOn w:val="1"/>
    <w:qFormat/>
    <w:uiPriority w:val="0"/>
    <w:pPr>
      <w:spacing w:line="300" w:lineRule="auto"/>
      <w:ind w:firstLine="200" w:firstLineChars="200"/>
    </w:pPr>
    <w:rPr>
      <w:sz w:val="24"/>
    </w:rPr>
  </w:style>
  <w:style w:type="paragraph" w:customStyle="1" w:styleId="217">
    <w:name w:val="表格文本"/>
    <w:qFormat/>
    <w:uiPriority w:val="0"/>
    <w:pPr>
      <w:tabs>
        <w:tab w:val="decimal" w:pos="0"/>
      </w:tabs>
    </w:pPr>
    <w:rPr>
      <w:rFonts w:ascii="Arial" w:hAnsi="Arial" w:eastAsia="宋体" w:cs="Times New Roman"/>
      <w:sz w:val="21"/>
      <w:lang w:val="en-US" w:eastAsia="zh-CN" w:bidi="ar-SA"/>
    </w:rPr>
  </w:style>
  <w:style w:type="paragraph" w:customStyle="1" w:styleId="218">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219">
    <w:name w:val="表号"/>
    <w:basedOn w:val="1"/>
    <w:qFormat/>
    <w:uiPriority w:val="0"/>
    <w:pPr>
      <w:numPr>
        <w:ilvl w:val="0"/>
        <w:numId w:val="15"/>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220">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221">
    <w:name w:val="Title - Revision"/>
    <w:basedOn w:val="53"/>
    <w:qFormat/>
    <w:uiPriority w:val="0"/>
    <w:pPr>
      <w:spacing w:before="720" w:beforeLines="0" w:beforeAutospacing="0"/>
    </w:pPr>
  </w:style>
  <w:style w:type="paragraph" w:customStyle="1" w:styleId="222">
    <w:name w:val="Char Char1 Char Char Char Char Char Char Char Char"/>
    <w:basedOn w:val="1"/>
    <w:qFormat/>
    <w:uiPriority w:val="0"/>
    <w:pPr>
      <w:widowControl/>
      <w:spacing w:after="160" w:afterLines="0" w:line="240" w:lineRule="exact"/>
      <w:jc w:val="left"/>
    </w:pPr>
    <w:rPr>
      <w:rFonts w:ascii="Verdana" w:hAnsi="Verdana"/>
      <w:kern w:val="0"/>
      <w:sz w:val="20"/>
      <w:lang w:eastAsia="en-US"/>
    </w:rPr>
  </w:style>
  <w:style w:type="paragraph" w:customStyle="1" w:styleId="223">
    <w:name w:val="样式 正文缩进正文（首行缩进两字）表正文正文非缩进特点标题4段1 + 首行缩进:  2 字符"/>
    <w:basedOn w:val="17"/>
    <w:qFormat/>
    <w:uiPriority w:val="0"/>
    <w:pPr>
      <w:ind w:firstLine="480" w:firstLineChars="200"/>
    </w:pPr>
  </w:style>
  <w:style w:type="paragraph" w:customStyle="1" w:styleId="224">
    <w:name w:val="简单回函地址"/>
    <w:basedOn w:val="1"/>
    <w:qFormat/>
    <w:uiPriority w:val="0"/>
    <w:pPr>
      <w:adjustRightInd w:val="0"/>
      <w:snapToGrid w:val="0"/>
      <w:spacing w:line="360" w:lineRule="auto"/>
    </w:pPr>
    <w:rPr>
      <w:sz w:val="24"/>
    </w:rPr>
  </w:style>
  <w:style w:type="paragraph" w:customStyle="1" w:styleId="225">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26">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27">
    <w:name w:val=" Char Char Char"/>
    <w:basedOn w:val="1"/>
    <w:qFormat/>
    <w:uiPriority w:val="0"/>
    <w:rPr>
      <w:rFonts w:ascii="Tahoma" w:hAnsi="Tahoma"/>
      <w:sz w:val="24"/>
    </w:rPr>
  </w:style>
  <w:style w:type="paragraph" w:customStyle="1" w:styleId="228">
    <w:name w:val="样式 宋体 五号 行距: 单倍行距"/>
    <w:basedOn w:val="1"/>
    <w:qFormat/>
    <w:uiPriority w:val="0"/>
    <w:pPr>
      <w:adjustRightInd w:val="0"/>
      <w:jc w:val="left"/>
    </w:pPr>
    <w:rPr>
      <w:rFonts w:ascii="宋体" w:hAnsi="宋体"/>
      <w:kern w:val="0"/>
      <w:sz w:val="21"/>
    </w:rPr>
  </w:style>
  <w:style w:type="paragraph" w:customStyle="1" w:styleId="229">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230">
    <w:name w:val="首行缩进 1"/>
    <w:basedOn w:val="1"/>
    <w:qFormat/>
    <w:uiPriority w:val="0"/>
    <w:pPr>
      <w:spacing w:after="120" w:afterLines="0" w:afterAutospacing="0" w:line="360" w:lineRule="auto"/>
      <w:ind w:firstLine="200" w:firstLineChars="200"/>
    </w:pPr>
    <w:rPr>
      <w:sz w:val="24"/>
    </w:rPr>
  </w:style>
  <w:style w:type="paragraph" w:customStyle="1" w:styleId="231">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32">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233">
    <w:name w:val="Table Text Char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234">
    <w:name w:val="表格内文字"/>
    <w:basedOn w:val="31"/>
    <w:qFormat/>
    <w:uiPriority w:val="0"/>
    <w:pPr>
      <w:snapToGrid/>
      <w:spacing w:line="240" w:lineRule="auto"/>
    </w:pPr>
    <w:rPr>
      <w:color w:val="000000"/>
      <w:lang w:val="en-GB"/>
    </w:rPr>
  </w:style>
  <w:style w:type="paragraph" w:customStyle="1" w:styleId="235">
    <w:name w:val="附录4"/>
    <w:basedOn w:val="1"/>
    <w:next w:val="1"/>
    <w:qFormat/>
    <w:uiPriority w:val="0"/>
    <w:pPr>
      <w:widowControl/>
      <w:numPr>
        <w:ilvl w:val="3"/>
        <w:numId w:val="0"/>
      </w:numPr>
      <w:tabs>
        <w:tab w:val="left" w:pos="1134"/>
      </w:tabs>
      <w:spacing w:line="300" w:lineRule="auto"/>
      <w:ind w:left="1361" w:hanging="1361"/>
      <w:outlineLvl w:val="3"/>
    </w:pPr>
    <w:rPr>
      <w:rFonts w:ascii="Arial" w:hAnsi="Arial" w:eastAsia="黑体"/>
      <w:kern w:val="0"/>
    </w:rPr>
  </w:style>
  <w:style w:type="paragraph" w:customStyle="1" w:styleId="236">
    <w:name w:val="正文 + 三号"/>
    <w:basedOn w:val="1"/>
    <w:qFormat/>
    <w:uiPriority w:val="0"/>
    <w:rPr>
      <w:rFonts w:eastAsia="宋体"/>
      <w:kern w:val="2"/>
      <w:sz w:val="21"/>
      <w:lang w:val="en-US" w:eastAsia="zh-CN"/>
    </w:rPr>
  </w:style>
  <w:style w:type="paragraph" w:customStyle="1" w:styleId="237">
    <w:name w:val="列出段落1"/>
    <w:basedOn w:val="1"/>
    <w:qFormat/>
    <w:uiPriority w:val="0"/>
    <w:pPr>
      <w:ind w:firstLine="420" w:firstLineChars="200"/>
    </w:pPr>
    <w:rPr>
      <w:szCs w:val="21"/>
    </w:rPr>
  </w:style>
  <w:style w:type="table" w:customStyle="1" w:styleId="238">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239">
    <w:name w:val="Body Char"/>
    <w:link w:val="240"/>
    <w:qFormat/>
    <w:locked/>
    <w:uiPriority w:val="0"/>
    <w:rPr>
      <w:rFonts w:ascii="方正仿宋_GBK" w:eastAsia="方正仿宋_GBK" w:cs="方正仿宋_GBK"/>
      <w:kern w:val="2"/>
      <w:sz w:val="32"/>
      <w:szCs w:val="32"/>
    </w:rPr>
  </w:style>
  <w:style w:type="paragraph" w:customStyle="1" w:styleId="240">
    <w:name w:val="Body"/>
    <w:basedOn w:val="1"/>
    <w:link w:val="239"/>
    <w:qFormat/>
    <w:uiPriority w:val="0"/>
    <w:pPr>
      <w:ind w:firstLine="640" w:firstLineChars="200"/>
    </w:pPr>
    <w:rPr>
      <w:rFonts w:ascii="方正仿宋_GBK" w:eastAsia="方正仿宋_GBK" w:cs="方正仿宋_GBK"/>
      <w:sz w:val="32"/>
      <w:szCs w:val="32"/>
    </w:rPr>
  </w:style>
  <w:style w:type="paragraph" w:customStyle="1" w:styleId="241">
    <w:name w:val="二级标题"/>
    <w:basedOn w:val="1"/>
    <w:next w:val="240"/>
    <w:qFormat/>
    <w:uiPriority w:val="0"/>
    <w:pPr>
      <w:ind w:firstLine="640" w:firstLineChars="200"/>
    </w:pPr>
    <w:rPr>
      <w:rFonts w:eastAsia="方正楷体_GBK" w:cs="方正楷体_GBK"/>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11849</Words>
  <Characters>12461</Characters>
  <Lines>261</Lines>
  <Paragraphs>73</Paragraphs>
  <TotalTime>12</TotalTime>
  <ScaleCrop>false</ScaleCrop>
  <LinksUpToDate>false</LinksUpToDate>
  <CharactersWithSpaces>12552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2023-07-28T23:07:00Z</dcterms:created>
  <dc:creator>杨勇</dc:creator>
  <cp:lastModifiedBy>%E5%90%B4%E4%BD%99</cp:lastModifiedBy>
  <cp:lastPrinted>2025-12-08T08:27:00Z</cp:lastPrinted>
  <dcterms:modified xsi:type="dcterms:W3CDTF">2025-12-08T10:00:57Z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8779ADFCD381446C83BC2B929E36B3E1_13</vt:lpwstr>
  </property>
  <property fmtid="{D5CDD505-2E9C-101B-9397-08002B2CF9AE}" pid="4" name="KSOTemplateDocerSaveRecord">
    <vt:lpwstr>eyJoZGlkIjoiNzRhNzI1ZGIyMmUyZTNlNzYwZDdjZTczNWMyNzQyMjIiLCJ1c2VySWQiOiIyNjgxMjU3MzgifQ==</vt:lpwstr>
  </property>
</Properties>
</file>