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cs="华文中宋"/>
          <w:b/>
          <w:szCs w:val="32"/>
        </w:rPr>
      </w:pPr>
      <w:bookmarkStart w:id="0" w:name="_GoBack"/>
      <w:bookmarkEnd w:id="0"/>
    </w:p>
    <w:p>
      <w:pPr>
        <w:spacing w:line="600" w:lineRule="exact"/>
        <w:ind w:firstLine="1320" w:firstLineChars="300"/>
        <w:jc w:val="both"/>
        <w:rPr>
          <w:rFonts w:hint="eastAsia" w:eastAsia="方正小标宋_GBK" w:cs="华文中宋"/>
          <w:sz w:val="44"/>
          <w:szCs w:val="44"/>
          <w:lang w:val="en-US" w:eastAsia="zh-CN"/>
        </w:rPr>
      </w:pPr>
      <w:r>
        <w:rPr>
          <w:rFonts w:hint="eastAsia" w:eastAsia="方正小标宋_GBK" w:cs="华文中宋"/>
          <w:sz w:val="44"/>
          <w:szCs w:val="44"/>
        </w:rPr>
        <w:t>重庆市九龙坡区</w:t>
      </w:r>
      <w:r>
        <w:rPr>
          <w:rFonts w:hint="eastAsia" w:eastAsia="方正小标宋_GBK" w:cs="华文中宋"/>
          <w:sz w:val="44"/>
          <w:szCs w:val="44"/>
          <w:lang w:eastAsia="zh-CN"/>
        </w:rPr>
        <w:t>机关综合事务中心</w:t>
      </w:r>
    </w:p>
    <w:p>
      <w:pPr>
        <w:spacing w:line="600" w:lineRule="exact"/>
        <w:ind w:firstLine="1760" w:firstLineChars="400"/>
        <w:jc w:val="both"/>
        <w:rPr>
          <w:rFonts w:hint="eastAsia" w:eastAsia="方正小标宋_GBK" w:cs="华文中宋"/>
          <w:sz w:val="44"/>
          <w:szCs w:val="44"/>
        </w:rPr>
      </w:pPr>
      <w:r>
        <w:rPr>
          <w:rFonts w:hint="eastAsia" w:eastAsia="方正小标宋_GBK" w:cs="华文中宋"/>
          <w:sz w:val="44"/>
          <w:szCs w:val="44"/>
        </w:rPr>
        <w:t>202</w:t>
      </w:r>
      <w:r>
        <w:rPr>
          <w:rFonts w:hint="eastAsia" w:eastAsia="方正小标宋_GBK" w:cs="华文中宋"/>
          <w:sz w:val="44"/>
          <w:szCs w:val="44"/>
          <w:lang w:val="en-US" w:eastAsia="zh-CN"/>
        </w:rPr>
        <w:t>6</w:t>
      </w:r>
      <w:r>
        <w:rPr>
          <w:rFonts w:hint="eastAsia" w:eastAsia="方正小标宋_GBK" w:cs="华文中宋"/>
          <w:sz w:val="44"/>
          <w:szCs w:val="44"/>
        </w:rPr>
        <w:t>年单位预算情况说明</w:t>
      </w:r>
    </w:p>
    <w:p>
      <w:pPr>
        <w:adjustRightInd w:val="0"/>
        <w:snapToGrid w:val="0"/>
        <w:spacing w:line="600" w:lineRule="exact"/>
        <w:ind w:firstLine="880" w:firstLineChars="200"/>
        <w:jc w:val="center"/>
        <w:rPr>
          <w:rFonts w:hint="eastAsia" w:eastAsia="华文中宋" w:cs="华文中宋"/>
          <w:sz w:val="44"/>
          <w:szCs w:val="44"/>
        </w:rPr>
      </w:pP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hint="eastAsia" w:cs="仿宋_GB2312"/>
        </w:rPr>
      </w:pPr>
      <w:r>
        <w:rPr>
          <w:rFonts w:hint="eastAsia" w:cs="仿宋_GB2312"/>
        </w:rPr>
        <w:t>（一）职能职责</w:t>
      </w:r>
    </w:p>
    <w:p>
      <w:pPr>
        <w:adjustRightInd w:val="0"/>
        <w:snapToGrid w:val="0"/>
        <w:spacing w:line="600" w:lineRule="exact"/>
        <w:ind w:firstLine="640" w:firstLineChars="200"/>
        <w:rPr>
          <w:rFonts w:hint="eastAsia"/>
          <w:szCs w:val="32"/>
          <w:lang w:val="en-US" w:eastAsia="zh-CN"/>
        </w:rPr>
      </w:pPr>
      <w:r>
        <w:rPr>
          <w:rFonts w:ascii="Times New Roman" w:hAnsi="Times New Roman"/>
          <w:kern w:val="0"/>
          <w:szCs w:val="32"/>
        </w:rPr>
        <w:t>重庆市</w:t>
      </w:r>
      <w:r>
        <w:rPr>
          <w:rFonts w:hint="eastAsia" w:ascii="Times New Roman" w:hAnsi="Times New Roman" w:eastAsia="方正仿宋_GBK" w:cs="Times New Roman"/>
          <w:kern w:val="0"/>
          <w:szCs w:val="32"/>
          <w:lang w:val="zh-CN"/>
        </w:rPr>
        <w:t>九龙坡区机关综合事务中心</w:t>
      </w:r>
      <w:r>
        <w:rPr>
          <w:rFonts w:hint="eastAsia"/>
          <w:kern w:val="0"/>
          <w:szCs w:val="32"/>
          <w:lang w:val="en-US" w:eastAsia="zh-CN"/>
        </w:rPr>
        <w:t>为九龙坡区机关事务局下属事业单位，</w:t>
      </w:r>
      <w:r>
        <w:rPr>
          <w:rFonts w:ascii="Times New Roman" w:hAnsi="Times New Roman"/>
          <w:kern w:val="0"/>
          <w:szCs w:val="32"/>
        </w:rPr>
        <w:t>主要职能职责：</w:t>
      </w:r>
      <w:r>
        <w:rPr>
          <w:rFonts w:hint="eastAsia" w:ascii="Times New Roman" w:hAnsi="Calibri" w:eastAsia="方正仿宋_GBK" w:cs="Times New Roman"/>
          <w:sz w:val="32"/>
          <w:szCs w:val="32"/>
        </w:rPr>
        <w:t>负责全区机关事务管理的具体事务性工作</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负责全区大型活动、重要会议以及公务接待的服务保障有关工作</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协助开展机关事业单位办公用房管理的事务性工作</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协助开展公务用车管理的事务性工作</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协助做好公共机构节能工作，开展能耗统计、监测和评价</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负责区级机关集中办公区域办公用房、公用设施等的维修、维护、更新等工作</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负责区级机关食堂、接待用房以及公共会议室的日常管理</w:t>
      </w:r>
      <w:r>
        <w:rPr>
          <w:rFonts w:hint="eastAsia" w:ascii="Times New Roman" w:hAnsi="Calibri" w:eastAsia="方正仿宋_GBK" w:cs="Times New Roman"/>
          <w:sz w:val="32"/>
          <w:szCs w:val="32"/>
          <w:lang w:eastAsia="zh-CN"/>
        </w:rPr>
        <w:t>；</w:t>
      </w:r>
      <w:r>
        <w:rPr>
          <w:rFonts w:hint="eastAsia" w:ascii="Times New Roman" w:hAnsi="Calibri" w:eastAsia="方正仿宋_GBK" w:cs="Times New Roman"/>
          <w:sz w:val="32"/>
          <w:szCs w:val="32"/>
        </w:rPr>
        <w:t>协助开展物业管理、安全保卫等工作。</w:t>
      </w:r>
    </w:p>
    <w:p>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hint="eastAsia"/>
          <w:kern w:val="0"/>
          <w:szCs w:val="32"/>
          <w:lang w:val="en-US" w:eastAsia="zh-CN"/>
        </w:rPr>
      </w:pPr>
      <w:r>
        <w:rPr>
          <w:rFonts w:ascii="Times New Roman" w:hAnsi="Times New Roman"/>
          <w:kern w:val="0"/>
          <w:szCs w:val="32"/>
        </w:rPr>
        <w:t>重庆市</w:t>
      </w:r>
      <w:r>
        <w:rPr>
          <w:rFonts w:hint="eastAsia" w:ascii="Times New Roman" w:hAnsi="Times New Roman" w:eastAsia="方正仿宋_GBK" w:cs="Times New Roman"/>
          <w:kern w:val="0"/>
          <w:szCs w:val="32"/>
          <w:lang w:val="zh-CN"/>
        </w:rPr>
        <w:t>九龙坡区机关综合事务中心</w:t>
      </w:r>
      <w:r>
        <w:rPr>
          <w:rFonts w:hint="eastAsia"/>
          <w:kern w:val="0"/>
          <w:szCs w:val="32"/>
          <w:lang w:val="en-US" w:eastAsia="zh-CN"/>
        </w:rPr>
        <w:t>为重庆市九龙坡区机关事务局下属事业单位，下设接待部，安保部和驾驶班等，根据工作需要，驾驶班纳入节能后勤科统一管理，接待部，安保部纳入综合管理科统一管理。</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hint="eastAsia" w:cs="仿宋_GB2312"/>
        </w:rPr>
      </w:pPr>
      <w:r>
        <w:rPr>
          <w:rFonts w:hint="eastAsia" w:ascii="方正楷体_GBK" w:eastAsia="方正楷体_GBK" w:cs="仿宋_GB2312"/>
        </w:rPr>
        <w:t>（一）收入预算：</w:t>
      </w:r>
      <w:r>
        <w:rPr>
          <w:rFonts w:hint="eastAsia" w:cs="仿宋_GB2312"/>
        </w:rPr>
        <w:t>202</w:t>
      </w:r>
      <w:r>
        <w:rPr>
          <w:rFonts w:hint="eastAsia" w:cs="仿宋_GB2312"/>
          <w:lang w:val="en-US" w:eastAsia="zh-CN"/>
        </w:rPr>
        <w:t>6</w:t>
      </w:r>
      <w:r>
        <w:rPr>
          <w:rFonts w:hint="eastAsia" w:cs="仿宋_GB2312"/>
        </w:rPr>
        <w:t>年年初预算数</w:t>
      </w:r>
      <w:r>
        <w:rPr>
          <w:rFonts w:hint="eastAsia" w:cs="仿宋_GB2312"/>
          <w:lang w:val="en-US" w:eastAsia="zh-CN"/>
        </w:rPr>
        <w:t>311.15</w:t>
      </w:r>
      <w:r>
        <w:rPr>
          <w:rFonts w:hint="eastAsia" w:cs="仿宋_GB2312"/>
        </w:rPr>
        <w:t>万元，其中：一般公共预算拨款</w:t>
      </w:r>
      <w:r>
        <w:rPr>
          <w:rFonts w:hint="eastAsia" w:cs="仿宋_GB2312"/>
          <w:lang w:val="en-US" w:eastAsia="zh-CN"/>
        </w:rPr>
        <w:t>311.15</w:t>
      </w:r>
      <w:r>
        <w:rPr>
          <w:rFonts w:hint="eastAsia" w:cs="仿宋_GB2312"/>
        </w:rPr>
        <w:t>万元，政府性基金预算拨款</w:t>
      </w:r>
      <w:r>
        <w:rPr>
          <w:rFonts w:hint="eastAsia" w:cs="仿宋_GB2312"/>
          <w:lang w:val="en-US" w:eastAsia="zh-CN"/>
        </w:rPr>
        <w:t>0</w:t>
      </w:r>
      <w:r>
        <w:rPr>
          <w:rFonts w:hint="eastAsia" w:cs="仿宋_GB2312"/>
        </w:rPr>
        <w:t>万元，国有资本经营预算收入</w:t>
      </w:r>
      <w:r>
        <w:rPr>
          <w:rFonts w:hint="eastAsia" w:cs="仿宋_GB2312"/>
          <w:lang w:val="en-US" w:eastAsia="zh-CN"/>
        </w:rPr>
        <w:t>0</w:t>
      </w:r>
      <w:r>
        <w:rPr>
          <w:rFonts w:hint="eastAsia" w:cs="仿宋_GB2312"/>
        </w:rPr>
        <w:t>万元，事业收入</w:t>
      </w:r>
      <w:r>
        <w:rPr>
          <w:rFonts w:hint="eastAsia" w:cs="仿宋_GB2312"/>
          <w:lang w:val="en-US" w:eastAsia="zh-CN"/>
        </w:rPr>
        <w:t>0</w:t>
      </w:r>
      <w:r>
        <w:rPr>
          <w:rFonts w:hint="eastAsia" w:cs="仿宋_GB2312"/>
        </w:rPr>
        <w:t>万元，事业单位经营收入</w:t>
      </w:r>
      <w:r>
        <w:rPr>
          <w:rFonts w:hint="eastAsia" w:cs="仿宋_GB2312"/>
          <w:lang w:val="en-US" w:eastAsia="zh-CN"/>
        </w:rPr>
        <w:t>0</w:t>
      </w:r>
      <w:r>
        <w:rPr>
          <w:rFonts w:hint="eastAsia" w:cs="仿宋_GB2312"/>
        </w:rPr>
        <w:t>万元，其他收入</w:t>
      </w:r>
      <w:r>
        <w:rPr>
          <w:rFonts w:hint="eastAsia" w:cs="仿宋_GB2312"/>
          <w:lang w:val="en-US" w:eastAsia="zh-CN"/>
        </w:rPr>
        <w:t>0</w:t>
      </w:r>
      <w:r>
        <w:rPr>
          <w:rFonts w:hint="eastAsia" w:cs="仿宋_GB2312"/>
        </w:rPr>
        <w:t>万元。收入较202</w:t>
      </w:r>
      <w:r>
        <w:rPr>
          <w:rFonts w:hint="eastAsia" w:cs="仿宋_GB2312"/>
          <w:lang w:val="en-US" w:eastAsia="zh-CN"/>
        </w:rPr>
        <w:t>5</w:t>
      </w:r>
      <w:r>
        <w:rPr>
          <w:rFonts w:hint="eastAsia" w:cs="仿宋_GB2312"/>
        </w:rPr>
        <w:t>年</w:t>
      </w:r>
      <w:r>
        <w:rPr>
          <w:rFonts w:hint="eastAsia" w:cs="仿宋_GB2312"/>
          <w:lang w:eastAsia="zh-CN"/>
        </w:rPr>
        <w:t>增加</w:t>
      </w:r>
      <w:r>
        <w:rPr>
          <w:rFonts w:hint="eastAsia" w:cs="仿宋_GB2312"/>
          <w:lang w:val="en-US" w:eastAsia="zh-CN"/>
        </w:rPr>
        <w:t>14.57</w:t>
      </w:r>
      <w:r>
        <w:rPr>
          <w:rFonts w:hint="eastAsia" w:cs="仿宋_GB2312"/>
        </w:rPr>
        <w:t>万元，主要是</w:t>
      </w:r>
      <w:r>
        <w:rPr>
          <w:rFonts w:hint="eastAsia" w:cs="仿宋_GB2312"/>
          <w:lang w:eastAsia="zh-CN"/>
        </w:rPr>
        <w:t>人员</w:t>
      </w:r>
      <w:r>
        <w:rPr>
          <w:rFonts w:hint="eastAsia" w:cs="仿宋_GB2312"/>
        </w:rPr>
        <w:t xml:space="preserve">经费拨款增加 </w:t>
      </w:r>
      <w:r>
        <w:rPr>
          <w:rFonts w:hint="eastAsia" w:cs="仿宋_GB2312"/>
          <w:lang w:val="en-US" w:eastAsia="zh-CN"/>
        </w:rPr>
        <w:t>14</w:t>
      </w:r>
      <w:r>
        <w:rPr>
          <w:rFonts w:hint="eastAsia" w:cs="仿宋_GB2312"/>
        </w:rPr>
        <w:t>万元</w:t>
      </w:r>
      <w:r>
        <w:rPr>
          <w:rFonts w:hint="eastAsia" w:cs="仿宋_GB2312"/>
          <w:lang w:val="en-US" w:eastAsia="zh-CN"/>
        </w:rPr>
        <w:t>。</w:t>
      </w:r>
    </w:p>
    <w:p>
      <w:pPr>
        <w:adjustRightInd w:val="0"/>
        <w:snapToGrid w:val="0"/>
        <w:spacing w:line="600" w:lineRule="exact"/>
        <w:ind w:firstLine="640" w:firstLineChars="200"/>
        <w:rPr>
          <w:rFonts w:hint="eastAsia" w:cs="仿宋_GB2312"/>
        </w:rPr>
      </w:pPr>
      <w:r>
        <w:rPr>
          <w:rFonts w:hint="eastAsia" w:ascii="方正楷体_GBK" w:eastAsia="方正楷体_GBK" w:cs="仿宋_GB2312"/>
        </w:rPr>
        <w:t>（二）支出预算：</w:t>
      </w:r>
      <w:r>
        <w:rPr>
          <w:rFonts w:hint="eastAsia" w:cs="仿宋_GB2312"/>
        </w:rPr>
        <w:t>202</w:t>
      </w:r>
      <w:r>
        <w:rPr>
          <w:rFonts w:hint="eastAsia" w:cs="仿宋_GB2312"/>
          <w:lang w:val="en-US" w:eastAsia="zh-CN"/>
        </w:rPr>
        <w:t>6</w:t>
      </w:r>
      <w:r>
        <w:rPr>
          <w:rFonts w:hint="eastAsia" w:cs="仿宋_GB2312"/>
        </w:rPr>
        <w:t>年年初预算数</w:t>
      </w:r>
      <w:r>
        <w:rPr>
          <w:rFonts w:hint="eastAsia" w:cs="仿宋_GB2312"/>
          <w:lang w:val="en-US" w:eastAsia="zh-CN"/>
        </w:rPr>
        <w:t>311.15</w:t>
      </w:r>
      <w:r>
        <w:rPr>
          <w:rFonts w:hint="eastAsia" w:cs="仿宋_GB2312"/>
        </w:rPr>
        <w:t>万元，其中：一般公共服务支出预算230.54万元，社会保障和就业支出预算43.56万元，卫生健康支出预算12.81万元，住房保障支出预算24.25万元。支出预算较202</w:t>
      </w:r>
      <w:r>
        <w:rPr>
          <w:rFonts w:hint="eastAsia" w:cs="仿宋_GB2312"/>
          <w:lang w:val="en-US" w:eastAsia="zh-CN"/>
        </w:rPr>
        <w:t>5</w:t>
      </w:r>
      <w:r>
        <w:rPr>
          <w:rFonts w:hint="eastAsia" w:cs="仿宋_GB2312"/>
        </w:rPr>
        <w:t>年</w:t>
      </w:r>
      <w:r>
        <w:rPr>
          <w:rFonts w:hint="eastAsia" w:cs="仿宋_GB2312"/>
          <w:lang w:val="en-US" w:eastAsia="zh-CN"/>
        </w:rPr>
        <w:t>增加14.57</w:t>
      </w:r>
      <w:r>
        <w:rPr>
          <w:rFonts w:hint="eastAsia" w:cs="仿宋_GB2312"/>
        </w:rPr>
        <w:t>万元，主要是基本支出预算</w:t>
      </w:r>
      <w:r>
        <w:rPr>
          <w:rFonts w:hint="eastAsia" w:cs="仿宋_GB2312"/>
          <w:lang w:val="en-US" w:eastAsia="zh-CN"/>
        </w:rPr>
        <w:t>增加14.57</w:t>
      </w:r>
      <w:r>
        <w:rPr>
          <w:rFonts w:hint="eastAsia" w:cs="仿宋_GB2312"/>
        </w:rPr>
        <w:t>万元。</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hint="eastAsia" w:cs="仿宋_GB2312"/>
          <w:lang w:val="en-US" w:eastAsia="zh-CN"/>
        </w:rPr>
      </w:pPr>
      <w:r>
        <w:rPr>
          <w:rFonts w:hint="eastAsia" w:cs="仿宋_GB2312"/>
        </w:rPr>
        <w:t>202</w:t>
      </w:r>
      <w:r>
        <w:rPr>
          <w:rFonts w:hint="eastAsia" w:cs="仿宋_GB2312"/>
          <w:lang w:val="en-US" w:eastAsia="zh-CN"/>
        </w:rPr>
        <w:t>6</w:t>
      </w:r>
      <w:r>
        <w:rPr>
          <w:rFonts w:hint="eastAsia" w:cs="仿宋_GB2312"/>
        </w:rPr>
        <w:t>年一般公共预算财政拨款收入</w:t>
      </w:r>
      <w:r>
        <w:rPr>
          <w:rFonts w:hint="eastAsia" w:cs="仿宋_GB2312"/>
          <w:lang w:val="en-US" w:eastAsia="zh-CN"/>
        </w:rPr>
        <w:t>311.15</w:t>
      </w:r>
      <w:r>
        <w:rPr>
          <w:rFonts w:hint="eastAsia" w:cs="仿宋_GB2312"/>
        </w:rPr>
        <w:t>万元，一般公共预算财政拨款支出</w:t>
      </w:r>
      <w:r>
        <w:rPr>
          <w:rFonts w:hint="eastAsia" w:cs="仿宋_GB2312"/>
          <w:lang w:val="en-US" w:eastAsia="zh-CN"/>
        </w:rPr>
        <w:t>311.15</w:t>
      </w:r>
      <w:r>
        <w:rPr>
          <w:rFonts w:hint="eastAsia" w:cs="仿宋_GB2312"/>
        </w:rPr>
        <w:t>万元，比202</w:t>
      </w:r>
      <w:r>
        <w:rPr>
          <w:rFonts w:hint="eastAsia" w:cs="仿宋_GB2312"/>
          <w:lang w:val="en-US" w:eastAsia="zh-CN"/>
        </w:rPr>
        <w:t>5</w:t>
      </w:r>
      <w:r>
        <w:rPr>
          <w:rFonts w:hint="eastAsia" w:cs="仿宋_GB2312"/>
        </w:rPr>
        <w:t>年</w:t>
      </w:r>
      <w:r>
        <w:rPr>
          <w:rFonts w:hint="eastAsia" w:cs="仿宋_GB2312"/>
          <w:lang w:val="en-US" w:eastAsia="zh-CN"/>
        </w:rPr>
        <w:t>增加14.57</w:t>
      </w:r>
      <w:r>
        <w:rPr>
          <w:rFonts w:hint="eastAsia" w:cs="仿宋_GB2312"/>
        </w:rPr>
        <w:t>万元。其中：基本支出</w:t>
      </w:r>
      <w:r>
        <w:rPr>
          <w:rFonts w:hint="eastAsia" w:cs="仿宋_GB2312"/>
          <w:lang w:val="en-US" w:eastAsia="zh-CN"/>
        </w:rPr>
        <w:t>311.15</w:t>
      </w:r>
      <w:r>
        <w:rPr>
          <w:rFonts w:hint="eastAsia" w:cs="仿宋_GB2312"/>
        </w:rPr>
        <w:t>万元，比202</w:t>
      </w:r>
      <w:r>
        <w:rPr>
          <w:rFonts w:hint="eastAsia" w:cs="仿宋_GB2312"/>
          <w:lang w:val="en-US" w:eastAsia="zh-CN"/>
        </w:rPr>
        <w:t>5</w:t>
      </w:r>
      <w:r>
        <w:rPr>
          <w:rFonts w:hint="eastAsia" w:cs="仿宋_GB2312"/>
        </w:rPr>
        <w:t>年</w:t>
      </w:r>
      <w:r>
        <w:rPr>
          <w:rFonts w:hint="eastAsia" w:cs="仿宋_GB2312"/>
          <w:lang w:val="en-US" w:eastAsia="zh-CN"/>
        </w:rPr>
        <w:t>增加14.57</w:t>
      </w:r>
      <w:r>
        <w:rPr>
          <w:rFonts w:hint="eastAsia" w:cs="仿宋_GB2312"/>
        </w:rPr>
        <w:t>万元，主要原因</w:t>
      </w:r>
      <w:r>
        <w:rPr>
          <w:rFonts w:hint="eastAsia" w:cs="仿宋_GB2312"/>
          <w:lang w:eastAsia="zh-CN"/>
        </w:rPr>
        <w:t>是人员工资调整，基本支出增加</w:t>
      </w:r>
      <w:r>
        <w:rPr>
          <w:rFonts w:hint="eastAsia" w:cs="仿宋_GB2312"/>
        </w:rPr>
        <w:t>，主要用于保障在职人员工资福利及社会保险缴费，离休人员离休费，退休人员补助等，保障部门正常运转的各项商品服务支出；项目支出</w:t>
      </w:r>
      <w:r>
        <w:rPr>
          <w:rFonts w:hint="eastAsia" w:cs="仿宋_GB2312"/>
          <w:lang w:val="en-US" w:eastAsia="zh-CN"/>
        </w:rPr>
        <w:t>0</w:t>
      </w:r>
      <w:r>
        <w:rPr>
          <w:rFonts w:hint="eastAsia" w:cs="仿宋_GB2312"/>
        </w:rPr>
        <w:t>万元，</w:t>
      </w:r>
      <w:r>
        <w:rPr>
          <w:rFonts w:hint="eastAsia" w:cs="仿宋_GB2312"/>
          <w:lang w:val="en-US" w:eastAsia="zh-CN"/>
        </w:rPr>
        <w:t>与</w:t>
      </w:r>
      <w:r>
        <w:rPr>
          <w:rFonts w:hint="eastAsia" w:cs="仿宋_GB2312"/>
        </w:rPr>
        <w:t>2</w:t>
      </w:r>
      <w:r>
        <w:rPr>
          <w:rFonts w:hint="eastAsia" w:cs="仿宋_GB2312"/>
          <w:lang w:val="en-US" w:eastAsia="zh-CN"/>
        </w:rPr>
        <w:t>025年持平。</w:t>
      </w:r>
    </w:p>
    <w:p>
      <w:pPr>
        <w:adjustRightInd w:val="0"/>
        <w:snapToGrid w:val="0"/>
        <w:spacing w:line="600" w:lineRule="exact"/>
        <w:ind w:firstLine="640" w:firstLineChars="200"/>
        <w:rPr>
          <w:rFonts w:hint="eastAsia" w:eastAsia="方正仿宋_GBK" w:cs="仿宋_GB2312"/>
          <w:lang w:eastAsia="zh-CN"/>
        </w:rPr>
      </w:pPr>
      <w:r>
        <w:rPr>
          <w:rFonts w:hint="eastAsia" w:cs="仿宋_GB2312"/>
          <w:lang w:val="en-US" w:eastAsia="zh-CN"/>
        </w:rPr>
        <w:t>区机关综合事务中心</w:t>
      </w:r>
      <w:r>
        <w:rPr>
          <w:rFonts w:hint="eastAsia" w:cs="仿宋_GB2312"/>
        </w:rPr>
        <w:t>202</w:t>
      </w:r>
      <w:r>
        <w:rPr>
          <w:rFonts w:hint="eastAsia" w:cs="仿宋_GB2312"/>
          <w:lang w:val="en-US" w:eastAsia="zh-CN"/>
        </w:rPr>
        <w:t>6</w:t>
      </w:r>
      <w:r>
        <w:rPr>
          <w:rFonts w:hint="eastAsia" w:cs="仿宋_GB2312"/>
        </w:rPr>
        <w:t>年无使用政府性基金预算拨款安排的支出</w:t>
      </w:r>
      <w:r>
        <w:rPr>
          <w:rFonts w:hint="eastAsia" w:cs="仿宋_GB2312"/>
          <w:lang w:eastAsia="zh-CN"/>
        </w:rPr>
        <w:t>。</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hint="eastAsia" w:cs="仿宋_GB2312"/>
        </w:rPr>
      </w:pPr>
      <w:r>
        <w:rPr>
          <w:rFonts w:hint="eastAsia" w:ascii="Times New Roman" w:hAnsi="Times New Roman" w:cs="仿宋_GB2312"/>
        </w:rPr>
        <w:t>202</w:t>
      </w:r>
      <w:r>
        <w:rPr>
          <w:rFonts w:hint="eastAsia" w:cs="仿宋_GB2312"/>
          <w:lang w:val="en-US" w:eastAsia="zh-CN"/>
        </w:rPr>
        <w:t>6</w:t>
      </w:r>
      <w:r>
        <w:rPr>
          <w:rFonts w:hint="eastAsia" w:ascii="Times New Roman" w:hAnsi="Times New Roman" w:cs="仿宋_GB2312"/>
        </w:rPr>
        <w:t>年“三公”经费预算</w:t>
      </w:r>
      <w:r>
        <w:rPr>
          <w:rFonts w:hint="eastAsia" w:cs="仿宋_GB2312"/>
          <w:lang w:val="en-US" w:eastAsia="zh-CN"/>
        </w:rPr>
        <w:t>0</w:t>
      </w:r>
      <w:r>
        <w:rPr>
          <w:rFonts w:hint="eastAsia" w:ascii="Times New Roman" w:hAnsi="Times New Roman" w:cs="仿宋_GB2312"/>
        </w:rPr>
        <w:t>万元，比202</w:t>
      </w:r>
      <w:r>
        <w:rPr>
          <w:rFonts w:hint="eastAsia" w:cs="仿宋_GB2312"/>
          <w:lang w:val="en-US" w:eastAsia="zh-CN"/>
        </w:rPr>
        <w:t>5</w:t>
      </w:r>
      <w:r>
        <w:rPr>
          <w:rFonts w:hint="eastAsia" w:ascii="Times New Roman" w:hAnsi="Times New Roman" w:cs="仿宋_GB2312"/>
        </w:rPr>
        <w:t>年</w:t>
      </w:r>
      <w:r>
        <w:rPr>
          <w:rFonts w:hint="eastAsia" w:cs="仿宋_GB2312"/>
          <w:lang w:val="en-US" w:eastAsia="zh-CN"/>
        </w:rPr>
        <w:t>减少0</w:t>
      </w:r>
      <w:r>
        <w:rPr>
          <w:rFonts w:hint="eastAsia" w:ascii="Times New Roman" w:hAnsi="Times New Roman" w:cs="仿宋_GB2312"/>
        </w:rPr>
        <w:t>万元。其中：因公出国（境）费用</w:t>
      </w:r>
      <w:r>
        <w:rPr>
          <w:rFonts w:hint="eastAsia" w:cs="仿宋_GB2312"/>
          <w:lang w:val="en-US" w:eastAsia="zh-CN"/>
        </w:rPr>
        <w:t>0</w:t>
      </w:r>
      <w:r>
        <w:rPr>
          <w:rFonts w:hint="eastAsia" w:ascii="Times New Roman" w:hAnsi="Times New Roman" w:cs="仿宋_GB2312"/>
        </w:rPr>
        <w:t>万元；公务接待费</w:t>
      </w:r>
      <w:r>
        <w:rPr>
          <w:rFonts w:hint="eastAsia" w:cs="仿宋_GB2312"/>
          <w:lang w:val="en-US" w:eastAsia="zh-CN"/>
        </w:rPr>
        <w:t>0</w:t>
      </w:r>
      <w:r>
        <w:rPr>
          <w:rFonts w:hint="eastAsia" w:ascii="Times New Roman" w:hAnsi="Times New Roman" w:cs="仿宋_GB2312"/>
        </w:rPr>
        <w:t xml:space="preserve"> 万元，</w:t>
      </w:r>
      <w:r>
        <w:rPr>
          <w:rFonts w:hint="eastAsia" w:cs="仿宋_GB2312"/>
          <w:lang w:val="en-US" w:eastAsia="zh-CN"/>
        </w:rPr>
        <w:t>与</w:t>
      </w:r>
      <w:r>
        <w:rPr>
          <w:rFonts w:hint="eastAsia" w:ascii="Times New Roman" w:hAnsi="Times New Roman" w:cs="仿宋_GB2312"/>
        </w:rPr>
        <w:t>202</w:t>
      </w:r>
      <w:r>
        <w:rPr>
          <w:rFonts w:hint="eastAsia" w:cs="仿宋_GB2312"/>
          <w:lang w:val="en-US" w:eastAsia="zh-CN"/>
        </w:rPr>
        <w:t>5</w:t>
      </w:r>
      <w:r>
        <w:rPr>
          <w:rFonts w:hint="eastAsia" w:ascii="Times New Roman" w:hAnsi="Times New Roman" w:cs="仿宋_GB2312"/>
        </w:rPr>
        <w:t>年</w:t>
      </w:r>
      <w:r>
        <w:rPr>
          <w:rFonts w:hint="eastAsia" w:cs="仿宋_GB2312"/>
          <w:lang w:val="en-US" w:eastAsia="zh-CN"/>
        </w:rPr>
        <w:t>持平；</w:t>
      </w:r>
      <w:r>
        <w:rPr>
          <w:rFonts w:hint="eastAsia" w:ascii="Times New Roman" w:hAnsi="Times New Roman" w:cs="仿宋_GB2312"/>
        </w:rPr>
        <w:t>公务用车运行维护费</w:t>
      </w:r>
      <w:r>
        <w:rPr>
          <w:rFonts w:hint="eastAsia" w:cs="仿宋_GB2312"/>
          <w:lang w:val="en-US" w:eastAsia="zh-CN"/>
        </w:rPr>
        <w:t>0</w:t>
      </w:r>
      <w:r>
        <w:rPr>
          <w:rFonts w:hint="eastAsia" w:ascii="Times New Roman" w:hAnsi="Times New Roman" w:cs="仿宋_GB2312"/>
        </w:rPr>
        <w:t>万元，比202</w:t>
      </w:r>
      <w:r>
        <w:rPr>
          <w:rFonts w:hint="eastAsia" w:cs="仿宋_GB2312"/>
          <w:lang w:val="en-US" w:eastAsia="zh-CN"/>
        </w:rPr>
        <w:t>5</w:t>
      </w:r>
      <w:r>
        <w:rPr>
          <w:rFonts w:hint="eastAsia" w:ascii="Times New Roman" w:hAnsi="Times New Roman" w:cs="仿宋_GB2312"/>
        </w:rPr>
        <w:t>年</w:t>
      </w:r>
      <w:r>
        <w:rPr>
          <w:rFonts w:hint="eastAsia" w:cs="仿宋_GB2312"/>
          <w:lang w:val="en-US" w:eastAsia="zh-CN"/>
        </w:rPr>
        <w:t>减少0</w:t>
      </w:r>
      <w:r>
        <w:rPr>
          <w:rFonts w:hint="eastAsia" w:ascii="Times New Roman" w:hAnsi="Times New Roman" w:cs="仿宋_GB2312"/>
        </w:rPr>
        <w:t>万元</w:t>
      </w:r>
      <w:r>
        <w:rPr>
          <w:rFonts w:hint="eastAsia" w:cs="仿宋_GB2312"/>
          <w:lang w:eastAsia="zh-CN"/>
        </w:rPr>
        <w:t>；</w:t>
      </w:r>
      <w:r>
        <w:rPr>
          <w:rFonts w:hint="eastAsia" w:ascii="Times New Roman" w:hAnsi="Times New Roman" w:cs="仿宋_GB2312"/>
        </w:rPr>
        <w:t xml:space="preserve">公务用车购置费 </w:t>
      </w:r>
      <w:r>
        <w:rPr>
          <w:rFonts w:hint="eastAsia" w:cs="仿宋_GB2312"/>
          <w:lang w:val="en-US" w:eastAsia="zh-CN"/>
        </w:rPr>
        <w:t>0</w:t>
      </w:r>
      <w:r>
        <w:rPr>
          <w:rFonts w:hint="eastAsia" w:ascii="Times New Roman" w:hAnsi="Times New Roman" w:cs="仿宋_GB2312"/>
        </w:rPr>
        <w:t>万元，</w:t>
      </w:r>
      <w:r>
        <w:rPr>
          <w:rFonts w:hint="eastAsia" w:cs="仿宋_GB2312"/>
          <w:lang w:val="en-US" w:eastAsia="zh-CN"/>
        </w:rPr>
        <w:t>与</w:t>
      </w:r>
      <w:r>
        <w:rPr>
          <w:rFonts w:hint="eastAsia" w:ascii="Times New Roman" w:hAnsi="Times New Roman" w:cs="仿宋_GB2312"/>
        </w:rPr>
        <w:t>202</w:t>
      </w:r>
      <w:r>
        <w:rPr>
          <w:rFonts w:hint="eastAsia" w:cs="仿宋_GB2312"/>
          <w:lang w:val="en-US" w:eastAsia="zh-CN"/>
        </w:rPr>
        <w:t>5</w:t>
      </w:r>
      <w:r>
        <w:rPr>
          <w:rFonts w:hint="eastAsia" w:ascii="Times New Roman" w:hAnsi="Times New Roman" w:cs="仿宋_GB2312"/>
        </w:rPr>
        <w:t>年</w:t>
      </w:r>
      <w:r>
        <w:rPr>
          <w:rFonts w:hint="eastAsia" w:cs="仿宋_GB2312"/>
          <w:lang w:val="en-US" w:eastAsia="zh-CN"/>
        </w:rPr>
        <w:t>持平。</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hint="default" w:eastAsia="方正仿宋_GBK" w:cs="仿宋_GB2312"/>
          <w:lang w:val="en-US" w:eastAsia="zh-CN"/>
        </w:rPr>
      </w:pPr>
      <w:r>
        <w:rPr>
          <w:rFonts w:hint="eastAsia" w:ascii="Times New Roman" w:hAnsi="Times New Roman" w:cs="仿宋_GB2312"/>
        </w:rPr>
        <w:t>1.</w:t>
      </w:r>
      <w:r>
        <w:rPr>
          <w:rFonts w:hint="eastAsia" w:cs="仿宋_GB2312"/>
          <w:lang w:val="en-US" w:eastAsia="zh-CN"/>
        </w:rPr>
        <w:t>我单位属于区机关事务局下属事业单位，不在机关运行经费统计范围内。</w:t>
      </w:r>
    </w:p>
    <w:p>
      <w:pPr>
        <w:adjustRightInd w:val="0"/>
        <w:snapToGrid w:val="0"/>
        <w:spacing w:line="600" w:lineRule="exact"/>
        <w:ind w:firstLine="640" w:firstLineChars="200"/>
        <w:rPr>
          <w:rFonts w:hint="eastAsia" w:cs="仿宋_GB2312"/>
        </w:rPr>
      </w:pPr>
      <w:r>
        <w:rPr>
          <w:rFonts w:hint="eastAsia" w:cs="仿宋_GB2312"/>
        </w:rPr>
        <w:t>2.政府采购情况。本单位政府采购预算总额</w:t>
      </w:r>
      <w:r>
        <w:rPr>
          <w:rFonts w:hint="eastAsia" w:cs="仿宋_GB2312"/>
          <w:lang w:val="en-US" w:eastAsia="zh-CN"/>
        </w:rPr>
        <w:t>0</w:t>
      </w:r>
      <w:r>
        <w:rPr>
          <w:rFonts w:hint="eastAsia" w:cs="仿宋_GB2312"/>
        </w:rPr>
        <w:t>万元：政府采购货物预算</w:t>
      </w:r>
      <w:r>
        <w:rPr>
          <w:rFonts w:hint="eastAsia" w:cs="仿宋_GB2312"/>
          <w:lang w:val="en-US" w:eastAsia="zh-CN"/>
        </w:rPr>
        <w:t>0</w:t>
      </w:r>
      <w:r>
        <w:rPr>
          <w:rFonts w:hint="eastAsia" w:cs="仿宋_GB2312"/>
        </w:rPr>
        <w:t>万元、政府采购工程预算</w:t>
      </w:r>
      <w:r>
        <w:rPr>
          <w:rFonts w:hint="eastAsia" w:cs="仿宋_GB2312"/>
          <w:lang w:val="en-US" w:eastAsia="zh-CN"/>
        </w:rPr>
        <w:t>0</w:t>
      </w:r>
      <w:r>
        <w:rPr>
          <w:rFonts w:hint="eastAsia" w:cs="仿宋_GB2312"/>
        </w:rPr>
        <w:t>万元、政府采购服务预算</w:t>
      </w:r>
      <w:r>
        <w:rPr>
          <w:rFonts w:hint="eastAsia" w:cs="仿宋_GB2312"/>
          <w:lang w:val="en-US" w:eastAsia="zh-CN"/>
        </w:rPr>
        <w:t>0</w:t>
      </w:r>
      <w:r>
        <w:rPr>
          <w:rFonts w:hint="eastAsia" w:cs="仿宋_GB2312"/>
        </w:rPr>
        <w:t>万元；其中一般公共预算拨款政府采购</w:t>
      </w:r>
      <w:r>
        <w:rPr>
          <w:rFonts w:hint="eastAsia" w:cs="仿宋_GB2312"/>
          <w:lang w:val="en-US" w:eastAsia="zh-CN"/>
        </w:rPr>
        <w:t>0</w:t>
      </w:r>
      <w:r>
        <w:rPr>
          <w:rFonts w:hint="eastAsia" w:cs="仿宋_GB2312"/>
        </w:rPr>
        <w:t>万元：政府采购货物预算</w:t>
      </w:r>
      <w:r>
        <w:rPr>
          <w:rFonts w:hint="eastAsia" w:cs="仿宋_GB2312"/>
          <w:lang w:val="en-US" w:eastAsia="zh-CN"/>
        </w:rPr>
        <w:t>0</w:t>
      </w:r>
      <w:r>
        <w:rPr>
          <w:rFonts w:hint="eastAsia" w:cs="仿宋_GB2312"/>
        </w:rPr>
        <w:t>万元、政府采购工程预算</w:t>
      </w:r>
      <w:r>
        <w:rPr>
          <w:rFonts w:hint="eastAsia" w:cs="仿宋_GB2312"/>
          <w:lang w:val="en-US" w:eastAsia="zh-CN"/>
        </w:rPr>
        <w:t>0</w:t>
      </w:r>
      <w:r>
        <w:rPr>
          <w:rFonts w:hint="eastAsia" w:cs="仿宋_GB2312"/>
        </w:rPr>
        <w:t>万元、政府采购服务预算</w:t>
      </w:r>
      <w:r>
        <w:rPr>
          <w:rFonts w:hint="eastAsia" w:cs="仿宋_GB2312"/>
          <w:lang w:val="en-US" w:eastAsia="zh-CN"/>
        </w:rPr>
        <w:t>0</w:t>
      </w:r>
      <w:r>
        <w:rPr>
          <w:rFonts w:hint="eastAsia" w:cs="仿宋_GB2312"/>
        </w:rPr>
        <w:t>万元。</w:t>
      </w:r>
    </w:p>
    <w:p>
      <w:pPr>
        <w:adjustRightInd w:val="0"/>
        <w:snapToGrid w:val="0"/>
        <w:spacing w:line="600" w:lineRule="exact"/>
        <w:ind w:firstLine="640" w:firstLineChars="200"/>
        <w:rPr>
          <w:rFonts w:hint="eastAsia" w:cs="仿宋_GB2312"/>
          <w:color w:val="000000"/>
        </w:rPr>
      </w:pPr>
      <w:r>
        <w:rPr>
          <w:rFonts w:hint="eastAsia" w:cs="仿宋_GB2312"/>
        </w:rPr>
        <w:t>3.绩效目标设置情况。</w:t>
      </w:r>
      <w:r>
        <w:rPr>
          <w:rFonts w:hint="eastAsia" w:cs="仿宋_GB2312"/>
          <w:color w:val="000000"/>
        </w:rPr>
        <w:t>202</w:t>
      </w:r>
      <w:r>
        <w:rPr>
          <w:rFonts w:hint="eastAsia" w:cs="仿宋_GB2312"/>
          <w:color w:val="000000"/>
          <w:lang w:val="en-US" w:eastAsia="zh-CN"/>
        </w:rPr>
        <w:t>6</w:t>
      </w:r>
      <w:r>
        <w:rPr>
          <w:rFonts w:hint="eastAsia" w:cs="仿宋_GB2312"/>
          <w:color w:val="000000"/>
        </w:rPr>
        <w:t>年项目支出均实行了绩效目标管理，涉及一般公共预算当年财政拨款</w:t>
      </w:r>
      <w:r>
        <w:rPr>
          <w:rFonts w:hint="eastAsia" w:cs="仿宋_GB2312"/>
          <w:color w:val="000000"/>
          <w:lang w:val="en-US" w:eastAsia="zh-CN"/>
        </w:rPr>
        <w:t>0</w:t>
      </w:r>
      <w:r>
        <w:rPr>
          <w:rFonts w:hint="eastAsia" w:cs="仿宋_GB2312"/>
          <w:color w:val="000000"/>
        </w:rPr>
        <w:t>万元。</w:t>
      </w:r>
    </w:p>
    <w:p>
      <w:pPr>
        <w:adjustRightInd w:val="0"/>
        <w:snapToGrid w:val="0"/>
        <w:spacing w:line="600" w:lineRule="exact"/>
        <w:ind w:firstLine="640" w:firstLineChars="200"/>
        <w:rPr>
          <w:rFonts w:hint="eastAsia" w:cs="仿宋_GB2312"/>
          <w:color w:val="000000"/>
        </w:rPr>
      </w:pPr>
      <w:r>
        <w:rPr>
          <w:rFonts w:hint="eastAsia" w:cs="仿宋_GB2312"/>
          <w:color w:val="000000"/>
        </w:rPr>
        <w:t>4.国有资产占有使用情况。截止202</w:t>
      </w:r>
      <w:r>
        <w:rPr>
          <w:rFonts w:hint="eastAsia" w:cs="仿宋_GB2312"/>
          <w:color w:val="000000"/>
          <w:lang w:val="en-US" w:eastAsia="zh-CN"/>
        </w:rPr>
        <w:t>5</w:t>
      </w:r>
      <w:r>
        <w:rPr>
          <w:rFonts w:hint="eastAsia" w:cs="仿宋_GB2312"/>
          <w:color w:val="000000"/>
        </w:rPr>
        <w:t>年12月，所属各预算单位共有车辆</w:t>
      </w:r>
      <w:r>
        <w:rPr>
          <w:rFonts w:hint="eastAsia" w:cs="仿宋_GB2312"/>
          <w:color w:val="000000"/>
          <w:lang w:val="en-US" w:eastAsia="zh-CN"/>
        </w:rPr>
        <w:t>0</w:t>
      </w:r>
      <w:r>
        <w:rPr>
          <w:rFonts w:hint="eastAsia" w:cs="仿宋_GB2312"/>
          <w:color w:val="000000"/>
        </w:rPr>
        <w:t>辆，其中一般公务用车</w:t>
      </w:r>
      <w:r>
        <w:rPr>
          <w:rFonts w:hint="eastAsia" w:cs="仿宋_GB2312"/>
          <w:color w:val="000000"/>
          <w:lang w:val="en-US" w:eastAsia="zh-CN"/>
        </w:rPr>
        <w:t>0</w:t>
      </w:r>
      <w:r>
        <w:rPr>
          <w:rFonts w:hint="eastAsia" w:cs="仿宋_GB2312"/>
          <w:color w:val="000000"/>
        </w:rPr>
        <w:t>辆、执勤执法用车</w:t>
      </w:r>
      <w:r>
        <w:rPr>
          <w:rFonts w:hint="eastAsia" w:cs="仿宋_GB2312"/>
          <w:color w:val="000000"/>
          <w:lang w:val="en-US" w:eastAsia="zh-CN"/>
        </w:rPr>
        <w:t>0</w:t>
      </w:r>
      <w:r>
        <w:rPr>
          <w:rFonts w:hint="eastAsia" w:cs="仿宋_GB2312"/>
          <w:color w:val="000000"/>
        </w:rPr>
        <w:t>辆。202</w:t>
      </w:r>
      <w:r>
        <w:rPr>
          <w:rFonts w:hint="eastAsia" w:cs="仿宋_GB2312"/>
          <w:color w:val="000000"/>
          <w:lang w:val="en-US" w:eastAsia="zh-CN"/>
        </w:rPr>
        <w:t>6</w:t>
      </w:r>
      <w:r>
        <w:rPr>
          <w:rFonts w:hint="eastAsia" w:cs="仿宋_GB2312"/>
          <w:color w:val="000000"/>
        </w:rPr>
        <w:t>年一般公共预算安排购置车辆</w:t>
      </w:r>
      <w:r>
        <w:rPr>
          <w:rFonts w:hint="eastAsia" w:cs="仿宋_GB2312"/>
          <w:color w:val="000000"/>
          <w:lang w:val="en-US" w:eastAsia="zh-CN"/>
        </w:rPr>
        <w:t>0</w:t>
      </w:r>
      <w:r>
        <w:rPr>
          <w:rFonts w:hint="eastAsia" w:cs="仿宋_GB2312"/>
          <w:color w:val="000000"/>
        </w:rPr>
        <w:t>辆，其中一般公务用车</w:t>
      </w:r>
      <w:r>
        <w:rPr>
          <w:rFonts w:hint="eastAsia" w:cs="仿宋_GB2312"/>
          <w:color w:val="000000"/>
          <w:lang w:val="en-US" w:eastAsia="zh-CN"/>
        </w:rPr>
        <w:t>0</w:t>
      </w:r>
      <w:r>
        <w:rPr>
          <w:rFonts w:hint="eastAsia" w:cs="仿宋_GB2312"/>
          <w:color w:val="000000"/>
        </w:rPr>
        <w:t>辆、执勤执法用车</w:t>
      </w:r>
      <w:r>
        <w:rPr>
          <w:rFonts w:hint="eastAsia" w:cs="仿宋_GB2312"/>
          <w:color w:val="000000"/>
          <w:lang w:val="en-US" w:eastAsia="zh-CN"/>
        </w:rPr>
        <w:t>0</w:t>
      </w:r>
      <w:r>
        <w:rPr>
          <w:rFonts w:hint="eastAsia" w:cs="仿宋_GB2312"/>
          <w:color w:val="000000"/>
        </w:rPr>
        <w:t>辆。</w:t>
      </w:r>
    </w:p>
    <w:p>
      <w:pPr>
        <w:adjustRightInd w:val="0"/>
        <w:snapToGrid w:val="0"/>
        <w:spacing w:line="600" w:lineRule="exact"/>
        <w:ind w:firstLine="640" w:firstLineChars="200"/>
        <w:rPr>
          <w:rFonts w:hint="eastAsia"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hint="eastAsia"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3" w:firstLineChars="200"/>
        <w:rPr>
          <w:rFonts w:hint="eastAsia" w:cs="仿宋_GB2312"/>
          <w:b/>
        </w:rPr>
      </w:pPr>
    </w:p>
    <w:p>
      <w:pPr>
        <w:adjustRightInd w:val="0"/>
        <w:snapToGrid w:val="0"/>
        <w:spacing w:line="600" w:lineRule="exact"/>
        <w:ind w:firstLine="640" w:firstLineChars="200"/>
        <w:rPr>
          <w:rFonts w:hint="default" w:eastAsia="方正仿宋_GBK"/>
          <w:lang w:val="en-US" w:eastAsia="zh-CN"/>
        </w:rPr>
      </w:pPr>
      <w:r>
        <w:rPr>
          <w:rFonts w:hint="eastAsia" w:cs="仿宋_GB2312"/>
        </w:rPr>
        <w:t>部门预算公开联系人：</w:t>
      </w:r>
      <w:r>
        <w:rPr>
          <w:rFonts w:hint="eastAsia" w:cs="仿宋_GB2312"/>
          <w:lang w:val="en-US" w:eastAsia="zh-CN"/>
        </w:rPr>
        <w:t xml:space="preserve">张辉 </w:t>
      </w:r>
      <w:r>
        <w:rPr>
          <w:rFonts w:hint="eastAsia" w:cs="仿宋_GB2312"/>
        </w:rPr>
        <w:t>联系方式：</w:t>
      </w:r>
      <w:r>
        <w:rPr>
          <w:rFonts w:hint="eastAsia" w:cs="仿宋_GB2312"/>
          <w:lang w:val="en-US" w:eastAsia="zh-CN"/>
        </w:rPr>
        <w:t>023-68788325</w:t>
      </w: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adjustRightInd w:val="0"/>
        <w:snapToGrid w:val="0"/>
        <w:spacing w:line="600" w:lineRule="exact"/>
        <w:ind w:firstLine="643" w:firstLineChars="200"/>
        <w:rPr>
          <w:rFonts w:hint="eastAsia"/>
          <w:b/>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r>
        <w:rPr>
          <w:rFonts w:hint="eastAsia" w:eastAsia="方正仿宋_GBK"/>
          <w:sz w:val="32"/>
          <w:szCs w:val="32"/>
        </w:rPr>
        <w:t>附表：1.2026年九龙坡区部门财政拨款收支总表</w:t>
      </w:r>
    </w:p>
    <w:p>
      <w:pPr>
        <w:pStyle w:val="2"/>
        <w:adjustRightInd w:val="0"/>
        <w:snapToGrid w:val="0"/>
        <w:spacing w:line="600" w:lineRule="exact"/>
        <w:ind w:left="0" w:leftChars="0" w:right="0" w:rightChars="0" w:firstLine="1600" w:firstLineChars="500"/>
        <w:jc w:val="left"/>
        <w:rPr>
          <w:rFonts w:hint="eastAsia" w:eastAsia="方正仿宋_GBK"/>
          <w:sz w:val="32"/>
          <w:szCs w:val="32"/>
        </w:rPr>
      </w:pPr>
      <w:r>
        <w:rPr>
          <w:rFonts w:hint="eastAsia" w:eastAsia="方正仿宋_GBK"/>
          <w:sz w:val="32"/>
          <w:szCs w:val="32"/>
        </w:rPr>
        <w:t>2</w:t>
      </w:r>
      <w:r>
        <w:rPr>
          <w:rFonts w:hint="eastAsia" w:eastAsia="方正仿宋_GBK"/>
          <w:spacing w:val="-10"/>
          <w:sz w:val="32"/>
          <w:szCs w:val="32"/>
        </w:rPr>
        <w:t>.2026年九龙坡区一般公共预算财政拨款支出预算表</w:t>
      </w:r>
    </w:p>
    <w:p>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3.2026年九龙坡区一般公共预算财政拨款基本支出预算表</w:t>
      </w:r>
    </w:p>
    <w:p>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4.2026年九龙坡区一般公共预算财政拨款基本支出预算表（政府预算支出经济分类科目）</w:t>
      </w:r>
    </w:p>
    <w:p>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5.2026年九龙坡区一般公共预算“三公”经费支出表</w:t>
      </w:r>
    </w:p>
    <w:p>
      <w:pPr>
        <w:adjustRightInd w:val="0"/>
        <w:snapToGrid w:val="0"/>
        <w:spacing w:line="600" w:lineRule="exact"/>
        <w:ind w:firstLine="1600" w:firstLineChars="500"/>
        <w:jc w:val="left"/>
        <w:rPr>
          <w:rFonts w:hint="eastAsia"/>
          <w:szCs w:val="32"/>
        </w:rPr>
      </w:pPr>
      <w:r>
        <w:rPr>
          <w:rFonts w:hint="eastAsia"/>
          <w:szCs w:val="32"/>
        </w:rPr>
        <w:t>6.2026年九龙坡区政府性基金预算支出表</w:t>
      </w:r>
    </w:p>
    <w:p>
      <w:pPr>
        <w:adjustRightInd w:val="0"/>
        <w:snapToGrid w:val="0"/>
        <w:spacing w:line="600" w:lineRule="exact"/>
        <w:ind w:left="1600" w:leftChars="500"/>
        <w:jc w:val="left"/>
        <w:rPr>
          <w:rFonts w:hint="eastAsia"/>
          <w:szCs w:val="32"/>
        </w:rPr>
      </w:pPr>
      <w:r>
        <w:rPr>
          <w:rFonts w:hint="eastAsia"/>
          <w:szCs w:val="32"/>
        </w:rPr>
        <w:t>7.2026年九龙坡区部门收支总表</w:t>
      </w:r>
    </w:p>
    <w:p>
      <w:pPr>
        <w:adjustRightInd w:val="0"/>
        <w:snapToGrid w:val="0"/>
        <w:spacing w:line="600" w:lineRule="exact"/>
        <w:ind w:left="1600" w:leftChars="500"/>
        <w:jc w:val="left"/>
        <w:rPr>
          <w:rFonts w:hint="eastAsia"/>
          <w:szCs w:val="32"/>
        </w:rPr>
      </w:pPr>
      <w:r>
        <w:rPr>
          <w:rFonts w:hint="eastAsia"/>
          <w:szCs w:val="32"/>
        </w:rPr>
        <w:t>8.2026年九龙坡区部门收入总表</w:t>
      </w:r>
    </w:p>
    <w:p>
      <w:pPr>
        <w:adjustRightInd w:val="0"/>
        <w:snapToGrid w:val="0"/>
        <w:spacing w:line="600" w:lineRule="exact"/>
        <w:ind w:left="1600" w:leftChars="500"/>
        <w:jc w:val="left"/>
        <w:rPr>
          <w:rFonts w:hint="eastAsia"/>
          <w:szCs w:val="32"/>
        </w:rPr>
      </w:pPr>
      <w:r>
        <w:rPr>
          <w:rFonts w:hint="eastAsia"/>
          <w:szCs w:val="32"/>
        </w:rPr>
        <w:t>9.2026年九龙坡区部门支出总表（功能科目分类到项）10.2026年九龙坡区一般公共预算财政拨款项目支出预算表（部门预算支出经济分类科目）</w:t>
      </w:r>
    </w:p>
    <w:p>
      <w:pPr>
        <w:adjustRightInd w:val="0"/>
        <w:snapToGrid w:val="0"/>
        <w:spacing w:line="600" w:lineRule="exact"/>
        <w:ind w:left="1600" w:leftChars="500"/>
        <w:jc w:val="left"/>
        <w:rPr>
          <w:rFonts w:hint="eastAsia"/>
          <w:szCs w:val="32"/>
        </w:rPr>
      </w:pPr>
      <w:r>
        <w:rPr>
          <w:rFonts w:hint="eastAsia"/>
          <w:szCs w:val="32"/>
        </w:rPr>
        <w:t>11.2026年九龙坡区一般公共预算财政拨款项目支出预算表（政府预算支出经济分类科目）</w:t>
      </w:r>
    </w:p>
    <w:p>
      <w:pPr>
        <w:pStyle w:val="2"/>
        <w:tabs>
          <w:tab w:val="left" w:pos="1560"/>
        </w:tabs>
        <w:adjustRightInd w:val="0"/>
        <w:snapToGrid w:val="0"/>
        <w:spacing w:line="600" w:lineRule="exact"/>
        <w:ind w:left="0" w:leftChars="0" w:right="0" w:rightChars="0" w:firstLine="1600" w:firstLineChars="500"/>
        <w:rPr>
          <w:rFonts w:hint="eastAsia" w:eastAsia="方正仿宋_GBK"/>
          <w:sz w:val="32"/>
          <w:szCs w:val="32"/>
        </w:rPr>
      </w:pPr>
      <w:r>
        <w:rPr>
          <w:rFonts w:hint="eastAsia" w:eastAsia="方正仿宋_GBK"/>
          <w:sz w:val="32"/>
          <w:szCs w:val="32"/>
        </w:rPr>
        <w:t>12.2026年九龙坡区政府采购明细表</w:t>
      </w:r>
      <w:r>
        <w:rPr>
          <w:rFonts w:hint="eastAsia" w:eastAsia="方正仿宋_GBK"/>
          <w:sz w:val="32"/>
          <w:szCs w:val="32"/>
          <w:lang w:eastAsia="zh-CN"/>
        </w:rPr>
        <w:t>（</w:t>
      </w:r>
      <w:r>
        <w:rPr>
          <w:rFonts w:hint="eastAsia" w:eastAsia="方正仿宋_GBK"/>
          <w:sz w:val="32"/>
          <w:szCs w:val="32"/>
          <w:lang w:val="en-US" w:eastAsia="zh-CN"/>
        </w:rPr>
        <w:t>无采购预算</w:t>
      </w:r>
      <w:r>
        <w:rPr>
          <w:rFonts w:hint="eastAsia" w:eastAsia="方正仿宋_GBK"/>
          <w:sz w:val="32"/>
          <w:szCs w:val="32"/>
          <w:lang w:eastAsia="zh-CN"/>
        </w:rPr>
        <w:t>）</w:t>
      </w:r>
    </w:p>
    <w:p>
      <w:pPr>
        <w:adjustRightInd w:val="0"/>
        <w:snapToGrid w:val="0"/>
        <w:spacing w:line="600" w:lineRule="exact"/>
        <w:ind w:left="1600" w:leftChars="500" w:firstLine="0" w:firstLineChars="0"/>
        <w:jc w:val="left"/>
        <w:rPr>
          <w:rFonts w:hint="eastAsia"/>
          <w:szCs w:val="32"/>
        </w:rPr>
      </w:pPr>
      <w:r>
        <w:rPr>
          <w:rFonts w:hint="eastAsia"/>
          <w:szCs w:val="32"/>
        </w:rPr>
        <w:t>13.2026年九龙坡区</w:t>
      </w:r>
      <w:r>
        <w:rPr>
          <w:rFonts w:hint="eastAsia"/>
          <w:szCs w:val="32"/>
          <w:lang w:val="en-US" w:eastAsia="zh-CN"/>
        </w:rPr>
        <w:t>机关综合事务中心</w:t>
      </w:r>
      <w:r>
        <w:rPr>
          <w:rFonts w:hint="eastAsia"/>
          <w:szCs w:val="32"/>
        </w:rPr>
        <w:t>单位项目绩效目标表</w:t>
      </w:r>
      <w:r>
        <w:rPr>
          <w:rFonts w:hint="eastAsia"/>
          <w:szCs w:val="32"/>
          <w:lang w:val="en-US" w:eastAsia="zh-CN"/>
        </w:rPr>
        <w:t>（单位无项目、未开展项目绩效评价）</w:t>
      </w:r>
    </w:p>
    <w:p>
      <w:pPr>
        <w:adjustRightInd w:val="0"/>
        <w:snapToGrid w:val="0"/>
        <w:spacing w:line="600" w:lineRule="exact"/>
        <w:ind w:left="1600" w:leftChars="500" w:firstLine="0" w:firstLineChars="0"/>
        <w:rPr>
          <w:rFonts w:hint="eastAsia"/>
          <w:szCs w:val="32"/>
          <w:lang w:val="en-US" w:eastAsia="zh-CN"/>
        </w:rPr>
      </w:pPr>
    </w:p>
    <w:p>
      <w:pPr>
        <w:adjustRightInd w:val="0"/>
        <w:snapToGrid w:val="0"/>
        <w:spacing w:line="200" w:lineRule="exact"/>
        <w:rPr>
          <w:rFonts w:hint="eastAsia"/>
          <w:color w:val="0D0D0D"/>
          <w:szCs w:val="32"/>
        </w:rPr>
      </w:pPr>
    </w:p>
    <w:p>
      <w:pPr>
        <w:adjustRightInd w:val="0"/>
        <w:snapToGrid w:val="0"/>
        <w:spacing w:line="200" w:lineRule="exact"/>
        <w:rPr>
          <w:rFonts w:hint="eastAsia"/>
          <w:color w:val="0D0D0D"/>
          <w:szCs w:val="32"/>
        </w:rPr>
      </w:pPr>
    </w:p>
    <w:p>
      <w:pPr>
        <w:adjustRightInd w:val="0"/>
        <w:snapToGrid w:val="0"/>
        <w:spacing w:line="200" w:lineRule="exact"/>
        <w:rPr>
          <w:rFonts w:hint="eastAsia"/>
          <w:color w:val="0D0D0D"/>
          <w:szCs w:val="32"/>
        </w:rPr>
      </w:pPr>
    </w:p>
    <w:p>
      <w:pPr>
        <w:adjustRightInd w:val="0"/>
        <w:snapToGrid w:val="0"/>
        <w:spacing w:line="200" w:lineRule="exact"/>
        <w:rPr>
          <w:rFonts w:hint="eastAsia"/>
          <w:color w:val="0D0D0D"/>
          <w:szCs w:val="32"/>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1"/>
        <w:gridCol w:w="998"/>
        <w:gridCol w:w="2229"/>
        <w:gridCol w:w="1065"/>
        <w:gridCol w:w="885"/>
        <w:gridCol w:w="415"/>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5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w:t>
            </w:r>
          </w:p>
        </w:tc>
        <w:tc>
          <w:tcPr>
            <w:tcW w:w="55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重庆市九龙坡区机关综合事务中心财政拨款收支总表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0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311.15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bl>
    <w:p>
      <w:pPr>
        <w:adjustRightInd w:val="0"/>
        <w:snapToGrid w:val="0"/>
        <w:spacing w:line="200" w:lineRule="exact"/>
        <w:rPr>
          <w:rFonts w:hint="eastAsia"/>
          <w:color w:val="0D0D0D"/>
          <w:szCs w:val="32"/>
        </w:rPr>
        <w:sectPr>
          <w:footerReference r:id="rId3" w:type="default"/>
          <w:footerReference r:id="rId4" w:type="even"/>
          <w:pgSz w:w="11906" w:h="16838"/>
          <w:pgMar w:top="2098" w:right="1531" w:bottom="1985" w:left="1531" w:header="851" w:footer="1474" w:gutter="0"/>
          <w:cols w:space="720" w:num="1"/>
          <w:docGrid w:linePitch="579" w:charSpace="-849"/>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3860"/>
        <w:gridCol w:w="818"/>
        <w:gridCol w:w="1256"/>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附表2</w:t>
            </w: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重庆市九龙坡区机关综合事务中心一般公共预算财政拨款支出预算表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gridSpan w:val="5"/>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2"/>
        <w:gridCol w:w="3016"/>
        <w:gridCol w:w="880"/>
        <w:gridCol w:w="1352"/>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附表3</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5"/>
            <w:vMerge w:val="restart"/>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sz w:val="24"/>
                <w:szCs w:val="24"/>
                <w:u w:val="none"/>
              </w:rPr>
              <w:t>重庆市九龙坡区机关综合事务中心一般公共预算财政拨款基本支出预算表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5"/>
            <w:vMerge w:val="continue"/>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 xml:space="preserve">  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2"/>
                <w:lang w:val="en-US" w:eastAsia="zh-CN" w:bidi="ar"/>
              </w:rPr>
              <w:t>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46"/>
        <w:gridCol w:w="4349"/>
        <w:gridCol w:w="2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附表4</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sz w:val="28"/>
                <w:szCs w:val="28"/>
                <w:u w:val="none"/>
              </w:rPr>
              <w:t>重庆市九龙坡区机关综合事务中心</w:t>
            </w:r>
            <w:r>
              <w:rPr>
                <w:rFonts w:hint="eastAsia" w:ascii="方正小标宋_GBK" w:hAnsi="方正小标宋_GBK" w:eastAsia="方正小标宋_GBK" w:cs="方正小标宋_GBK"/>
                <w:i w:val="0"/>
                <w:iCs w:val="0"/>
                <w:color w:val="000000"/>
                <w:kern w:val="0"/>
                <w:sz w:val="28"/>
                <w:szCs w:val="28"/>
                <w:u w:val="none"/>
                <w:lang w:val="en-US" w:eastAsia="zh-CN" w:bidi="ar"/>
              </w:rPr>
              <w:t>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9.02</w:t>
            </w: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2136"/>
        <w:gridCol w:w="696"/>
        <w:gridCol w:w="1896"/>
        <w:gridCol w:w="189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附表</w:t>
            </w:r>
            <w:r>
              <w:rPr>
                <w:rFonts w:ascii="宋体" w:hAnsi="宋体" w:eastAsia="宋体" w:cs="宋体"/>
                <w:i w:val="0"/>
                <w:iCs w:val="0"/>
                <w:color w:val="000000"/>
                <w:kern w:val="0"/>
                <w:sz w:val="18"/>
                <w:szCs w:val="18"/>
                <w:u w:val="none"/>
                <w:lang w:val="en-US" w:eastAsia="zh-CN" w:bidi="ar"/>
              </w:rPr>
              <w:t>5</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6"/>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sz w:val="28"/>
                <w:szCs w:val="28"/>
                <w:u w:val="none"/>
              </w:rPr>
              <w:t>重庆市九龙坡区机关综合事务中心</w:t>
            </w:r>
            <w:r>
              <w:rPr>
                <w:rFonts w:hint="eastAsia" w:ascii="方正小标宋_GBK" w:hAnsi="方正小标宋_GBK" w:eastAsia="方正小标宋_GBK" w:cs="方正小标宋_GBK"/>
                <w:i w:val="0"/>
                <w:iCs w:val="0"/>
                <w:color w:val="000000"/>
                <w:kern w:val="0"/>
                <w:sz w:val="28"/>
                <w:szCs w:val="28"/>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6"/>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6"/>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3492"/>
        <w:gridCol w:w="1438"/>
        <w:gridCol w:w="1388"/>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附表6</w:t>
            </w: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重庆市九龙坡区机关综合事务中心政府性基金预算支出表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0" w:type="pct"/>
            <w:gridSpan w:val="5"/>
            <w:vMerge w:val="continue"/>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4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c>
          <w:tcPr>
            <w:tcW w:w="1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5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方正仿宋_GBK" w:hAnsi="方正仿宋_GBK" w:eastAsia="方正仿宋_GBK" w:cs="方正仿宋_GBK"/>
                <w:i w:val="0"/>
                <w:iCs w:val="0"/>
                <w:color w:val="000000"/>
                <w:sz w:val="20"/>
                <w:szCs w:val="20"/>
                <w:u w:val="none"/>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7"/>
        <w:gridCol w:w="1757"/>
        <w:gridCol w:w="2775"/>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9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附表7</w:t>
            </w: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4"/>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重庆市九龙坡区机关综合事务中心部门收支总表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4"/>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311.15</w:t>
            </w: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311.15</w:t>
            </w: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bl>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1929"/>
        <w:gridCol w:w="711"/>
        <w:gridCol w:w="795"/>
        <w:gridCol w:w="512"/>
        <w:gridCol w:w="523"/>
        <w:gridCol w:w="500"/>
        <w:gridCol w:w="431"/>
        <w:gridCol w:w="454"/>
        <w:gridCol w:w="477"/>
        <w:gridCol w:w="477"/>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附表8</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12"/>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重庆市九龙坡区机关综合事务中心部门收入总表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12"/>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3"/>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bl>
    <w:p>
      <w:pPr>
        <w:adjustRightInd w:val="0"/>
        <w:spacing w:line="200" w:lineRule="exact"/>
        <w:rPr>
          <w:rFonts w:hint="eastAsia"/>
          <w:szCs w:val="32"/>
        </w:rPr>
      </w:pPr>
    </w:p>
    <w:p>
      <w:pPr>
        <w:adjustRightInd w:val="0"/>
        <w:spacing w:line="200" w:lineRule="exact"/>
        <w:rPr>
          <w:rFonts w:hint="eastAsia"/>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4175"/>
        <w:gridCol w:w="876"/>
        <w:gridCol w:w="1307"/>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附表9</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重庆市九龙坡区机关综合事务中心部门支出总表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5"/>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311.15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pPr>
        <w:adjustRightInd w:val="0"/>
        <w:spacing w:line="200" w:lineRule="exact"/>
        <w:rPr>
          <w:rFonts w:hint="eastAsia"/>
          <w:szCs w:val="32"/>
        </w:rPr>
      </w:pPr>
    </w:p>
    <w:p>
      <w:pPr>
        <w:adjustRightInd w:val="0"/>
        <w:spacing w:line="200" w:lineRule="exact"/>
        <w:rPr>
          <w:rFonts w:hint="eastAsia"/>
          <w:szCs w:val="32"/>
        </w:rPr>
      </w:pPr>
    </w:p>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9"/>
        <w:gridCol w:w="4207"/>
        <w:gridCol w:w="3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2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附表10</w:t>
            </w:r>
          </w:p>
        </w:tc>
        <w:tc>
          <w:tcPr>
            <w:tcW w:w="23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重庆市九龙坡区机关综合事务中心一般公共预算财政拨款项目支出预算表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3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1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2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2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p/>
    <w:p/>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3855"/>
        <w:gridCol w:w="3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附表11</w:t>
            </w: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重庆市九龙坡区机关综合事务中心一般公共预算财政拨款项目支出预算表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3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1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gridCol w:w="363"/>
        <w:gridCol w:w="363"/>
        <w:gridCol w:w="363"/>
        <w:gridCol w:w="363"/>
        <w:gridCol w:w="363"/>
        <w:gridCol w:w="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2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000" w:type="pct"/>
            <w:gridSpan w:val="2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38"/>
                <w:szCs w:val="38"/>
                <w:u w:val="none"/>
              </w:rPr>
            </w:pPr>
            <w:r>
              <w:rPr>
                <w:rFonts w:ascii="宋体" w:hAnsi="宋体" w:eastAsia="宋体" w:cs="宋体"/>
                <w:i w:val="0"/>
                <w:iCs w:val="0"/>
                <w:color w:val="000000"/>
                <w:kern w:val="0"/>
                <w:sz w:val="38"/>
                <w:szCs w:val="38"/>
                <w:u w:val="none"/>
                <w:lang w:val="en-US" w:eastAsia="zh-CN" w:bidi="ar"/>
              </w:rPr>
              <w:t>重庆市九龙坡区机关综合事务中心政府采购明细表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25"/>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2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功能科目</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政府经济科目</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部门经济科目</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是否政府采购</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项目状态</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5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一般公共预算资金</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一般债券</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外国政府和国际组织贷款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外国政府和国际组织赠款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专项债券</w:t>
            </w: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事业收入资金</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上级补助收入资金</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附属单位上缴收入资金</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事业单位经营收入资金</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0"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WenQuanYi Micro Hei" w:hAnsi="WenQuanYi Micro Hei" w:eastAsia="WenQuanYi Micro Hei" w:cs="WenQuanYi Micro Hei"/>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WenQuanYi Micro Hei" w:hAnsi="WenQuanYi Micro Hei" w:eastAsia="WenQuanYi Micro Hei" w:cs="WenQuanYi Micro Hei"/>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1" w:type="pct"/>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2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r>
              <w:rPr>
                <w:rFonts w:hint="eastAsia" w:ascii="宋体" w:hAnsi="宋体" w:eastAsia="宋体" w:cs="宋体"/>
                <w:i w:val="0"/>
                <w:iCs w:val="0"/>
                <w:color w:val="000000"/>
                <w:sz w:val="22"/>
                <w:szCs w:val="22"/>
                <w:u w:val="none"/>
                <w:lang w:eastAsia="zh-CN"/>
              </w:rPr>
              <w:t>本单位无政府采购项目</w:t>
            </w:r>
          </w:p>
        </w:tc>
      </w:tr>
    </w:tbl>
    <w:p/>
    <w:p/>
    <w:p/>
    <w:p/>
    <w:p/>
    <w:p/>
    <w:p/>
    <w:p/>
    <w:p/>
    <w:p/>
    <w:p/>
    <w:p/>
    <w:p/>
    <w:p/>
    <w:p/>
    <w:p/>
    <w:p/>
    <w:p/>
    <w:tbl>
      <w:tblPr>
        <w:tblStyle w:val="4"/>
        <w:tblW w:w="50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664"/>
        <w:gridCol w:w="666"/>
        <w:gridCol w:w="1115"/>
        <w:gridCol w:w="778"/>
        <w:gridCol w:w="553"/>
        <w:gridCol w:w="556"/>
        <w:gridCol w:w="615"/>
        <w:gridCol w:w="465"/>
        <w:gridCol w:w="540"/>
        <w:gridCol w:w="1590"/>
        <w:gridCol w:w="236"/>
        <w:gridCol w:w="223"/>
        <w:gridCol w:w="223"/>
        <w:gridCol w:w="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55" w:hRule="atLeast"/>
        </w:trPr>
        <w:tc>
          <w:tcPr>
            <w:tcW w:w="42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附表13</w:t>
            </w:r>
          </w:p>
        </w:tc>
        <w:tc>
          <w:tcPr>
            <w:tcW w:w="35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6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93" w:hRule="atLeast"/>
        </w:trPr>
        <w:tc>
          <w:tcPr>
            <w:tcW w:w="5000" w:type="pct"/>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2026年重庆市九龙坡区机关综合事务中心项目绩效目标表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1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单位信息：</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112002-重庆市九龙坡区机关综合事务中心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6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职能职责与活动：</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63"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项目经办人：</w:t>
            </w:r>
          </w:p>
        </w:tc>
        <w:tc>
          <w:tcPr>
            <w:tcW w:w="16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项目总额（万元）：</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91"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预算执行率权重(%)：</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项目经办人电话：</w:t>
            </w:r>
          </w:p>
        </w:tc>
        <w:tc>
          <w:tcPr>
            <w:tcW w:w="16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财政资金（万元）：</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3"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整体目标：</w:t>
            </w:r>
          </w:p>
        </w:tc>
        <w:tc>
          <w:tcPr>
            <w:tcW w:w="2933"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3"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293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3"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293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社会投入资金：</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3"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2933"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银行贷款：</w:t>
            </w:r>
          </w:p>
        </w:tc>
        <w:tc>
          <w:tcPr>
            <w:tcW w:w="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91"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历史参考值</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3"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2" w:hRule="atLeast"/>
        </w:trPr>
        <w:tc>
          <w:tcPr>
            <w:tcW w:w="5000" w:type="pct"/>
            <w:gridSpan w:val="1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单位无项目，未开展项目绩效评价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2" w:hRule="atLeast"/>
        </w:trPr>
        <w:tc>
          <w:tcPr>
            <w:tcW w:w="5000" w:type="pct"/>
            <w:gridSpan w:val="15"/>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sectPr>
      <w:pgSz w:w="11906" w:h="16838"/>
      <w:pgMar w:top="2098" w:right="1531" w:bottom="1985"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3F499DB-765B-4099-A288-EE93CB70D860}"/>
  </w:font>
  <w:font w:name="方正仿宋_GBK">
    <w:panose1 w:val="03000509000000000000"/>
    <w:charset w:val="86"/>
    <w:family w:val="script"/>
    <w:pitch w:val="default"/>
    <w:sig w:usb0="00000001" w:usb1="080E0000" w:usb2="00000000" w:usb3="00000000" w:csb0="00040000" w:csb1="00000000"/>
    <w:embedRegular r:id="rId2" w:fontKey="{0C6D34B7-9167-4F81-9147-5AC1692E5228}"/>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45181B98-7F33-4F84-BAAD-C34995714F2B}"/>
  </w:font>
  <w:font w:name="方正小标宋_GBK">
    <w:panose1 w:val="03000509000000000000"/>
    <w:charset w:val="86"/>
    <w:family w:val="script"/>
    <w:pitch w:val="default"/>
    <w:sig w:usb0="00000001" w:usb1="080E0000" w:usb2="00000000" w:usb3="00000000" w:csb0="00040000" w:csb1="00000000"/>
    <w:embedRegular r:id="rId4" w:fontKey="{1F48D698-43B1-45EF-8577-E6AE61054647}"/>
  </w:font>
  <w:font w:name="方正黑体_GBK">
    <w:panose1 w:val="03000509000000000000"/>
    <w:charset w:val="86"/>
    <w:family w:val="script"/>
    <w:pitch w:val="default"/>
    <w:sig w:usb0="00000001" w:usb1="080E0000" w:usb2="00000000" w:usb3="00000000" w:csb0="00040000" w:csb1="00000000"/>
    <w:embedRegular r:id="rId5" w:fontKey="{F5643EA8-964E-4498-8FFC-40A86E997FA0}"/>
  </w:font>
  <w:font w:name="仿宋_GB2312">
    <w:panose1 w:val="02010609030101010101"/>
    <w:charset w:val="86"/>
    <w:family w:val="modern"/>
    <w:pitch w:val="default"/>
    <w:sig w:usb0="00000001" w:usb1="080E0000" w:usb2="00000000" w:usb3="00000000" w:csb0="00040000" w:csb1="00000000"/>
    <w:embedRegular r:id="rId6" w:fontKey="{E814F715-D2B8-43D1-A619-4DAEAED980D6}"/>
  </w:font>
  <w:font w:name="方正楷体_GBK">
    <w:panose1 w:val="03000509000000000000"/>
    <w:charset w:val="86"/>
    <w:family w:val="script"/>
    <w:pitch w:val="default"/>
    <w:sig w:usb0="00000001" w:usb1="080E0000" w:usb2="00000000" w:usb3="00000000" w:csb0="00040000" w:csb1="00000000"/>
    <w:embedRegular r:id="rId7" w:fontKey="{FDFE67A4-0F0E-49AA-87DC-2E54F83F3A58}"/>
  </w:font>
  <w:font w:name="方正大黑_GBK">
    <w:altName w:val="黑体"/>
    <w:panose1 w:val="00000000000000000000"/>
    <w:charset w:val="00"/>
    <w:family w:val="auto"/>
    <w:pitch w:val="default"/>
    <w:sig w:usb0="00000000" w:usb1="00000000" w:usb2="00000000" w:usb3="00000000" w:csb0="00000000" w:csb1="00000000"/>
    <w:embedRegular r:id="rId8" w:fontKey="{E2FB1D9B-4D24-4003-BE56-D77DBBF7BE55}"/>
  </w:font>
  <w:font w:name="WenQuanYi Micro Hei">
    <w:altName w:val="Segoe Print"/>
    <w:panose1 w:val="00000000000000000000"/>
    <w:charset w:val="00"/>
    <w:family w:val="auto"/>
    <w:pitch w:val="default"/>
    <w:sig w:usb0="00000000" w:usb1="00000000" w:usb2="00000000" w:usb3="00000000" w:csb0="00000000" w:csb1="00000000"/>
    <w:embedRegular r:id="rId9" w:fontKey="{E5903264-A32E-4B98-995B-43AD5C79A92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6"/>
        <w:rFonts w:hint="eastAsia" w:ascii="宋体" w:hAnsi="宋体" w:eastAsia="宋体"/>
        <w:sz w:val="28"/>
        <w:szCs w:val="28"/>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w:t>
    </w:r>
    <w:r>
      <w:rPr>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6"/>
        <w:rFonts w:hint="eastAsia" w:ascii="宋体" w:hAnsi="宋体" w:eastAsia="宋体"/>
        <w:sz w:val="28"/>
        <w:szCs w:val="28"/>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10</w:t>
    </w:r>
    <w:r>
      <w:rPr>
        <w:rFonts w:ascii="宋体" w:hAnsi="宋体" w:eastAsia="宋体"/>
        <w:sz w:val="28"/>
        <w:szCs w:val="28"/>
      </w:rPr>
      <w:fldChar w:fldCharType="end"/>
    </w:r>
    <w:r>
      <w:rPr>
        <w:rStyle w:val="6"/>
        <w:rFonts w:hint="eastAsia" w:ascii="宋体" w:hAnsi="宋体" w:eastAsia="宋体"/>
        <w:sz w:val="28"/>
        <w:szCs w:val="28"/>
      </w:rPr>
      <w:t xml:space="preserve"> —</w:t>
    </w:r>
  </w:p>
  <w:p>
    <w:pPr>
      <w:pStyle w:val="3"/>
      <w:framePr w:wrap="around" w:vAnchor="text" w:hAnchor="margin" w:xAlign="outside" w:y="1"/>
      <w:ind w:left="640" w:leftChars="200" w:right="640" w:rightChars="200" w:firstLine="360"/>
      <w:rPr>
        <w:rStyle w:val="6"/>
        <w:rFonts w:hint="eastAsia" w:ascii="宋体" w:hAnsi="宋体" w:eastAsia="宋体"/>
        <w:sz w:val="28"/>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WFiZmNkNmFhYzIxYmMxMjEyZDI0YmViM2JiMzEifQ=="/>
  </w:docVars>
  <w:rsids>
    <w:rsidRoot w:val="66875245"/>
    <w:rsid w:val="00FE32B1"/>
    <w:rsid w:val="02B31BC4"/>
    <w:rsid w:val="076065EF"/>
    <w:rsid w:val="07AA7A49"/>
    <w:rsid w:val="11DF65C3"/>
    <w:rsid w:val="14DD6F28"/>
    <w:rsid w:val="16D25783"/>
    <w:rsid w:val="1CE763D8"/>
    <w:rsid w:val="1D8037C4"/>
    <w:rsid w:val="1F8C51B7"/>
    <w:rsid w:val="1FE346CD"/>
    <w:rsid w:val="223F3C23"/>
    <w:rsid w:val="228473CC"/>
    <w:rsid w:val="29B45637"/>
    <w:rsid w:val="2AAA65EC"/>
    <w:rsid w:val="30A56CD5"/>
    <w:rsid w:val="397A2D0A"/>
    <w:rsid w:val="3F845551"/>
    <w:rsid w:val="400147D6"/>
    <w:rsid w:val="40D133CD"/>
    <w:rsid w:val="46F941C0"/>
    <w:rsid w:val="52F83048"/>
    <w:rsid w:val="557042E5"/>
    <w:rsid w:val="5C764D5D"/>
    <w:rsid w:val="5FC50BF4"/>
    <w:rsid w:val="62C46328"/>
    <w:rsid w:val="66875245"/>
    <w:rsid w:val="6A184540"/>
    <w:rsid w:val="6BE75EDA"/>
    <w:rsid w:val="6E2E499C"/>
    <w:rsid w:val="6E492ED1"/>
    <w:rsid w:val="70D93433"/>
    <w:rsid w:val="71691446"/>
    <w:rsid w:val="7F78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ind w:left="-178" w:leftChars="-85" w:right="-693" w:rightChars="-330" w:firstLine="560" w:firstLineChars="200"/>
    </w:pPr>
    <w:rPr>
      <w:rFonts w:eastAsia="宋体"/>
      <w:sz w:val="28"/>
      <w:szCs w:val="24"/>
    </w:rPr>
  </w:style>
  <w:style w:type="paragraph" w:styleId="3">
    <w:name w:val="footer"/>
    <w:basedOn w:val="1"/>
    <w:autoRedefine/>
    <w:qFormat/>
    <w:uiPriority w:val="0"/>
    <w:pPr>
      <w:tabs>
        <w:tab w:val="center" w:pos="4153"/>
        <w:tab w:val="right" w:pos="8306"/>
      </w:tabs>
      <w:snapToGrid w:val="0"/>
      <w:jc w:val="left"/>
    </w:pPr>
    <w:rPr>
      <w:sz w:val="18"/>
    </w:rPr>
  </w:style>
  <w:style w:type="character" w:styleId="6">
    <w:name w:val="page number"/>
    <w:basedOn w:val="5"/>
    <w:autoRedefine/>
    <w:qFormat/>
    <w:uiPriority w:val="0"/>
  </w:style>
  <w:style w:type="paragraph" w:styleId="7">
    <w:name w:val="List Paragraph"/>
    <w:basedOn w:val="1"/>
    <w:autoRedefine/>
    <w:qFormat/>
    <w:uiPriority w:val="34"/>
    <w:pPr>
      <w:ind w:firstLine="420" w:firstLineChars="200"/>
    </w:pPr>
    <w:rPr>
      <w:rFonts w:ascii="仿宋" w:hAnsi="仿宋" w:eastAsia="仿宋"/>
      <w:sz w:val="28"/>
      <w:szCs w:val="22"/>
    </w:rPr>
  </w:style>
  <w:style w:type="character" w:customStyle="1" w:styleId="8">
    <w:name w:val="font8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9">
    <w:name w:val="font9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10">
    <w:name w:val="font101"/>
    <w:basedOn w:val="5"/>
    <w:autoRedefine/>
    <w:qFormat/>
    <w:uiPriority w:val="0"/>
    <w:rPr>
      <w:rFonts w:hint="eastAsia" w:ascii="方正仿宋_GBK" w:hAnsi="方正仿宋_GBK" w:eastAsia="方正仿宋_GBK" w:cs="方正仿宋_GBK"/>
      <w:color w:val="000000"/>
      <w:sz w:val="24"/>
      <w:szCs w:val="24"/>
      <w:u w:val="none"/>
    </w:rPr>
  </w:style>
  <w:style w:type="character" w:customStyle="1" w:styleId="11">
    <w:name w:val="font7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12">
    <w:name w:val="font4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13">
    <w:name w:val="font61"/>
    <w:basedOn w:val="5"/>
    <w:autoRedefine/>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2024-02-27T01:15:00Z</dcterms:created>
  <dc:creator>冷酸柠智取王世昌</dc:creator>
  <cp:lastModifiedBy>Administrator</cp:lastModifiedBy>
  <dcterms:modified xsi:type="dcterms:W3CDTF">2026-02-09T02:52:01Z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3D8BF8B757634A038BC38C1CBA594580_13</vt:lpwstr>
  </property>
</Properties>
</file>