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重庆市九龙坡区疾病预防控制中心</w:t>
      </w:r>
    </w:p>
    <w:p>
      <w:pPr>
        <w:adjustRightInd w:val="0"/>
        <w:snapToGrid w:val="0"/>
        <w:spacing w:line="600" w:lineRule="exact"/>
        <w:jc w:val="center"/>
        <w:rPr>
          <w:rFonts w:eastAsia="方正小标宋_GBK" w:cs="华文中宋"/>
          <w:sz w:val="44"/>
          <w:szCs w:val="44"/>
        </w:rPr>
      </w:pPr>
      <w:r>
        <w:rPr>
          <w:rFonts w:hint="eastAsia" w:eastAsia="方正小标宋_GBK" w:cs="华文中宋"/>
          <w:sz w:val="44"/>
          <w:szCs w:val="44"/>
        </w:rPr>
        <w:t>2024年单位预算情况说明</w:t>
      </w:r>
    </w:p>
    <w:p>
      <w:pPr>
        <w:adjustRightInd w:val="0"/>
        <w:snapToGrid w:val="0"/>
        <w:spacing w:line="600" w:lineRule="exact"/>
        <w:ind w:firstLine="880" w:firstLineChars="200"/>
        <w:jc w:val="center"/>
        <w:rPr>
          <w:rFonts w:eastAsia="华文中宋" w:cs="华文中宋"/>
          <w:sz w:val="44"/>
          <w:szCs w:val="44"/>
        </w:rPr>
      </w:pP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一、单位基本情况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（一）职能职责。</w:t>
      </w:r>
      <w:r>
        <w:rPr>
          <w:rFonts w:hint="eastAsia" w:cs="仿宋_GB2312"/>
        </w:rPr>
        <w:t>重庆市九龙坡区疾病预防控制中心是政府举办的实施疾病预防控制与公共卫生技术管理和服务的公益性事业单位，承担疾病预防控制、突发公共卫生应急处置、疫情报告及健康相关因素信息管理、健康危害因素监测与干预、实验室检测分析与评价、健康教育与健康促进等工作任务，是九龙坡区疾病预防控制业务技术的指导中心，是社会公共卫生保障体系中重要的职能机构。</w:t>
      </w:r>
    </w:p>
    <w:p>
      <w:pPr>
        <w:adjustRightInd w:val="0"/>
        <w:snapToGrid w:val="0"/>
        <w:spacing w:line="600" w:lineRule="exact"/>
        <w:ind w:firstLine="640" w:firstLineChars="200"/>
        <w:rPr>
          <w:rFonts w:hint="eastAsia" w:cs="仿宋_GB2312"/>
        </w:rPr>
      </w:pPr>
      <w:r>
        <w:rPr>
          <w:rFonts w:hint="eastAsia" w:ascii="方正楷体_GBK" w:eastAsia="方正楷体_GBK" w:cs="仿宋_GB2312"/>
        </w:rPr>
        <w:t>（二）单位构成。</w:t>
      </w:r>
      <w:r>
        <w:rPr>
          <w:rFonts w:hint="eastAsia" w:cs="仿宋_GB2312"/>
        </w:rPr>
        <w:t>本单位为区卫生健康委所属副处级公益一类事业单位，内设综合科、资产管理科、人事科教科、宣传信息科、传染病预防控制科、公共卫生安全与监测科、技术管理科、健康教育促进科、结核病和艾滋病预防控制科、理化检验科、慢性非传染性疾病和地方病预防控制科、免疫规划管理科、突发公共卫生事件应急管理科、微生物检验科、学校卫生预防控制科、职业卫生安全与监测科共16个科室。</w:t>
      </w:r>
    </w:p>
    <w:p>
      <w:pPr>
        <w:adjustRightInd w:val="0"/>
        <w:snapToGrid w:val="0"/>
        <w:spacing w:line="600" w:lineRule="exact"/>
        <w:ind w:firstLine="640" w:firstLineChars="200"/>
        <w:rPr>
          <w:rFonts w:ascii="方正黑体_GBK" w:eastAsia="方正黑体_GBK" w:cs="仿宋_GB2312"/>
        </w:rPr>
      </w:pPr>
      <w:bookmarkStart w:id="0" w:name="_GoBack"/>
      <w:bookmarkEnd w:id="0"/>
      <w:r>
        <w:rPr>
          <w:rFonts w:hint="eastAsia" w:ascii="方正黑体_GBK" w:eastAsia="方正黑体_GBK" w:cs="仿宋_GB2312"/>
        </w:rPr>
        <w:t>二、单位收支总体情况</w:t>
      </w:r>
    </w:p>
    <w:p>
      <w:pPr>
        <w:adjustRightInd w:val="0"/>
        <w:snapToGrid w:val="0"/>
        <w:spacing w:line="600" w:lineRule="exact"/>
        <w:ind w:firstLine="640" w:firstLineChars="200"/>
        <w:rPr>
          <w:rFonts w:cs="仿宋_GB2312"/>
        </w:rPr>
      </w:pPr>
      <w:r>
        <w:rPr>
          <w:rFonts w:hint="eastAsia" w:ascii="方正楷体_GBK" w:eastAsia="方正楷体_GBK" w:cs="仿宋_GB2312"/>
        </w:rPr>
        <w:t>（一）收入预算。</w:t>
      </w:r>
      <w:r>
        <w:rPr>
          <w:rFonts w:hint="eastAsia" w:cs="仿宋_GB2312"/>
        </w:rPr>
        <w:t>2024年年初预算数</w:t>
      </w:r>
      <w:r>
        <w:rPr>
          <w:rFonts w:cs="仿宋_GB2312"/>
        </w:rPr>
        <w:t>22240.41</w:t>
      </w:r>
      <w:r>
        <w:rPr>
          <w:rFonts w:hint="eastAsia" w:cs="仿宋_GB2312"/>
        </w:rPr>
        <w:t>万元，其中：一般公共预算拨款</w:t>
      </w:r>
      <w:r>
        <w:rPr>
          <w:rFonts w:cs="仿宋_GB2312"/>
        </w:rPr>
        <w:t>8012.41</w:t>
      </w:r>
      <w:r>
        <w:rPr>
          <w:rFonts w:hint="eastAsia" w:cs="仿宋_GB2312"/>
        </w:rPr>
        <w:t>万元（含上年结转结余），政府性基金预算拨款</w:t>
      </w:r>
      <w:r>
        <w:rPr>
          <w:rFonts w:cs="仿宋_GB2312"/>
        </w:rPr>
        <w:t>0</w:t>
      </w:r>
      <w:r>
        <w:rPr>
          <w:rFonts w:hint="eastAsia" w:cs="仿宋_GB2312"/>
        </w:rPr>
        <w:t>万元，国有资本经营预算收入</w:t>
      </w:r>
      <w:r>
        <w:rPr>
          <w:rFonts w:cs="仿宋_GB2312"/>
        </w:rPr>
        <w:t>0</w:t>
      </w:r>
      <w:r>
        <w:rPr>
          <w:rFonts w:hint="eastAsia" w:cs="仿宋_GB2312"/>
        </w:rPr>
        <w:t>万元，事业收入</w:t>
      </w:r>
      <w:r>
        <w:rPr>
          <w:rFonts w:cs="仿宋_GB2312"/>
        </w:rPr>
        <w:t>14228.00</w:t>
      </w:r>
      <w:r>
        <w:rPr>
          <w:rFonts w:hint="eastAsia" w:cs="仿宋_GB2312"/>
        </w:rPr>
        <w:t>万元，事业单位经营收入</w:t>
      </w:r>
      <w:r>
        <w:rPr>
          <w:rFonts w:cs="仿宋_GB2312"/>
        </w:rPr>
        <w:t>0</w:t>
      </w:r>
      <w:r>
        <w:rPr>
          <w:rFonts w:hint="eastAsia" w:cs="仿宋_GB2312"/>
        </w:rPr>
        <w:t>万元，其他收入</w:t>
      </w:r>
      <w:r>
        <w:rPr>
          <w:rFonts w:cs="仿宋_GB2312"/>
        </w:rPr>
        <w:t>0</w:t>
      </w:r>
      <w:r>
        <w:rPr>
          <w:rFonts w:hint="eastAsia" w:cs="仿宋_GB2312"/>
        </w:rPr>
        <w:t>万元。收入较2023年增加</w:t>
      </w:r>
      <w:r>
        <w:rPr>
          <w:rFonts w:cs="仿宋_GB2312"/>
        </w:rPr>
        <w:t>2645.02</w:t>
      </w:r>
      <w:r>
        <w:rPr>
          <w:rFonts w:hint="eastAsia" w:cs="仿宋_GB2312"/>
        </w:rPr>
        <w:t>万元，主要是事业收入增加1</w:t>
      </w:r>
      <w:r>
        <w:rPr>
          <w:rFonts w:cs="仿宋_GB2312"/>
        </w:rPr>
        <w:t>908</w:t>
      </w:r>
      <w:r>
        <w:rPr>
          <w:rFonts w:hint="eastAsia" w:cs="仿宋_GB2312"/>
        </w:rPr>
        <w:t>万元，一般公共预算资金经费拨款增加</w:t>
      </w:r>
      <w:r>
        <w:rPr>
          <w:rFonts w:cs="仿宋_GB2312"/>
        </w:rPr>
        <w:t>737.02</w:t>
      </w:r>
      <w:r>
        <w:rPr>
          <w:rFonts w:hint="eastAsia" w:cs="仿宋_GB2312"/>
        </w:rPr>
        <w:t>万元（含上年结转结余）。</w:t>
      </w:r>
    </w:p>
    <w:p>
      <w:pPr>
        <w:adjustRightInd w:val="0"/>
        <w:snapToGrid w:val="0"/>
        <w:spacing w:line="600" w:lineRule="exact"/>
        <w:ind w:firstLine="640" w:firstLineChars="200"/>
        <w:rPr>
          <w:rFonts w:cs="仿宋_GB2312"/>
        </w:rPr>
      </w:pPr>
      <w:r>
        <w:rPr>
          <w:rFonts w:hint="eastAsia" w:ascii="方正楷体_GBK" w:eastAsia="方正楷体_GBK" w:cs="仿宋_GB2312"/>
        </w:rPr>
        <w:t>（二）支出预算。</w:t>
      </w:r>
      <w:r>
        <w:rPr>
          <w:rFonts w:hint="eastAsia" w:cs="仿宋_GB2312"/>
        </w:rPr>
        <w:t>2024年年初预算数</w:t>
      </w:r>
      <w:r>
        <w:rPr>
          <w:rFonts w:cs="仿宋_GB2312"/>
        </w:rPr>
        <w:t>22240.41</w:t>
      </w:r>
      <w:r>
        <w:rPr>
          <w:rFonts w:hint="eastAsia" w:cs="仿宋_GB2312"/>
        </w:rPr>
        <w:t>万元，其中：一般公共服务支出预算</w:t>
      </w:r>
      <w:r>
        <w:rPr>
          <w:rFonts w:cs="仿宋_GB2312"/>
        </w:rPr>
        <w:t>0</w:t>
      </w:r>
      <w:r>
        <w:rPr>
          <w:rFonts w:hint="eastAsia" w:cs="仿宋_GB2312"/>
        </w:rPr>
        <w:t>万元，教育支出预算</w:t>
      </w:r>
      <w:r>
        <w:rPr>
          <w:rFonts w:cs="仿宋_GB2312"/>
        </w:rPr>
        <w:t>0</w:t>
      </w:r>
      <w:r>
        <w:rPr>
          <w:rFonts w:hint="eastAsia" w:cs="仿宋_GB2312"/>
        </w:rPr>
        <w:t>万元，社会保障和就业支出预算</w:t>
      </w:r>
      <w:r>
        <w:rPr>
          <w:rFonts w:cs="仿宋_GB2312"/>
        </w:rPr>
        <w:t>436.94</w:t>
      </w:r>
      <w:r>
        <w:rPr>
          <w:rFonts w:hint="eastAsia" w:cs="仿宋_GB2312"/>
        </w:rPr>
        <w:t>万元，卫生健康支出预算</w:t>
      </w:r>
      <w:r>
        <w:rPr>
          <w:rFonts w:cs="仿宋_GB2312"/>
        </w:rPr>
        <w:t>21531.91</w:t>
      </w:r>
      <w:r>
        <w:rPr>
          <w:rFonts w:hint="eastAsia" w:cs="仿宋_GB2312"/>
        </w:rPr>
        <w:t>万元，住房保障支出预算</w:t>
      </w:r>
      <w:r>
        <w:rPr>
          <w:rFonts w:cs="仿宋_GB2312"/>
        </w:rPr>
        <w:t>271.56</w:t>
      </w:r>
      <w:r>
        <w:rPr>
          <w:rFonts w:hint="eastAsia" w:cs="仿宋_GB2312"/>
        </w:rPr>
        <w:t>万元。支出预算较2023年增加</w:t>
      </w:r>
      <w:r>
        <w:rPr>
          <w:rFonts w:cs="仿宋_GB2312"/>
        </w:rPr>
        <w:t>2645.02</w:t>
      </w:r>
      <w:r>
        <w:rPr>
          <w:rFonts w:hint="eastAsia" w:cs="仿宋_GB2312"/>
        </w:rPr>
        <w:t>万元，主要是基本支出预算增加</w:t>
      </w:r>
      <w:r>
        <w:rPr>
          <w:rFonts w:cs="仿宋_GB2312"/>
        </w:rPr>
        <w:t>246.33</w:t>
      </w:r>
      <w:r>
        <w:rPr>
          <w:rFonts w:hint="eastAsia" w:cs="仿宋_GB2312"/>
        </w:rPr>
        <w:t>万元，项目支出预算增加</w:t>
      </w:r>
      <w:r>
        <w:rPr>
          <w:rFonts w:cs="仿宋_GB2312"/>
        </w:rPr>
        <w:t>2398.69</w:t>
      </w:r>
      <w:r>
        <w:rPr>
          <w:rFonts w:hint="eastAsia" w:cs="仿宋_GB2312"/>
        </w:rPr>
        <w:t>万元。</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三、单位预算情况说明</w:t>
      </w:r>
    </w:p>
    <w:p>
      <w:pPr>
        <w:adjustRightInd w:val="0"/>
        <w:snapToGrid w:val="0"/>
        <w:spacing w:line="600" w:lineRule="exact"/>
        <w:ind w:firstLine="640" w:firstLineChars="200"/>
        <w:rPr>
          <w:rFonts w:cs="仿宋_GB2312"/>
        </w:rPr>
      </w:pPr>
      <w:r>
        <w:rPr>
          <w:rFonts w:hint="eastAsia" w:cs="仿宋_GB2312"/>
        </w:rPr>
        <w:t>2024年一般公共预算财政拨款收入</w:t>
      </w:r>
      <w:r>
        <w:rPr>
          <w:rFonts w:cs="仿宋_GB2312"/>
        </w:rPr>
        <w:t>8012.41</w:t>
      </w:r>
      <w:r>
        <w:rPr>
          <w:rFonts w:hint="eastAsia" w:cs="仿宋_GB2312"/>
        </w:rPr>
        <w:t>万元，一般公共预算财政拨款支出</w:t>
      </w:r>
      <w:r>
        <w:rPr>
          <w:rFonts w:cs="仿宋_GB2312"/>
        </w:rPr>
        <w:t>8012.41</w:t>
      </w:r>
      <w:r>
        <w:rPr>
          <w:rFonts w:hint="eastAsia" w:cs="仿宋_GB2312"/>
        </w:rPr>
        <w:t>万元，比2023年增加</w:t>
      </w:r>
      <w:r>
        <w:rPr>
          <w:rFonts w:cs="仿宋_GB2312"/>
        </w:rPr>
        <w:t>737.02</w:t>
      </w:r>
      <w:r>
        <w:rPr>
          <w:rFonts w:hint="eastAsia" w:cs="仿宋_GB2312"/>
        </w:rPr>
        <w:t>万元。其中：基本支出</w:t>
      </w:r>
      <w:r>
        <w:rPr>
          <w:rFonts w:cs="仿宋_GB2312"/>
        </w:rPr>
        <w:t>4000.62</w:t>
      </w:r>
      <w:r>
        <w:rPr>
          <w:rFonts w:hint="eastAsia" w:cs="仿宋_GB2312"/>
        </w:rPr>
        <w:t>万元，比2023年增加2</w:t>
      </w:r>
      <w:r>
        <w:rPr>
          <w:rFonts w:cs="仿宋_GB2312"/>
        </w:rPr>
        <w:t>46.33</w:t>
      </w:r>
      <w:r>
        <w:rPr>
          <w:rFonts w:hint="eastAsia" w:cs="仿宋_GB2312"/>
        </w:rPr>
        <w:t>万元，主要原因是单位实行人才引进，新进职工增加，用于保障疾病预防控制事业在职人员工资福利及社会保险缴费等支出相应增加；项目支出</w:t>
      </w:r>
      <w:r>
        <w:rPr>
          <w:rFonts w:cs="仿宋_GB2312"/>
        </w:rPr>
        <w:t>4011.79</w:t>
      </w:r>
      <w:r>
        <w:rPr>
          <w:rFonts w:hint="eastAsia" w:cs="仿宋_GB2312"/>
        </w:rPr>
        <w:t>万元，比2023年增加</w:t>
      </w:r>
      <w:r>
        <w:rPr>
          <w:rFonts w:cs="仿宋_GB2312"/>
        </w:rPr>
        <w:t>490.69</w:t>
      </w:r>
      <w:r>
        <w:rPr>
          <w:rFonts w:hint="eastAsia" w:cs="仿宋_GB2312"/>
        </w:rPr>
        <w:t>万元，主要原因是上年结转结余资金增加，主要用于基本公共卫生服务、重大公共卫生服务、突发公共卫生事件应急处置等重点工作。</w:t>
      </w:r>
    </w:p>
    <w:p>
      <w:pPr>
        <w:adjustRightInd w:val="0"/>
        <w:snapToGrid w:val="0"/>
        <w:spacing w:line="600" w:lineRule="exact"/>
        <w:ind w:firstLine="640" w:firstLineChars="200"/>
        <w:rPr>
          <w:rFonts w:cs="仿宋_GB2312"/>
        </w:rPr>
      </w:pPr>
      <w:r>
        <w:rPr>
          <w:rFonts w:hint="eastAsia" w:cs="仿宋_GB2312"/>
        </w:rPr>
        <w:t>重庆市九龙坡区疾病预防控制中心2024年无使用政府性基金预算拨款安排的支出。</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四、“三公”经费情况说明</w:t>
      </w:r>
    </w:p>
    <w:p>
      <w:pPr>
        <w:adjustRightInd w:val="0"/>
        <w:snapToGrid w:val="0"/>
        <w:spacing w:line="600" w:lineRule="exact"/>
        <w:ind w:firstLine="600"/>
        <w:rPr>
          <w:rFonts w:cs="仿宋_GB2312"/>
        </w:rPr>
      </w:pPr>
      <w:r>
        <w:rPr>
          <w:rFonts w:hint="eastAsia" w:cs="仿宋_GB2312"/>
        </w:rPr>
        <w:t>2024年“三公”经费预算</w:t>
      </w:r>
      <w:r>
        <w:rPr>
          <w:rFonts w:cs="仿宋_GB2312"/>
        </w:rPr>
        <w:t>50</w:t>
      </w:r>
      <w:r>
        <w:rPr>
          <w:rFonts w:hint="eastAsia" w:cs="仿宋_GB2312"/>
        </w:rPr>
        <w:t>万元，比2023年减少3</w:t>
      </w:r>
      <w:r>
        <w:rPr>
          <w:rFonts w:cs="仿宋_GB2312"/>
        </w:rPr>
        <w:t>1</w:t>
      </w:r>
      <w:r>
        <w:rPr>
          <w:rFonts w:hint="eastAsia" w:cs="仿宋_GB2312"/>
        </w:rPr>
        <w:t>万元。其中：因公出国（境）费用</w:t>
      </w:r>
      <w:r>
        <w:rPr>
          <w:rFonts w:cs="仿宋_GB2312"/>
        </w:rPr>
        <w:t>0</w:t>
      </w:r>
      <w:r>
        <w:rPr>
          <w:rFonts w:hint="eastAsia" w:cs="仿宋_GB2312"/>
        </w:rPr>
        <w:t>万元；公务接待费</w:t>
      </w:r>
      <w:r>
        <w:rPr>
          <w:rFonts w:cs="仿宋_GB2312"/>
        </w:rPr>
        <w:t>5</w:t>
      </w:r>
      <w:r>
        <w:rPr>
          <w:rFonts w:hint="eastAsia" w:cs="仿宋_GB2312"/>
        </w:rPr>
        <w:t>万元，与2023年持平；公务用车运行维护费</w:t>
      </w:r>
      <w:r>
        <w:rPr>
          <w:rFonts w:cs="仿宋_GB2312"/>
        </w:rPr>
        <w:t>45</w:t>
      </w:r>
      <w:r>
        <w:rPr>
          <w:rFonts w:hint="eastAsia" w:cs="仿宋_GB2312"/>
        </w:rPr>
        <w:t>万元，与2023年持平；公务用车购置费</w:t>
      </w:r>
      <w:r>
        <w:rPr>
          <w:rFonts w:cs="仿宋_GB2312"/>
        </w:rPr>
        <w:t>0</w:t>
      </w:r>
      <w:r>
        <w:rPr>
          <w:rFonts w:hint="eastAsia" w:cs="仿宋_GB2312"/>
        </w:rPr>
        <w:t>万元，比2023年减少</w:t>
      </w:r>
      <w:r>
        <w:rPr>
          <w:rFonts w:cs="仿宋_GB2312"/>
        </w:rPr>
        <w:t>31</w:t>
      </w:r>
      <w:r>
        <w:rPr>
          <w:rFonts w:hint="eastAsia" w:cs="仿宋_GB2312"/>
        </w:rPr>
        <w:t>万元，主要原因是2</w:t>
      </w:r>
      <w:r>
        <w:rPr>
          <w:rFonts w:cs="仿宋_GB2312"/>
        </w:rPr>
        <w:t>024</w:t>
      </w:r>
      <w:r>
        <w:rPr>
          <w:rFonts w:hint="eastAsia" w:cs="仿宋_GB2312"/>
        </w:rPr>
        <w:t>年无公务用车购置需求。</w:t>
      </w:r>
    </w:p>
    <w:p>
      <w:pPr>
        <w:adjustRightInd w:val="0"/>
        <w:snapToGrid w:val="0"/>
        <w:spacing w:line="600" w:lineRule="exact"/>
        <w:ind w:firstLine="640" w:firstLineChars="200"/>
        <w:rPr>
          <w:rFonts w:ascii="方正黑体_GBK" w:eastAsia="方正黑体_GBK" w:cs="仿宋_GB2312"/>
        </w:rPr>
      </w:pPr>
      <w:r>
        <w:rPr>
          <w:rFonts w:hint="eastAsia" w:ascii="方正黑体_GBK" w:eastAsia="方正黑体_GBK" w:cs="仿宋_GB2312"/>
        </w:rPr>
        <w:t>五、其他重要事项的情况说明</w:t>
      </w:r>
    </w:p>
    <w:p>
      <w:pPr>
        <w:adjustRightInd w:val="0"/>
        <w:snapToGrid w:val="0"/>
        <w:spacing w:line="600" w:lineRule="exact"/>
        <w:ind w:firstLine="640" w:firstLineChars="200"/>
        <w:rPr>
          <w:rFonts w:cs="仿宋_GB2312"/>
        </w:rPr>
      </w:pPr>
      <w:r>
        <w:rPr>
          <w:rFonts w:hint="eastAsia" w:cs="仿宋_GB2312"/>
        </w:rPr>
        <w:t>1.我单位不在机关运行经费统计范围之内。</w:t>
      </w:r>
    </w:p>
    <w:p>
      <w:pPr>
        <w:adjustRightInd w:val="0"/>
        <w:snapToGrid w:val="0"/>
        <w:spacing w:line="600" w:lineRule="exact"/>
        <w:ind w:firstLine="640" w:firstLineChars="200"/>
        <w:rPr>
          <w:rFonts w:cs="仿宋_GB2312"/>
        </w:rPr>
      </w:pPr>
      <w:r>
        <w:rPr>
          <w:rFonts w:hint="eastAsia" w:cs="仿宋_GB2312"/>
        </w:rPr>
        <w:t>2.政府采购情况。本单位政府采购预算总额</w:t>
      </w:r>
      <w:r>
        <w:rPr>
          <w:rFonts w:cs="仿宋_GB2312"/>
        </w:rPr>
        <w:t>447.78</w:t>
      </w:r>
      <w:r>
        <w:rPr>
          <w:rFonts w:hint="eastAsia" w:cs="仿宋_GB2312"/>
        </w:rPr>
        <w:t>万元：政府采购货物预算</w:t>
      </w:r>
      <w:r>
        <w:rPr>
          <w:rFonts w:cs="仿宋_GB2312"/>
        </w:rPr>
        <w:t>109.58</w:t>
      </w:r>
      <w:r>
        <w:rPr>
          <w:rFonts w:hint="eastAsia" w:cs="仿宋_GB2312"/>
        </w:rPr>
        <w:t>万元、政府采购工程预算</w:t>
      </w:r>
      <w:r>
        <w:rPr>
          <w:rFonts w:cs="仿宋_GB2312"/>
        </w:rPr>
        <w:t>0</w:t>
      </w:r>
      <w:r>
        <w:rPr>
          <w:rFonts w:hint="eastAsia" w:cs="仿宋_GB2312"/>
        </w:rPr>
        <w:t>万元、政府采购服务预算3</w:t>
      </w:r>
      <w:r>
        <w:rPr>
          <w:rFonts w:cs="仿宋_GB2312"/>
        </w:rPr>
        <w:t>38.20</w:t>
      </w:r>
      <w:r>
        <w:rPr>
          <w:rFonts w:hint="eastAsia" w:cs="仿宋_GB2312"/>
        </w:rPr>
        <w:t>万元；其中一般公共预算拨款政府采购</w:t>
      </w:r>
      <w:r>
        <w:rPr>
          <w:rFonts w:cs="仿宋_GB2312"/>
        </w:rPr>
        <w:t>447.78</w:t>
      </w:r>
      <w:r>
        <w:rPr>
          <w:rFonts w:hint="eastAsia" w:cs="仿宋_GB2312"/>
        </w:rPr>
        <w:t>万元：政府采购货物预算</w:t>
      </w:r>
      <w:r>
        <w:rPr>
          <w:rFonts w:cs="仿宋_GB2312"/>
        </w:rPr>
        <w:t>109.58</w:t>
      </w:r>
      <w:r>
        <w:rPr>
          <w:rFonts w:hint="eastAsia" w:cs="仿宋_GB2312"/>
        </w:rPr>
        <w:t xml:space="preserve">万元、政府采购工程预算 </w:t>
      </w:r>
      <w:r>
        <w:rPr>
          <w:rFonts w:cs="仿宋_GB2312"/>
        </w:rPr>
        <w:t>0</w:t>
      </w:r>
      <w:r>
        <w:rPr>
          <w:rFonts w:hint="eastAsia" w:cs="仿宋_GB2312"/>
        </w:rPr>
        <w:t>万元、政府采购服务预算3</w:t>
      </w:r>
      <w:r>
        <w:rPr>
          <w:rFonts w:cs="仿宋_GB2312"/>
        </w:rPr>
        <w:t>38.20</w:t>
      </w:r>
      <w:r>
        <w:rPr>
          <w:rFonts w:hint="eastAsia" w:cs="仿宋_GB2312"/>
        </w:rPr>
        <w:t>万元。</w:t>
      </w:r>
    </w:p>
    <w:p>
      <w:pPr>
        <w:adjustRightInd w:val="0"/>
        <w:snapToGrid w:val="0"/>
        <w:spacing w:line="600" w:lineRule="exact"/>
        <w:ind w:firstLine="640" w:firstLineChars="200"/>
        <w:rPr>
          <w:rFonts w:cs="仿宋_GB2312"/>
          <w:color w:val="000000"/>
        </w:rPr>
      </w:pPr>
      <w:r>
        <w:rPr>
          <w:rFonts w:hint="eastAsia" w:cs="仿宋_GB2312"/>
        </w:rPr>
        <w:t>3.绩效目标设置情况。</w:t>
      </w:r>
      <w:r>
        <w:rPr>
          <w:rFonts w:hint="eastAsia" w:cs="仿宋_GB2312"/>
          <w:color w:val="000000"/>
        </w:rPr>
        <w:t>2024年项目支出均实行了绩效目标管理，涉及一般公共预算当年财政拨款4</w:t>
      </w:r>
      <w:r>
        <w:rPr>
          <w:rFonts w:cs="仿宋_GB2312"/>
          <w:color w:val="000000"/>
        </w:rPr>
        <w:t>011</w:t>
      </w:r>
      <w:r>
        <w:rPr>
          <w:rFonts w:hint="eastAsia" w:cs="仿宋_GB2312"/>
          <w:color w:val="000000"/>
        </w:rPr>
        <w:t>.79万元。</w:t>
      </w:r>
    </w:p>
    <w:p>
      <w:pPr>
        <w:adjustRightInd w:val="0"/>
        <w:snapToGrid w:val="0"/>
        <w:spacing w:line="600" w:lineRule="exact"/>
        <w:ind w:firstLine="640" w:firstLineChars="200"/>
        <w:rPr>
          <w:rFonts w:cs="仿宋_GB2312"/>
          <w:color w:val="000000"/>
        </w:rPr>
      </w:pPr>
      <w:r>
        <w:rPr>
          <w:rFonts w:hint="eastAsia" w:cs="仿宋_GB2312"/>
          <w:color w:val="000000"/>
        </w:rPr>
        <w:t>4.国有资产占有使用情况。截止2023年12月，本单位共有车辆</w:t>
      </w:r>
      <w:r>
        <w:rPr>
          <w:rFonts w:cs="仿宋_GB2312"/>
          <w:color w:val="000000"/>
        </w:rPr>
        <w:t>9</w:t>
      </w:r>
      <w:r>
        <w:rPr>
          <w:rFonts w:hint="eastAsia" w:cs="仿宋_GB2312"/>
          <w:color w:val="000000"/>
        </w:rPr>
        <w:t>辆，其中一般公务用车</w:t>
      </w:r>
      <w:r>
        <w:rPr>
          <w:rFonts w:cs="仿宋_GB2312"/>
          <w:color w:val="000000"/>
        </w:rPr>
        <w:t>9</w:t>
      </w:r>
      <w:r>
        <w:rPr>
          <w:rFonts w:hint="eastAsia" w:cs="仿宋_GB2312"/>
          <w:color w:val="000000"/>
        </w:rPr>
        <w:t>辆、执勤执法用车</w:t>
      </w:r>
      <w:r>
        <w:rPr>
          <w:rFonts w:cs="仿宋_GB2312"/>
          <w:color w:val="000000"/>
        </w:rPr>
        <w:t>0</w:t>
      </w:r>
      <w:r>
        <w:rPr>
          <w:rFonts w:hint="eastAsia" w:cs="仿宋_GB2312"/>
          <w:color w:val="000000"/>
        </w:rPr>
        <w:t>辆。2024年一般公共预算安排购置车辆</w:t>
      </w:r>
      <w:r>
        <w:rPr>
          <w:rFonts w:cs="仿宋_GB2312"/>
          <w:color w:val="000000"/>
        </w:rPr>
        <w:t>0</w:t>
      </w:r>
      <w:r>
        <w:rPr>
          <w:rFonts w:hint="eastAsia" w:cs="仿宋_GB2312"/>
          <w:color w:val="000000"/>
        </w:rPr>
        <w:t>辆，其中一般公务用车</w:t>
      </w:r>
      <w:r>
        <w:rPr>
          <w:rFonts w:cs="仿宋_GB2312"/>
          <w:color w:val="000000"/>
        </w:rPr>
        <w:t>0</w:t>
      </w:r>
      <w:r>
        <w:rPr>
          <w:rFonts w:hint="eastAsia" w:cs="仿宋_GB2312"/>
          <w:color w:val="000000"/>
        </w:rPr>
        <w:t>辆、执勤执法用车</w:t>
      </w:r>
      <w:r>
        <w:rPr>
          <w:rFonts w:cs="仿宋_GB2312"/>
          <w:color w:val="000000"/>
        </w:rPr>
        <w:t>0</w:t>
      </w:r>
      <w:r>
        <w:rPr>
          <w:rFonts w:hint="eastAsia" w:cs="仿宋_GB2312"/>
          <w:color w:val="000000"/>
        </w:rPr>
        <w:t>辆。</w:t>
      </w:r>
    </w:p>
    <w:p>
      <w:pPr>
        <w:adjustRightInd w:val="0"/>
        <w:snapToGrid w:val="0"/>
        <w:spacing w:line="600" w:lineRule="exact"/>
        <w:ind w:firstLine="640" w:firstLineChars="200"/>
        <w:rPr>
          <w:rFonts w:eastAsia="方正黑体_GBK" w:cs="仿宋_GB2312"/>
        </w:rPr>
      </w:pPr>
      <w:r>
        <w:rPr>
          <w:rFonts w:hint="eastAsia" w:eastAsia="方正黑体_GBK" w:cs="仿宋_GB2312"/>
        </w:rPr>
        <w:t>六</w:t>
      </w:r>
      <w:r>
        <w:rPr>
          <w:rFonts w:eastAsia="方正黑体_GBK" w:cs="仿宋_GB2312"/>
        </w:rPr>
        <w:t>、</w:t>
      </w:r>
      <w:r>
        <w:rPr>
          <w:rFonts w:hint="eastAsia" w:eastAsia="方正黑体_GBK" w:cs="仿宋_GB2312"/>
        </w:rPr>
        <w:t>专业性名词解释</w:t>
      </w:r>
    </w:p>
    <w:p>
      <w:pPr>
        <w:pStyle w:val="11"/>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（一）财政拨款收入。</w:t>
      </w:r>
      <w:r>
        <w:rPr>
          <w:rFonts w:hint="eastAsia" w:ascii="Times New Roman" w:hAnsi="Times New Roman" w:eastAsia="方正仿宋_GBK"/>
          <w:sz w:val="32"/>
          <w:szCs w:val="32"/>
        </w:rPr>
        <w:t>指本年度从本级财政部门取得的财政拨款，包括一般公共预算财政拨款和政府性基金预算财政拨款。</w:t>
      </w:r>
    </w:p>
    <w:p>
      <w:pPr>
        <w:pStyle w:val="11"/>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（二）其他收入。</w:t>
      </w:r>
      <w:r>
        <w:rPr>
          <w:rFonts w:hint="eastAsia" w:ascii="Times New Roman" w:hAnsi="Times New Roman" w:eastAsia="方正仿宋_GBK"/>
          <w:sz w:val="32"/>
          <w:szCs w:val="32"/>
        </w:rPr>
        <w:t>指单位取得的除“财政拨款收入”、“事业收入”、“经营收入”等以外的收入。</w:t>
      </w:r>
    </w:p>
    <w:p>
      <w:pPr>
        <w:pStyle w:val="11"/>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（三）基本支出。</w:t>
      </w:r>
      <w:r>
        <w:rPr>
          <w:rFonts w:hint="eastAsia" w:ascii="Times New Roman" w:hAnsi="Times New Roman" w:eastAsia="方正仿宋_GBK"/>
          <w:sz w:val="32"/>
          <w:szCs w:val="32"/>
        </w:rPr>
        <w:t>指为保障机构正常运转、完成日常工作任务而发生的人员经费和公用经费。</w:t>
      </w:r>
    </w:p>
    <w:p>
      <w:pPr>
        <w:pStyle w:val="11"/>
        <w:tabs>
          <w:tab w:val="center" w:pos="4153"/>
          <w:tab w:val="left" w:pos="7275"/>
        </w:tabs>
        <w:adjustRightInd w:val="0"/>
        <w:snapToGrid w:val="0"/>
        <w:spacing w:line="600" w:lineRule="exact"/>
        <w:ind w:firstLine="640"/>
        <w:rPr>
          <w:rFonts w:ascii="Times New Roman" w:hAnsi="Times New Roman" w:eastAsia="方正仿宋_GBK"/>
          <w:sz w:val="32"/>
          <w:szCs w:val="32"/>
        </w:rPr>
      </w:pPr>
      <w:r>
        <w:rPr>
          <w:rFonts w:hint="eastAsia" w:ascii="方正楷体_GBK" w:hAnsi="Times New Roman" w:eastAsia="方正楷体_GBK"/>
          <w:sz w:val="32"/>
          <w:szCs w:val="32"/>
        </w:rPr>
        <w:t>（四）项目支出。</w:t>
      </w:r>
      <w:r>
        <w:rPr>
          <w:rFonts w:hint="eastAsia" w:ascii="Times New Roman" w:hAnsi="Times New Roman" w:eastAsia="方正仿宋_GBK"/>
          <w:sz w:val="32"/>
          <w:szCs w:val="32"/>
        </w:rPr>
        <w:t>指在基本支出之外为完成特定行政任务和事业发展目标所发生的支出。</w:t>
      </w:r>
    </w:p>
    <w:p>
      <w:pPr>
        <w:adjustRightInd w:val="0"/>
        <w:snapToGrid w:val="0"/>
        <w:spacing w:line="600" w:lineRule="exact"/>
        <w:ind w:firstLine="640" w:firstLineChars="200"/>
        <w:rPr>
          <w:rFonts w:cs="仿宋_GB2312"/>
          <w:color w:val="000000"/>
        </w:rPr>
      </w:pPr>
      <w:r>
        <w:rPr>
          <w:rFonts w:hint="eastAsia" w:ascii="方正楷体_GBK" w:eastAsia="方正楷体_GBK"/>
          <w:szCs w:val="32"/>
        </w:rPr>
        <w:t>（五）“三公”经费。</w:t>
      </w:r>
      <w:r>
        <w:rPr>
          <w:rFonts w:hint="eastAsia"/>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adjustRightInd w:val="0"/>
        <w:snapToGrid w:val="0"/>
        <w:spacing w:line="600" w:lineRule="exact"/>
        <w:ind w:firstLine="643" w:firstLineChars="200"/>
        <w:rPr>
          <w:rFonts w:cs="仿宋_GB2312"/>
          <w:b/>
        </w:rPr>
      </w:pPr>
    </w:p>
    <w:p>
      <w:pPr>
        <w:adjustRightInd w:val="0"/>
        <w:snapToGrid w:val="0"/>
        <w:spacing w:line="600" w:lineRule="exact"/>
        <w:ind w:firstLine="640" w:firstLineChars="200"/>
      </w:pPr>
      <w:r>
        <w:rPr>
          <w:rFonts w:hint="eastAsia" w:cs="仿宋_GB2312"/>
        </w:rPr>
        <w:t>单位预算公开联系人：陈晶  联系方式：0</w:t>
      </w:r>
      <w:r>
        <w:rPr>
          <w:rFonts w:cs="仿宋_GB2312"/>
        </w:rPr>
        <w:t>23-68058235</w:t>
      </w:r>
    </w:p>
    <w:p>
      <w:pPr>
        <w:adjustRightInd w:val="0"/>
        <w:snapToGrid w:val="0"/>
        <w:spacing w:line="600" w:lineRule="exact"/>
        <w:ind w:firstLine="643" w:firstLineChars="200"/>
        <w:rPr>
          <w:b/>
        </w:rPr>
      </w:pPr>
    </w:p>
    <w:p>
      <w:pPr>
        <w:pStyle w:val="3"/>
        <w:tabs>
          <w:tab w:val="left" w:pos="1560"/>
        </w:tabs>
        <w:adjustRightInd w:val="0"/>
        <w:snapToGrid w:val="0"/>
        <w:spacing w:line="600" w:lineRule="exact"/>
        <w:ind w:left="1600" w:leftChars="200" w:right="0" w:rightChars="0" w:hanging="960" w:hangingChars="300"/>
        <w:rPr>
          <w:rFonts w:hint="eastAsia" w:eastAsia="方正仿宋_GBK"/>
          <w:sz w:val="32"/>
          <w:szCs w:val="32"/>
        </w:rPr>
      </w:pPr>
      <w:r>
        <w:rPr>
          <w:rFonts w:hint="eastAsia" w:eastAsia="方正仿宋_GBK"/>
          <w:sz w:val="32"/>
          <w:szCs w:val="32"/>
        </w:rPr>
        <w:t>附表：1.2024年重庆市九龙坡区疾病预防控制中心财政拨款收支总表</w:t>
      </w:r>
    </w:p>
    <w:p>
      <w:pPr>
        <w:pStyle w:val="3"/>
        <w:adjustRightInd w:val="0"/>
        <w:snapToGrid w:val="0"/>
        <w:spacing w:line="600" w:lineRule="exact"/>
        <w:ind w:left="1600" w:leftChars="500" w:right="0" w:rightChars="0" w:firstLine="0" w:firstLineChars="0"/>
        <w:rPr>
          <w:rFonts w:hint="eastAsia" w:eastAsia="方正仿宋_GBK"/>
          <w:sz w:val="32"/>
          <w:szCs w:val="32"/>
        </w:rPr>
      </w:pPr>
      <w:r>
        <w:rPr>
          <w:rFonts w:hint="eastAsia" w:eastAsia="方正仿宋_GBK"/>
          <w:sz w:val="32"/>
          <w:szCs w:val="32"/>
        </w:rPr>
        <w:t>2</w:t>
      </w:r>
      <w:r>
        <w:rPr>
          <w:rFonts w:hint="eastAsia" w:eastAsia="方正仿宋_GBK"/>
          <w:spacing w:val="-10"/>
          <w:sz w:val="32"/>
          <w:szCs w:val="32"/>
        </w:rPr>
        <w:t>.2024年重庆市九龙坡区疾病预防控制中心一般公共预算财政拨款支出预算表</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1642" w:leftChars="513" w:right="0" w:rightChars="0" w:firstLine="0" w:firstLineChars="0"/>
        <w:textAlignment w:val="auto"/>
        <w:rPr>
          <w:rFonts w:hint="eastAsia" w:ascii="方正仿宋_GBK" w:hAnsi="方正仿宋_GBK" w:eastAsia="方正仿宋_GBK" w:cs="方正仿宋_GBK"/>
          <w:spacing w:val="0"/>
          <w:sz w:val="32"/>
          <w:szCs w:val="32"/>
        </w:rPr>
      </w:pPr>
      <w:r>
        <w:rPr>
          <w:rFonts w:hint="eastAsia" w:eastAsia="方正仿宋_GBK"/>
          <w:spacing w:val="-10"/>
          <w:sz w:val="32"/>
          <w:szCs w:val="32"/>
        </w:rPr>
        <w:t>3.2024</w:t>
      </w:r>
      <w:r>
        <w:rPr>
          <w:rFonts w:hint="eastAsia" w:ascii="方正仿宋_GBK" w:hAnsi="方正仿宋_GBK" w:eastAsia="方正仿宋_GBK" w:cs="方正仿宋_GBK"/>
          <w:spacing w:val="0"/>
          <w:sz w:val="32"/>
          <w:szCs w:val="32"/>
        </w:rPr>
        <w:t>年重庆市九龙坡区疾病预防控制中心一般公</w:t>
      </w:r>
      <w:r>
        <w:rPr>
          <w:rFonts w:hint="eastAsia" w:ascii="方正仿宋_GBK" w:hAnsi="方正仿宋_GBK" w:eastAsia="方正仿宋_GBK" w:cs="方正仿宋_GBK"/>
          <w:spacing w:val="0"/>
          <w:sz w:val="32"/>
          <w:szCs w:val="32"/>
          <w:lang w:eastAsia="zh-CN"/>
        </w:rPr>
        <w:t>共</w:t>
      </w:r>
      <w:r>
        <w:rPr>
          <w:rFonts w:hint="eastAsia" w:ascii="方正仿宋_GBK" w:hAnsi="方正仿宋_GBK" w:eastAsia="方正仿宋_GBK" w:cs="方正仿宋_GBK"/>
          <w:spacing w:val="0"/>
          <w:sz w:val="32"/>
          <w:szCs w:val="32"/>
        </w:rPr>
        <w:t>预算财政拨款基本支出预算表</w:t>
      </w:r>
    </w:p>
    <w:p>
      <w:pPr>
        <w:pStyle w:val="3"/>
        <w:keepNext w:val="0"/>
        <w:keepLines w:val="0"/>
        <w:pageBreakBefore w:val="0"/>
        <w:widowControl w:val="0"/>
        <w:kinsoku/>
        <w:wordWrap/>
        <w:overflowPunct/>
        <w:topLinePunct w:val="0"/>
        <w:autoSpaceDE/>
        <w:autoSpaceDN/>
        <w:bidi w:val="0"/>
        <w:adjustRightInd w:val="0"/>
        <w:snapToGrid w:val="0"/>
        <w:spacing w:line="600" w:lineRule="exact"/>
        <w:ind w:left="1642" w:leftChars="513" w:right="0" w:rightChars="0" w:firstLine="0" w:firstLineChars="0"/>
        <w:textAlignment w:val="auto"/>
        <w:rPr>
          <w:rFonts w:hint="default" w:eastAsia="方正仿宋_GBK"/>
          <w:sz w:val="32"/>
          <w:szCs w:val="32"/>
          <w:lang w:val="en-US" w:eastAsia="zh-CN"/>
        </w:rPr>
      </w:pPr>
      <w:r>
        <w:rPr>
          <w:rFonts w:hint="eastAsia" w:eastAsia="方正仿宋_GBK"/>
          <w:spacing w:val="-10"/>
          <w:sz w:val="32"/>
          <w:szCs w:val="32"/>
          <w:lang w:val="en-US" w:eastAsia="zh-CN"/>
        </w:rPr>
        <w:t>4.</w:t>
      </w:r>
      <w:r>
        <w:rPr>
          <w:rFonts w:hint="eastAsia" w:eastAsia="方正仿宋_GBK"/>
          <w:spacing w:val="-10"/>
          <w:sz w:val="32"/>
          <w:szCs w:val="32"/>
        </w:rPr>
        <w:t>2024</w:t>
      </w:r>
      <w:r>
        <w:rPr>
          <w:rFonts w:hint="eastAsia" w:ascii="方正仿宋_GBK" w:hAnsi="方正仿宋_GBK" w:eastAsia="方正仿宋_GBK" w:cs="方正仿宋_GBK"/>
          <w:spacing w:val="-17"/>
          <w:sz w:val="32"/>
          <w:szCs w:val="32"/>
        </w:rPr>
        <w:t>年重庆市九龙坡区疾病预防控制中心一般公</w:t>
      </w:r>
      <w:r>
        <w:rPr>
          <w:rFonts w:hint="eastAsia" w:ascii="方正仿宋_GBK" w:hAnsi="方正仿宋_GBK" w:eastAsia="方正仿宋_GBK" w:cs="方正仿宋_GBK"/>
          <w:spacing w:val="-17"/>
          <w:sz w:val="32"/>
          <w:szCs w:val="32"/>
          <w:lang w:eastAsia="zh-CN"/>
        </w:rPr>
        <w:t>共</w:t>
      </w:r>
      <w:r>
        <w:rPr>
          <w:rFonts w:hint="eastAsia" w:ascii="方正仿宋_GBK" w:hAnsi="方正仿宋_GBK" w:eastAsia="方正仿宋_GBK" w:cs="方正仿宋_GBK"/>
          <w:spacing w:val="-17"/>
          <w:sz w:val="32"/>
          <w:szCs w:val="32"/>
        </w:rPr>
        <w:t>预算财政拨款基本支出预算表</w:t>
      </w:r>
      <w:r>
        <w:rPr>
          <w:rFonts w:hint="eastAsia" w:ascii="方正仿宋_GBK" w:hAnsi="方正仿宋_GBK" w:eastAsia="方正仿宋_GBK" w:cs="方正仿宋_GBK"/>
          <w:spacing w:val="-17"/>
          <w:sz w:val="32"/>
          <w:szCs w:val="32"/>
          <w:lang w:eastAsia="zh-CN"/>
        </w:rPr>
        <w:t>（政府预算支出经济分类科目）</w:t>
      </w:r>
    </w:p>
    <w:p>
      <w:pPr>
        <w:pStyle w:val="3"/>
        <w:adjustRightInd w:val="0"/>
        <w:snapToGrid w:val="0"/>
        <w:spacing w:line="600" w:lineRule="exact"/>
        <w:ind w:left="1600" w:leftChars="500" w:right="0" w:rightChars="0" w:firstLine="0" w:firstLineChars="0"/>
        <w:rPr>
          <w:rFonts w:hint="eastAsia" w:eastAsia="方正仿宋_GBK"/>
          <w:sz w:val="32"/>
          <w:szCs w:val="32"/>
        </w:rPr>
      </w:pPr>
      <w:r>
        <w:rPr>
          <w:rFonts w:hint="eastAsia" w:eastAsia="方正仿宋_GBK"/>
          <w:sz w:val="32"/>
          <w:szCs w:val="32"/>
        </w:rPr>
        <w:t>5.2024年</w:t>
      </w:r>
      <w:r>
        <w:rPr>
          <w:rFonts w:hint="eastAsia" w:ascii="方正仿宋_GBK" w:hAnsi="方正仿宋_GBK" w:eastAsia="方正仿宋_GBK" w:cs="方正仿宋_GBK"/>
          <w:spacing w:val="0"/>
          <w:sz w:val="32"/>
          <w:szCs w:val="32"/>
        </w:rPr>
        <w:t>重庆市九龙坡区疾病预防控制中心</w:t>
      </w:r>
      <w:r>
        <w:rPr>
          <w:rFonts w:hint="eastAsia" w:eastAsia="方正仿宋_GBK"/>
          <w:spacing w:val="0"/>
          <w:sz w:val="32"/>
          <w:szCs w:val="32"/>
        </w:rPr>
        <w:t>一般公共预算“三公”经费支出表</w:t>
      </w:r>
    </w:p>
    <w:p>
      <w:pPr>
        <w:adjustRightInd w:val="0"/>
        <w:snapToGrid w:val="0"/>
        <w:spacing w:line="600" w:lineRule="exact"/>
        <w:ind w:left="1600" w:leftChars="500" w:firstLine="0" w:firstLineChars="0"/>
        <w:rPr>
          <w:rFonts w:hint="eastAsia"/>
          <w:szCs w:val="32"/>
        </w:rPr>
      </w:pPr>
      <w:r>
        <w:rPr>
          <w:rFonts w:hint="eastAsia"/>
          <w:szCs w:val="32"/>
        </w:rPr>
        <w:t>6.2024年</w:t>
      </w:r>
      <w:r>
        <w:rPr>
          <w:rFonts w:hint="eastAsia" w:ascii="方正仿宋_GBK" w:hAnsi="方正仿宋_GBK" w:eastAsia="方正仿宋_GBK" w:cs="方正仿宋_GBK"/>
          <w:spacing w:val="-17"/>
          <w:sz w:val="32"/>
          <w:szCs w:val="32"/>
        </w:rPr>
        <w:t>重庆市九龙坡区疾病预防控制中心</w:t>
      </w:r>
      <w:r>
        <w:rPr>
          <w:rFonts w:hint="eastAsia"/>
          <w:szCs w:val="32"/>
        </w:rPr>
        <w:t>政府性基金预算支出表</w:t>
      </w:r>
    </w:p>
    <w:p>
      <w:pPr>
        <w:adjustRightInd w:val="0"/>
        <w:snapToGrid w:val="0"/>
        <w:spacing w:line="600" w:lineRule="exact"/>
        <w:ind w:left="1651" w:leftChars="500" w:hanging="51" w:hangingChars="16"/>
        <w:rPr>
          <w:rFonts w:hint="eastAsia"/>
          <w:szCs w:val="32"/>
        </w:rPr>
      </w:pPr>
      <w:r>
        <w:rPr>
          <w:rFonts w:hint="eastAsia"/>
          <w:szCs w:val="32"/>
        </w:rPr>
        <w:t>7.2024年</w:t>
      </w:r>
      <w:r>
        <w:rPr>
          <w:rFonts w:hint="eastAsia" w:ascii="方正仿宋_GBK" w:hAnsi="方正仿宋_GBK" w:eastAsia="方正仿宋_GBK" w:cs="方正仿宋_GBK"/>
          <w:spacing w:val="-17"/>
          <w:sz w:val="32"/>
          <w:szCs w:val="32"/>
        </w:rPr>
        <w:t>重庆市九龙坡区疾病预防控制中心</w:t>
      </w:r>
      <w:r>
        <w:rPr>
          <w:rFonts w:hint="eastAsia"/>
          <w:szCs w:val="32"/>
        </w:rPr>
        <w:t>收支总表</w:t>
      </w:r>
    </w:p>
    <w:p>
      <w:pPr>
        <w:adjustRightInd w:val="0"/>
        <w:snapToGrid w:val="0"/>
        <w:spacing w:line="600" w:lineRule="exact"/>
        <w:ind w:left="1920" w:leftChars="500" w:hanging="320" w:hangingChars="100"/>
        <w:rPr>
          <w:rFonts w:hint="eastAsia"/>
          <w:spacing w:val="-17"/>
          <w:sz w:val="32"/>
          <w:szCs w:val="32"/>
        </w:rPr>
      </w:pPr>
      <w:r>
        <w:rPr>
          <w:rFonts w:hint="eastAsia"/>
          <w:szCs w:val="32"/>
        </w:rPr>
        <w:t>8.</w:t>
      </w:r>
      <w:r>
        <w:rPr>
          <w:rFonts w:hint="eastAsia"/>
          <w:spacing w:val="-17"/>
          <w:sz w:val="32"/>
          <w:szCs w:val="32"/>
        </w:rPr>
        <w:t>2024年</w:t>
      </w:r>
      <w:r>
        <w:rPr>
          <w:rFonts w:hint="eastAsia" w:ascii="方正仿宋_GBK" w:hAnsi="方正仿宋_GBK" w:eastAsia="方正仿宋_GBK" w:cs="方正仿宋_GBK"/>
          <w:spacing w:val="-17"/>
          <w:sz w:val="32"/>
          <w:szCs w:val="32"/>
        </w:rPr>
        <w:t>重庆市九龙坡区疾病预防控制中心</w:t>
      </w:r>
      <w:r>
        <w:rPr>
          <w:rFonts w:hint="eastAsia"/>
          <w:spacing w:val="-17"/>
          <w:sz w:val="32"/>
          <w:szCs w:val="32"/>
        </w:rPr>
        <w:t>收入总表</w:t>
      </w:r>
    </w:p>
    <w:p>
      <w:pPr>
        <w:adjustRightInd w:val="0"/>
        <w:snapToGrid w:val="0"/>
        <w:spacing w:line="600" w:lineRule="exact"/>
        <w:ind w:left="1600" w:leftChars="500" w:firstLine="0" w:firstLineChars="0"/>
        <w:rPr>
          <w:rFonts w:hint="eastAsia"/>
          <w:spacing w:val="-17"/>
          <w:sz w:val="32"/>
          <w:szCs w:val="32"/>
        </w:rPr>
      </w:pPr>
      <w:r>
        <w:rPr>
          <w:rFonts w:hint="eastAsia"/>
          <w:szCs w:val="32"/>
        </w:rPr>
        <w:t>9</w:t>
      </w:r>
      <w:r>
        <w:rPr>
          <w:rFonts w:hint="eastAsia"/>
          <w:spacing w:val="-17"/>
          <w:sz w:val="32"/>
          <w:szCs w:val="32"/>
        </w:rPr>
        <w:t>.2024年</w:t>
      </w:r>
      <w:r>
        <w:rPr>
          <w:rFonts w:hint="eastAsia" w:ascii="方正仿宋_GBK" w:hAnsi="方正仿宋_GBK" w:eastAsia="方正仿宋_GBK" w:cs="方正仿宋_GBK"/>
          <w:spacing w:val="0"/>
          <w:sz w:val="32"/>
          <w:szCs w:val="32"/>
        </w:rPr>
        <w:t>重庆市九龙坡区疾病预防控制中心</w:t>
      </w:r>
      <w:r>
        <w:rPr>
          <w:rFonts w:hint="eastAsia"/>
          <w:spacing w:val="0"/>
          <w:sz w:val="32"/>
          <w:szCs w:val="32"/>
        </w:rPr>
        <w:t>支出总表</w:t>
      </w:r>
      <w:r>
        <w:rPr>
          <w:rFonts w:hint="eastAsia"/>
          <w:szCs w:val="32"/>
        </w:rPr>
        <w:t>（功能科目分类到项）</w:t>
      </w:r>
    </w:p>
    <w:p>
      <w:pPr>
        <w:adjustRightInd w:val="0"/>
        <w:snapToGrid w:val="0"/>
        <w:spacing w:line="600" w:lineRule="exact"/>
        <w:ind w:left="1600" w:leftChars="500" w:firstLine="0" w:firstLineChars="0"/>
        <w:rPr>
          <w:rFonts w:hint="eastAsia"/>
          <w:szCs w:val="32"/>
        </w:rPr>
      </w:pPr>
      <w:r>
        <w:rPr>
          <w:rFonts w:hint="eastAsia"/>
          <w:szCs w:val="32"/>
        </w:rPr>
        <w:t>10.2024年</w:t>
      </w:r>
      <w:r>
        <w:rPr>
          <w:rFonts w:hint="eastAsia" w:ascii="方正仿宋_GBK" w:hAnsi="方正仿宋_GBK" w:eastAsia="方正仿宋_GBK" w:cs="方正仿宋_GBK"/>
          <w:spacing w:val="-17"/>
          <w:sz w:val="32"/>
          <w:szCs w:val="32"/>
        </w:rPr>
        <w:t>重庆市九龙坡区疾病预防控制中心</w:t>
      </w:r>
      <w:r>
        <w:rPr>
          <w:rFonts w:hint="eastAsia"/>
          <w:szCs w:val="32"/>
        </w:rPr>
        <w:t>一般公共预算财政拨款项目支出预算表（部门预算支出经济分类科目）</w:t>
      </w:r>
    </w:p>
    <w:p>
      <w:pPr>
        <w:adjustRightInd w:val="0"/>
        <w:snapToGrid w:val="0"/>
        <w:spacing w:line="600" w:lineRule="exact"/>
        <w:ind w:left="1600" w:leftChars="500" w:firstLine="0" w:firstLineChars="0"/>
        <w:rPr>
          <w:rFonts w:hint="eastAsia"/>
          <w:szCs w:val="32"/>
        </w:rPr>
      </w:pPr>
      <w:r>
        <w:rPr>
          <w:rFonts w:hint="eastAsia"/>
          <w:szCs w:val="32"/>
        </w:rPr>
        <w:t>11.2024年</w:t>
      </w:r>
      <w:r>
        <w:rPr>
          <w:rFonts w:hint="eastAsia" w:ascii="方正仿宋_GBK" w:hAnsi="方正仿宋_GBK" w:eastAsia="方正仿宋_GBK" w:cs="方正仿宋_GBK"/>
          <w:spacing w:val="-17"/>
          <w:sz w:val="32"/>
          <w:szCs w:val="32"/>
        </w:rPr>
        <w:t>重庆市九龙坡区疾病预防控制中心</w:t>
      </w:r>
      <w:r>
        <w:rPr>
          <w:rFonts w:hint="eastAsia"/>
          <w:szCs w:val="32"/>
        </w:rPr>
        <w:t>一般公共预算财政拨款项目支出预算表（政府预算支出经济分类科目）</w:t>
      </w:r>
    </w:p>
    <w:p>
      <w:pPr>
        <w:pStyle w:val="3"/>
        <w:tabs>
          <w:tab w:val="left" w:pos="1560"/>
        </w:tabs>
        <w:adjustRightInd w:val="0"/>
        <w:snapToGrid w:val="0"/>
        <w:spacing w:line="600" w:lineRule="exact"/>
        <w:ind w:left="1600" w:leftChars="500" w:right="0" w:rightChars="0" w:firstLine="0" w:firstLineChars="0"/>
        <w:rPr>
          <w:rFonts w:eastAsia="方正仿宋_GBK"/>
          <w:sz w:val="32"/>
          <w:szCs w:val="32"/>
        </w:rPr>
      </w:pPr>
      <w:r>
        <w:rPr>
          <w:rFonts w:hint="eastAsia" w:eastAsia="方正仿宋_GBK"/>
          <w:sz w:val="32"/>
          <w:szCs w:val="32"/>
        </w:rPr>
        <w:t>1</w:t>
      </w:r>
      <w:r>
        <w:rPr>
          <w:rFonts w:eastAsia="方正仿宋_GBK"/>
          <w:sz w:val="32"/>
          <w:szCs w:val="32"/>
        </w:rPr>
        <w:t>2</w:t>
      </w:r>
      <w:r>
        <w:rPr>
          <w:rFonts w:hint="eastAsia" w:eastAsia="方正仿宋_GBK"/>
          <w:sz w:val="32"/>
          <w:szCs w:val="32"/>
        </w:rPr>
        <w:t>.2024年</w:t>
      </w:r>
      <w:r>
        <w:rPr>
          <w:rFonts w:hint="eastAsia" w:ascii="方正仿宋_GBK" w:hAnsi="方正仿宋_GBK" w:eastAsia="方正仿宋_GBK" w:cs="方正仿宋_GBK"/>
          <w:spacing w:val="-17"/>
          <w:sz w:val="32"/>
          <w:szCs w:val="32"/>
        </w:rPr>
        <w:t>重庆市九龙坡区疾病预防控制中心</w:t>
      </w:r>
      <w:r>
        <w:rPr>
          <w:rFonts w:hint="eastAsia" w:eastAsia="方正仿宋_GBK"/>
          <w:sz w:val="32"/>
          <w:szCs w:val="32"/>
        </w:rPr>
        <w:t>政府采购明细表</w:t>
      </w:r>
    </w:p>
    <w:p>
      <w:pPr>
        <w:pStyle w:val="3"/>
        <w:tabs>
          <w:tab w:val="left" w:pos="1560"/>
        </w:tabs>
        <w:adjustRightInd w:val="0"/>
        <w:snapToGrid w:val="0"/>
        <w:spacing w:line="600" w:lineRule="exact"/>
        <w:ind w:left="1600" w:leftChars="500" w:right="0" w:rightChars="0" w:firstLine="0" w:firstLineChars="0"/>
        <w:rPr>
          <w:rFonts w:eastAsia="方正仿宋_GBK"/>
          <w:sz w:val="32"/>
          <w:szCs w:val="32"/>
        </w:rPr>
      </w:pPr>
      <w:r>
        <w:rPr>
          <w:rFonts w:hint="eastAsia" w:eastAsia="方正仿宋_GBK"/>
          <w:sz w:val="32"/>
          <w:szCs w:val="32"/>
        </w:rPr>
        <w:t>1</w:t>
      </w:r>
      <w:r>
        <w:rPr>
          <w:rFonts w:eastAsia="方正仿宋_GBK"/>
          <w:sz w:val="32"/>
          <w:szCs w:val="32"/>
        </w:rPr>
        <w:t>3</w:t>
      </w:r>
      <w:r>
        <w:rPr>
          <w:rFonts w:hint="eastAsia" w:eastAsia="方正仿宋_GBK"/>
          <w:sz w:val="32"/>
          <w:szCs w:val="32"/>
        </w:rPr>
        <w:t>.202</w:t>
      </w:r>
      <w:r>
        <w:rPr>
          <w:rFonts w:eastAsia="方正仿宋_GBK"/>
          <w:sz w:val="32"/>
          <w:szCs w:val="32"/>
        </w:rPr>
        <w:t>4</w:t>
      </w:r>
      <w:r>
        <w:rPr>
          <w:rFonts w:hint="eastAsia" w:eastAsia="方正仿宋_GBK"/>
          <w:sz w:val="32"/>
          <w:szCs w:val="32"/>
        </w:rPr>
        <w:t>年</w:t>
      </w:r>
      <w:r>
        <w:rPr>
          <w:rFonts w:hint="eastAsia" w:eastAsia="方正仿宋_GBK"/>
          <w:sz w:val="32"/>
          <w:szCs w:val="32"/>
          <w:lang w:eastAsia="zh-CN"/>
        </w:rPr>
        <w:t>重庆市</w:t>
      </w:r>
      <w:r>
        <w:rPr>
          <w:rFonts w:hint="eastAsia" w:eastAsia="方正仿宋_GBK"/>
          <w:sz w:val="32"/>
          <w:szCs w:val="32"/>
        </w:rPr>
        <w:t>九龙坡区疾病预防控制中心项目绩效目标表</w:t>
      </w:r>
    </w:p>
    <w:p>
      <w:pPr>
        <w:adjustRightInd w:val="0"/>
        <w:snapToGrid w:val="0"/>
        <w:spacing w:line="600" w:lineRule="exact"/>
        <w:rPr>
          <w:szCs w:val="32"/>
        </w:rPr>
      </w:pPr>
    </w:p>
    <w:p>
      <w:pPr>
        <w:pStyle w:val="2"/>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xYjYyODQyMmVjMzBlMzUxMGRjZGJhZTk3ODZmMTUifQ=="/>
  </w:docVars>
  <w:rsids>
    <w:rsidRoot w:val="00F924EF"/>
    <w:rsid w:val="0000353E"/>
    <w:rsid w:val="00017084"/>
    <w:rsid w:val="00025D9B"/>
    <w:rsid w:val="00070A4B"/>
    <w:rsid w:val="000B119C"/>
    <w:rsid w:val="000E00B8"/>
    <w:rsid w:val="000F6C84"/>
    <w:rsid w:val="00111EE0"/>
    <w:rsid w:val="00114C61"/>
    <w:rsid w:val="00130866"/>
    <w:rsid w:val="001608CA"/>
    <w:rsid w:val="001A5F73"/>
    <w:rsid w:val="001B162F"/>
    <w:rsid w:val="001C22D0"/>
    <w:rsid w:val="001D1D70"/>
    <w:rsid w:val="001D4DCF"/>
    <w:rsid w:val="001E7B10"/>
    <w:rsid w:val="00207519"/>
    <w:rsid w:val="00223728"/>
    <w:rsid w:val="00224D0E"/>
    <w:rsid w:val="00230C02"/>
    <w:rsid w:val="002427BE"/>
    <w:rsid w:val="00250EBF"/>
    <w:rsid w:val="00254501"/>
    <w:rsid w:val="00272C03"/>
    <w:rsid w:val="00291331"/>
    <w:rsid w:val="002A54BC"/>
    <w:rsid w:val="002B46F3"/>
    <w:rsid w:val="002F678A"/>
    <w:rsid w:val="00305E56"/>
    <w:rsid w:val="0030626D"/>
    <w:rsid w:val="00310A32"/>
    <w:rsid w:val="00322A41"/>
    <w:rsid w:val="003230A0"/>
    <w:rsid w:val="00356943"/>
    <w:rsid w:val="00422AA3"/>
    <w:rsid w:val="004239F2"/>
    <w:rsid w:val="00456476"/>
    <w:rsid w:val="00463216"/>
    <w:rsid w:val="004757E9"/>
    <w:rsid w:val="0047743D"/>
    <w:rsid w:val="004C4F3A"/>
    <w:rsid w:val="005177DE"/>
    <w:rsid w:val="0054628F"/>
    <w:rsid w:val="00564B68"/>
    <w:rsid w:val="005676D3"/>
    <w:rsid w:val="0058619C"/>
    <w:rsid w:val="00597C6A"/>
    <w:rsid w:val="005B4E6F"/>
    <w:rsid w:val="005E6918"/>
    <w:rsid w:val="005F47E6"/>
    <w:rsid w:val="00686A91"/>
    <w:rsid w:val="0069688F"/>
    <w:rsid w:val="006D299E"/>
    <w:rsid w:val="006D3D00"/>
    <w:rsid w:val="00700F26"/>
    <w:rsid w:val="00750FB2"/>
    <w:rsid w:val="00793CDD"/>
    <w:rsid w:val="007A1E73"/>
    <w:rsid w:val="00802F6B"/>
    <w:rsid w:val="008046D8"/>
    <w:rsid w:val="0080708D"/>
    <w:rsid w:val="008112AB"/>
    <w:rsid w:val="00837BD2"/>
    <w:rsid w:val="00876CFB"/>
    <w:rsid w:val="00884370"/>
    <w:rsid w:val="008A49E9"/>
    <w:rsid w:val="008D3505"/>
    <w:rsid w:val="00903098"/>
    <w:rsid w:val="00903F84"/>
    <w:rsid w:val="0091127C"/>
    <w:rsid w:val="0093520D"/>
    <w:rsid w:val="00942BA2"/>
    <w:rsid w:val="00985993"/>
    <w:rsid w:val="00987B2D"/>
    <w:rsid w:val="009967DB"/>
    <w:rsid w:val="009E6052"/>
    <w:rsid w:val="00A02446"/>
    <w:rsid w:val="00A055A3"/>
    <w:rsid w:val="00A13FDB"/>
    <w:rsid w:val="00A2076F"/>
    <w:rsid w:val="00A21A7E"/>
    <w:rsid w:val="00A30B77"/>
    <w:rsid w:val="00A86AFA"/>
    <w:rsid w:val="00A87740"/>
    <w:rsid w:val="00AA4797"/>
    <w:rsid w:val="00AA5DBB"/>
    <w:rsid w:val="00AF30C0"/>
    <w:rsid w:val="00AF43BA"/>
    <w:rsid w:val="00B03070"/>
    <w:rsid w:val="00B25310"/>
    <w:rsid w:val="00B75134"/>
    <w:rsid w:val="00BB2BFF"/>
    <w:rsid w:val="00BD7E6D"/>
    <w:rsid w:val="00BE71F8"/>
    <w:rsid w:val="00BF349D"/>
    <w:rsid w:val="00C61003"/>
    <w:rsid w:val="00C8460B"/>
    <w:rsid w:val="00C94F70"/>
    <w:rsid w:val="00C95130"/>
    <w:rsid w:val="00CB7C8D"/>
    <w:rsid w:val="00CD2F28"/>
    <w:rsid w:val="00CE0550"/>
    <w:rsid w:val="00D115A2"/>
    <w:rsid w:val="00D16A6B"/>
    <w:rsid w:val="00D607FA"/>
    <w:rsid w:val="00D60D09"/>
    <w:rsid w:val="00D65DB9"/>
    <w:rsid w:val="00D67B89"/>
    <w:rsid w:val="00D86B12"/>
    <w:rsid w:val="00DD07C8"/>
    <w:rsid w:val="00DE1396"/>
    <w:rsid w:val="00E03469"/>
    <w:rsid w:val="00E06DAE"/>
    <w:rsid w:val="00E12183"/>
    <w:rsid w:val="00E26EBE"/>
    <w:rsid w:val="00E36256"/>
    <w:rsid w:val="00EC0F61"/>
    <w:rsid w:val="00EC7338"/>
    <w:rsid w:val="00EE4B41"/>
    <w:rsid w:val="00F15F2D"/>
    <w:rsid w:val="00F21A35"/>
    <w:rsid w:val="00F226AB"/>
    <w:rsid w:val="00F70CE1"/>
    <w:rsid w:val="00F83944"/>
    <w:rsid w:val="00F924EF"/>
    <w:rsid w:val="00F961BF"/>
    <w:rsid w:val="00FA0BE6"/>
    <w:rsid w:val="00FD4264"/>
    <w:rsid w:val="00FF2E93"/>
    <w:rsid w:val="034D4E02"/>
    <w:rsid w:val="0CC848A4"/>
    <w:rsid w:val="1A273773"/>
    <w:rsid w:val="240E6225"/>
    <w:rsid w:val="241E2177"/>
    <w:rsid w:val="25C2024B"/>
    <w:rsid w:val="296E1870"/>
    <w:rsid w:val="2C574478"/>
    <w:rsid w:val="395F2BBE"/>
    <w:rsid w:val="3F3643C1"/>
    <w:rsid w:val="5AA224B3"/>
    <w:rsid w:val="60BC386B"/>
    <w:rsid w:val="615A3AE7"/>
    <w:rsid w:val="6C245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0"/>
      <w:lang w:val="en-US" w:eastAsia="zh-CN" w:bidi="ar-SA"/>
      <w14:ligatures w14:val="none"/>
    </w:rPr>
  </w:style>
  <w:style w:type="character" w:default="1" w:styleId="7">
    <w:name w:val="Default Paragraph Font"/>
    <w:autoRedefine/>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14:ligatures w14:val="standardContextual"/>
    </w:rPr>
  </w:style>
  <w:style w:type="paragraph" w:styleId="3">
    <w:name w:val="Block Text"/>
    <w:basedOn w:val="1"/>
    <w:autoRedefine/>
    <w:qFormat/>
    <w:uiPriority w:val="0"/>
    <w:pPr>
      <w:ind w:left="-178" w:leftChars="-85" w:right="-693" w:rightChars="-330" w:firstLine="560" w:firstLineChars="200"/>
    </w:pPr>
    <w:rPr>
      <w:rFonts w:eastAsia="宋体"/>
      <w:sz w:val="28"/>
      <w:szCs w:val="24"/>
    </w:rPr>
  </w:style>
  <w:style w:type="paragraph" w:styleId="4">
    <w:name w:val="header"/>
    <w:basedOn w:val="1"/>
    <w:link w:val="8"/>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14:ligatures w14:val="standardContextual"/>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99"/>
    <w:rPr>
      <w:sz w:val="18"/>
      <w:szCs w:val="18"/>
    </w:rPr>
  </w:style>
  <w:style w:type="character" w:customStyle="1" w:styleId="9">
    <w:name w:val="页脚 字符"/>
    <w:basedOn w:val="7"/>
    <w:link w:val="2"/>
    <w:autoRedefine/>
    <w:qFormat/>
    <w:uiPriority w:val="0"/>
    <w:rPr>
      <w:sz w:val="18"/>
      <w:szCs w:val="18"/>
    </w:rPr>
  </w:style>
  <w:style w:type="paragraph" w:customStyle="1" w:styleId="10">
    <w:name w:val="索引 51"/>
    <w:basedOn w:val="1"/>
    <w:next w:val="1"/>
    <w:autoRedefine/>
    <w:qFormat/>
    <w:uiPriority w:val="99"/>
    <w:pPr>
      <w:ind w:left="1680"/>
    </w:pPr>
  </w:style>
  <w:style w:type="paragraph" w:styleId="11">
    <w:name w:val="List Paragraph"/>
    <w:basedOn w:val="1"/>
    <w:autoRedefine/>
    <w:qFormat/>
    <w:uiPriority w:val="34"/>
    <w:pPr>
      <w:ind w:firstLine="420" w:firstLineChars="200"/>
    </w:pPr>
    <w:rPr>
      <w:rFonts w:ascii="仿宋" w:hAnsi="仿宋" w:eastAsia="仿宋"/>
      <w:sz w:val="2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E939-7590-4D3B-A9AC-1C48D2AA04F3}">
  <ds:schemaRefs/>
</ds:datastoreItem>
</file>

<file path=docProps/app.xml><?xml version="1.0" encoding="utf-8"?>
<Properties xmlns="http://schemas.openxmlformats.org/officeDocument/2006/extended-properties" xmlns:vt="http://schemas.openxmlformats.org/officeDocument/2006/docPropsVTypes">
  <Template>Normal</Template>
  <Pages>5</Pages>
  <Words>357</Words>
  <Characters>2035</Characters>
  <Lines>16</Lines>
  <Paragraphs>4</Paragraphs>
  <TotalTime>1</TotalTime>
  <ScaleCrop>false</ScaleCrop>
  <LinksUpToDate>false</LinksUpToDate>
  <CharactersWithSpaces>2388</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2024-02-26T02:28:00Z</dcterms:created>
  <dc:creator>文星 刘</dc:creator>
  <cp:lastModifiedBy>雁字回时，月满西楼</cp:lastModifiedBy>
  <cp:lastPrinted>2024-02-29T08:01:00Z</cp:lastPrinted>
  <dcterms:modified xsi:type="dcterms:W3CDTF">2024-03-05T10:32:47Z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9928B18EBB6B4E8EA11DA70725562808_12</vt:lpwstr>
  </property>
</Properties>
</file>