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sz w:val="32"/>
          <w:szCs w:val="32"/>
          <w:u w:val="none"/>
          <w:lang w:val="en-US" w:eastAsia="zh-CN"/>
        </w:rPr>
        <w:t>附件：</w:t>
      </w:r>
    </w:p>
    <w:tbl>
      <w:tblPr>
        <w:tblW w:w="807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9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  <w:t>2024年第二批重庆市创新型中小企业名单（九龙坡区）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重庆前沿骨科技术研究院有限公司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重庆湘都塑胶制品有限公司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重庆奥盾智能科技有限公司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重庆渝鸿创能物联科技有限公司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重庆秋翎机械制造有限公司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重庆尚洁日化用品有限公司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重庆创景数智科技有限公司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重庆九仁杰智能装备科技有限公司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重庆达联消防工程有限公司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重庆中特传动设备有限公司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中扭科技（重庆）有限公司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重庆拓前科技有限公司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重庆斯克特科技有限公司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重庆绿能市政工程有限公司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重庆迅邦科技有限公司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重庆精控软件技术有限公司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重庆万显昇节能科技有限公司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重庆沸洋科技有限公司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重庆远贝科技有限公司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和光精电（重庆）科技有限公司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3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2024-08-08T01:52:19Z</dcterms:created>
  <dc:creator>Administrator</dc:creator>
  <cp:lastModifiedBy>Administrator</cp:lastModifiedBy>
  <dcterms:modified xsi:type="dcterms:W3CDTF">2024-08-08T01:55:27Z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