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16AC2">
      <w:pPr>
        <w:spacing w:line="240" w:lineRule="auto"/>
        <w:jc w:val="center"/>
        <w:rPr>
          <w:rFonts w:hint="eastAsia" w:ascii="方正黑体_GBK" w:hAnsi="方正黑体_GBK" w:eastAsia="方正黑体_GBK" w:cs="方正黑体_GBK"/>
          <w:sz w:val="44"/>
          <w:szCs w:val="28"/>
          <w:lang w:eastAsia="zh-CN"/>
        </w:rPr>
      </w:pPr>
      <w:r>
        <w:rPr>
          <w:rFonts w:hint="eastAsia" w:ascii="方正黑体_GBK" w:hAnsi="方正黑体_GBK" w:eastAsia="方正黑体_GBK" w:cs="方正黑体_GBK"/>
          <w:sz w:val="44"/>
          <w:szCs w:val="28"/>
          <w:lang w:eastAsia="zh-CN"/>
        </w:rPr>
        <w:t>重庆市九龙坡区中等职业教育质量年度报告</w:t>
      </w:r>
    </w:p>
    <w:p w14:paraId="66397FB2">
      <w:pPr>
        <w:spacing w:line="240" w:lineRule="auto"/>
        <w:jc w:val="center"/>
        <w:rPr>
          <w:rFonts w:eastAsia="黑体" w:cs="Times New Roman"/>
          <w:sz w:val="44"/>
          <w:szCs w:val="28"/>
          <w:lang w:eastAsia="zh-CN"/>
        </w:rPr>
      </w:pPr>
      <w:r>
        <w:rPr>
          <w:rFonts w:eastAsia="黑体" w:cs="Times New Roman"/>
          <w:sz w:val="44"/>
          <w:szCs w:val="28"/>
          <w:lang w:eastAsia="zh-CN"/>
        </w:rPr>
        <w:t>（2025）</w:t>
      </w:r>
      <w:bookmarkStart w:id="246" w:name="_GoBack"/>
      <w:bookmarkEnd w:id="246"/>
    </w:p>
    <w:p w14:paraId="46E4CD2B">
      <w:pPr>
        <w:ind w:firstLine="480" w:firstLineChars="200"/>
        <w:rPr>
          <w:lang w:eastAsia="zh-CN"/>
        </w:rPr>
      </w:pPr>
    </w:p>
    <w:p w14:paraId="529FCDFA">
      <w:pPr>
        <w:ind w:firstLine="480" w:firstLineChars="200"/>
        <w:rPr>
          <w:lang w:eastAsia="zh-CN"/>
        </w:rPr>
      </w:pPr>
    </w:p>
    <w:p w14:paraId="57ADC41D">
      <w:pPr>
        <w:ind w:firstLine="480" w:firstLineChars="200"/>
        <w:rPr>
          <w:lang w:eastAsia="zh-CN"/>
        </w:rPr>
      </w:pPr>
    </w:p>
    <w:p w14:paraId="404973A3">
      <w:pPr>
        <w:ind w:firstLine="480" w:firstLineChars="200"/>
        <w:rPr>
          <w:lang w:eastAsia="zh-CN"/>
        </w:rPr>
      </w:pPr>
    </w:p>
    <w:p w14:paraId="5CE60BA8">
      <w:pPr>
        <w:ind w:firstLine="480" w:firstLineChars="200"/>
        <w:rPr>
          <w:lang w:eastAsia="zh-CN"/>
        </w:rPr>
      </w:pPr>
    </w:p>
    <w:p w14:paraId="005A04E7">
      <w:pPr>
        <w:ind w:firstLine="480" w:firstLineChars="200"/>
        <w:rPr>
          <w:lang w:eastAsia="zh-CN"/>
        </w:rPr>
      </w:pPr>
    </w:p>
    <w:p w14:paraId="187AAF5E">
      <w:pPr>
        <w:ind w:firstLine="480" w:firstLineChars="200"/>
        <w:rPr>
          <w:lang w:eastAsia="zh-CN"/>
        </w:rPr>
      </w:pPr>
    </w:p>
    <w:p w14:paraId="35A66B63">
      <w:pPr>
        <w:ind w:firstLine="480" w:firstLineChars="200"/>
        <w:rPr>
          <w:lang w:eastAsia="zh-CN"/>
        </w:rPr>
      </w:pPr>
    </w:p>
    <w:p w14:paraId="4C728CB0">
      <w:pPr>
        <w:ind w:firstLine="480" w:firstLineChars="200"/>
        <w:rPr>
          <w:lang w:eastAsia="zh-CN"/>
        </w:rPr>
      </w:pPr>
    </w:p>
    <w:p w14:paraId="618C122E">
      <w:pPr>
        <w:ind w:firstLine="480" w:firstLineChars="200"/>
        <w:rPr>
          <w:lang w:eastAsia="zh-CN"/>
        </w:rPr>
      </w:pPr>
    </w:p>
    <w:p w14:paraId="55A24B2C">
      <w:pPr>
        <w:ind w:firstLine="480" w:firstLineChars="200"/>
        <w:rPr>
          <w:lang w:eastAsia="zh-CN"/>
        </w:rPr>
      </w:pPr>
    </w:p>
    <w:p w14:paraId="4E2AB65E">
      <w:pPr>
        <w:ind w:firstLine="480" w:firstLineChars="200"/>
        <w:rPr>
          <w:lang w:eastAsia="zh-CN"/>
        </w:rPr>
      </w:pPr>
    </w:p>
    <w:p w14:paraId="57A316C1">
      <w:pPr>
        <w:ind w:firstLine="480" w:firstLineChars="200"/>
        <w:rPr>
          <w:lang w:eastAsia="zh-CN"/>
        </w:rPr>
      </w:pPr>
    </w:p>
    <w:p w14:paraId="26ACC574">
      <w:pPr>
        <w:ind w:firstLine="480" w:firstLineChars="200"/>
        <w:rPr>
          <w:lang w:eastAsia="zh-CN"/>
        </w:rPr>
      </w:pPr>
    </w:p>
    <w:p w14:paraId="4D1FB6BA">
      <w:pPr>
        <w:rPr>
          <w:lang w:eastAsia="zh-CN"/>
        </w:rPr>
      </w:pPr>
    </w:p>
    <w:p w14:paraId="54B1D144">
      <w:pPr>
        <w:rPr>
          <w:lang w:eastAsia="zh-CN"/>
        </w:rPr>
      </w:pPr>
    </w:p>
    <w:p w14:paraId="44B5F36C">
      <w:pPr>
        <w:rPr>
          <w:lang w:eastAsia="zh-CN"/>
        </w:rPr>
      </w:pPr>
    </w:p>
    <w:p w14:paraId="13484849">
      <w:pPr>
        <w:rPr>
          <w:lang w:eastAsia="zh-CN"/>
        </w:rPr>
      </w:pPr>
    </w:p>
    <w:p w14:paraId="5709C806">
      <w:pPr>
        <w:rPr>
          <w:lang w:eastAsia="zh-CN"/>
        </w:rPr>
      </w:pPr>
    </w:p>
    <w:p w14:paraId="2D4B6E2A">
      <w:pPr>
        <w:rPr>
          <w:lang w:eastAsia="zh-CN"/>
        </w:rPr>
      </w:pPr>
    </w:p>
    <w:p w14:paraId="41CE0EE2">
      <w:pPr>
        <w:rPr>
          <w:lang w:eastAsia="zh-CN"/>
        </w:rPr>
      </w:pPr>
    </w:p>
    <w:p w14:paraId="191DD4D6">
      <w:pPr>
        <w:rPr>
          <w:lang w:eastAsia="zh-CN"/>
        </w:rPr>
      </w:pPr>
    </w:p>
    <w:p w14:paraId="287ADC54">
      <w:pPr>
        <w:rPr>
          <w:lang w:eastAsia="zh-CN"/>
        </w:rPr>
      </w:pPr>
    </w:p>
    <w:p w14:paraId="0C633A0A">
      <w:pPr>
        <w:rPr>
          <w:lang w:eastAsia="zh-CN"/>
        </w:rPr>
      </w:pPr>
    </w:p>
    <w:p w14:paraId="4FF2CD66">
      <w:pPr>
        <w:rPr>
          <w:lang w:eastAsia="zh-CN"/>
        </w:rPr>
      </w:pPr>
    </w:p>
    <w:p w14:paraId="30BEA483">
      <w:pPr>
        <w:jc w:val="center"/>
        <w:rPr>
          <w:rFonts w:eastAsia="方正黑体_GBK" w:cs="Times New Roman"/>
          <w:sz w:val="32"/>
          <w:szCs w:val="24"/>
          <w:lang w:eastAsia="zh-CN"/>
        </w:rPr>
      </w:pPr>
      <w:r>
        <w:rPr>
          <w:rFonts w:eastAsia="方正黑体_GBK" w:cs="Times New Roman"/>
          <w:sz w:val="32"/>
          <w:szCs w:val="24"/>
          <w:lang w:eastAsia="zh-CN"/>
        </w:rPr>
        <w:t>重庆市九龙坡区教育委员会</w:t>
      </w:r>
    </w:p>
    <w:p w14:paraId="1CBA02FE">
      <w:pPr>
        <w:jc w:val="center"/>
        <w:rPr>
          <w:sz w:val="32"/>
          <w:szCs w:val="24"/>
        </w:rPr>
      </w:pPr>
      <w:r>
        <w:rPr>
          <w:rFonts w:eastAsia="方正黑体_GBK" w:cs="Times New Roman"/>
          <w:sz w:val="32"/>
          <w:szCs w:val="24"/>
        </w:rPr>
        <w:t>202</w:t>
      </w:r>
      <w:r>
        <w:rPr>
          <w:rFonts w:eastAsia="方正黑体_GBK" w:cs="Times New Roman"/>
          <w:sz w:val="32"/>
          <w:szCs w:val="24"/>
          <w:lang w:eastAsia="zh-CN"/>
        </w:rPr>
        <w:t>5</w:t>
      </w:r>
      <w:r>
        <w:rPr>
          <w:rFonts w:eastAsia="方正黑体_GBK" w:cs="Times New Roman"/>
          <w:sz w:val="32"/>
          <w:szCs w:val="24"/>
        </w:rPr>
        <w:t>年12</w:t>
      </w:r>
      <w:r>
        <w:rPr>
          <w:rFonts w:eastAsia="方正黑体_GBK" w:cs="Times New Roman"/>
          <w:sz w:val="32"/>
          <w:szCs w:val="24"/>
          <w:lang w:eastAsia="zh-CN"/>
        </w:rPr>
        <w:t>月</w:t>
      </w:r>
    </w:p>
    <w:p w14:paraId="2711961A">
      <w:pPr>
        <w:ind w:firstLine="640" w:firstLineChars="200"/>
        <w:rPr>
          <w:sz w:val="32"/>
          <w:szCs w:val="24"/>
        </w:rPr>
        <w:sectPr>
          <w:headerReference r:id="rId7" w:type="first"/>
          <w:footerReference r:id="rId10" w:type="first"/>
          <w:headerReference r:id="rId5" w:type="default"/>
          <w:footerReference r:id="rId8" w:type="default"/>
          <w:headerReference r:id="rId6" w:type="even"/>
          <w:footerReference r:id="rId9" w:type="even"/>
          <w:pgSz w:w="11905" w:h="16838"/>
          <w:pgMar w:top="1701" w:right="1701" w:bottom="1701" w:left="1701" w:header="1134" w:footer="1134" w:gutter="0"/>
          <w:cols w:space="0" w:num="1"/>
          <w:docGrid w:type="lines" w:linePitch="327" w:charSpace="0"/>
        </w:sectPr>
      </w:pPr>
    </w:p>
    <w:p w14:paraId="68B83664">
      <w:pPr>
        <w:spacing w:before="327" w:beforeLines="100" w:after="327" w:afterLines="100"/>
        <w:jc w:val="center"/>
        <w:rPr>
          <w:lang w:eastAsia="zh-CN"/>
        </w:rPr>
      </w:pPr>
      <w:r>
        <w:rPr>
          <w:rFonts w:hint="eastAsia" w:ascii="黑体" w:hAnsi="黑体" w:eastAsia="黑体" w:cs="黑体"/>
          <w:b/>
          <w:bCs/>
          <w:sz w:val="36"/>
          <w:szCs w:val="28"/>
          <w:lang w:eastAsia="zh-CN"/>
        </w:rPr>
        <w:t>目    录</w:t>
      </w:r>
    </w:p>
    <w:p w14:paraId="40D05151">
      <w:pPr>
        <w:pStyle w:val="14"/>
      </w:pPr>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_Toc24798 </w:instrText>
      </w:r>
      <w:r>
        <w:rPr>
          <w:rFonts w:hint="eastAsia"/>
        </w:rPr>
        <w:fldChar w:fldCharType="separate"/>
      </w:r>
      <w:r>
        <w:rPr>
          <w:lang w:eastAsia="zh-CN"/>
        </w:rPr>
        <w:t>前    言</w:t>
      </w:r>
      <w:r>
        <w:tab/>
      </w:r>
      <w:r>
        <w:fldChar w:fldCharType="begin"/>
      </w:r>
      <w:r>
        <w:instrText xml:space="preserve"> PAGEREF _Toc24798 \h </w:instrText>
      </w:r>
      <w:r>
        <w:fldChar w:fldCharType="separate"/>
      </w:r>
      <w:r>
        <w:t>1</w:t>
      </w:r>
      <w:r>
        <w:fldChar w:fldCharType="end"/>
      </w:r>
      <w:r>
        <w:rPr>
          <w:rFonts w:hint="eastAsia"/>
        </w:rPr>
        <w:fldChar w:fldCharType="end"/>
      </w:r>
    </w:p>
    <w:p w14:paraId="0C4C1293">
      <w:pPr>
        <w:pStyle w:val="14"/>
      </w:pPr>
      <w:r>
        <w:rPr>
          <w:rFonts w:hint="eastAsia"/>
        </w:rPr>
        <w:fldChar w:fldCharType="begin"/>
      </w:r>
      <w:r>
        <w:rPr>
          <w:rFonts w:hint="eastAsia"/>
        </w:rPr>
        <w:instrText xml:space="preserve"> HYPERLINK \l _Toc20446 </w:instrText>
      </w:r>
      <w:r>
        <w:rPr>
          <w:rFonts w:hint="eastAsia"/>
        </w:rPr>
        <w:fldChar w:fldCharType="separate"/>
      </w:r>
      <w:r>
        <w:rPr>
          <w:lang w:eastAsia="zh-CN"/>
        </w:rPr>
        <w:t>1</w:t>
      </w:r>
      <w:r>
        <w:rPr>
          <w:rFonts w:hint="eastAsia"/>
          <w:lang w:eastAsia="zh-CN"/>
        </w:rPr>
        <w:t xml:space="preserve"> </w:t>
      </w:r>
      <w:r>
        <w:rPr>
          <w:lang w:eastAsia="zh-CN"/>
        </w:rPr>
        <w:t>学校概况</w:t>
      </w:r>
      <w:r>
        <w:tab/>
      </w:r>
      <w:r>
        <w:fldChar w:fldCharType="begin"/>
      </w:r>
      <w:r>
        <w:instrText xml:space="preserve"> PAGEREF _Toc20446 \h </w:instrText>
      </w:r>
      <w:r>
        <w:fldChar w:fldCharType="separate"/>
      </w:r>
      <w:r>
        <w:t>2</w:t>
      </w:r>
      <w:r>
        <w:fldChar w:fldCharType="end"/>
      </w:r>
      <w:r>
        <w:rPr>
          <w:rFonts w:hint="eastAsia"/>
        </w:rPr>
        <w:fldChar w:fldCharType="end"/>
      </w:r>
    </w:p>
    <w:p w14:paraId="0273DBF1">
      <w:pPr>
        <w:pStyle w:val="17"/>
        <w:keepNext w:val="0"/>
        <w:keepLines w:val="0"/>
        <w:pageBreakBefore w:val="0"/>
        <w:widowControl w:val="0"/>
        <w:kinsoku/>
        <w:wordWrap/>
        <w:overflowPunct/>
        <w:topLinePunct w:val="0"/>
        <w:autoSpaceDE/>
        <w:autoSpaceDN/>
        <w:bidi w:val="0"/>
        <w:adjustRightInd/>
        <w:snapToGrid/>
        <w:ind w:left="0" w:leftChars="0"/>
        <w:textAlignment w:val="baseline"/>
      </w:pPr>
      <w:r>
        <w:rPr>
          <w:rFonts w:hint="eastAsia"/>
        </w:rPr>
        <w:fldChar w:fldCharType="begin"/>
      </w:r>
      <w:r>
        <w:rPr>
          <w:rFonts w:hint="eastAsia"/>
        </w:rPr>
        <w:instrText xml:space="preserve"> HYPERLINK \l _Toc24922 </w:instrText>
      </w:r>
      <w:r>
        <w:rPr>
          <w:rFonts w:hint="eastAsia"/>
        </w:rPr>
        <w:fldChar w:fldCharType="separate"/>
      </w:r>
      <w:r>
        <w:t>1.1 基本情况</w:t>
      </w:r>
      <w:r>
        <w:tab/>
      </w:r>
      <w:r>
        <w:fldChar w:fldCharType="begin"/>
      </w:r>
      <w:r>
        <w:instrText xml:space="preserve"> PAGEREF _Toc24922 \h </w:instrText>
      </w:r>
      <w:r>
        <w:fldChar w:fldCharType="separate"/>
      </w:r>
      <w:r>
        <w:t>2</w:t>
      </w:r>
      <w:r>
        <w:fldChar w:fldCharType="end"/>
      </w:r>
      <w:r>
        <w:rPr>
          <w:rFonts w:hint="eastAsia"/>
        </w:rPr>
        <w:fldChar w:fldCharType="end"/>
      </w:r>
    </w:p>
    <w:p w14:paraId="7B592298">
      <w:pPr>
        <w:pStyle w:val="17"/>
        <w:keepNext w:val="0"/>
        <w:keepLines w:val="0"/>
        <w:pageBreakBefore w:val="0"/>
        <w:widowControl w:val="0"/>
        <w:kinsoku/>
        <w:wordWrap/>
        <w:overflowPunct/>
        <w:topLinePunct w:val="0"/>
        <w:autoSpaceDE/>
        <w:autoSpaceDN/>
        <w:bidi w:val="0"/>
        <w:adjustRightInd/>
        <w:snapToGrid/>
        <w:ind w:left="0" w:leftChars="0"/>
        <w:textAlignment w:val="baseline"/>
      </w:pPr>
      <w:r>
        <w:rPr>
          <w:rFonts w:hint="eastAsia"/>
        </w:rPr>
        <w:fldChar w:fldCharType="begin"/>
      </w:r>
      <w:r>
        <w:rPr>
          <w:rFonts w:hint="eastAsia"/>
        </w:rPr>
        <w:instrText xml:space="preserve"> HYPERLINK \l _Toc5728 </w:instrText>
      </w:r>
      <w:r>
        <w:rPr>
          <w:rFonts w:hint="eastAsia"/>
        </w:rPr>
        <w:fldChar w:fldCharType="separate"/>
      </w:r>
      <w:r>
        <w:t>1.</w:t>
      </w:r>
      <w:r>
        <w:rPr>
          <w:rFonts w:hint="eastAsia"/>
        </w:rPr>
        <w:t>2 办学条件</w:t>
      </w:r>
      <w:r>
        <w:tab/>
      </w:r>
      <w:r>
        <w:fldChar w:fldCharType="begin"/>
      </w:r>
      <w:r>
        <w:instrText xml:space="preserve"> PAGEREF _Toc5728 \h </w:instrText>
      </w:r>
      <w:r>
        <w:fldChar w:fldCharType="separate"/>
      </w:r>
      <w:r>
        <w:t>2</w:t>
      </w:r>
      <w:r>
        <w:fldChar w:fldCharType="end"/>
      </w:r>
      <w:r>
        <w:rPr>
          <w:rFonts w:hint="eastAsia"/>
        </w:rPr>
        <w:fldChar w:fldCharType="end"/>
      </w:r>
    </w:p>
    <w:p w14:paraId="2EAE1B04">
      <w:pPr>
        <w:pStyle w:val="17"/>
        <w:bidi w:val="0"/>
      </w:pPr>
      <w:r>
        <w:rPr>
          <w:rFonts w:hint="eastAsia"/>
        </w:rPr>
        <w:fldChar w:fldCharType="begin"/>
      </w:r>
      <w:r>
        <w:rPr>
          <w:rFonts w:hint="eastAsia"/>
        </w:rPr>
        <w:instrText xml:space="preserve"> HYPERLINK \l _Toc27662 </w:instrText>
      </w:r>
      <w:r>
        <w:rPr>
          <w:rFonts w:hint="eastAsia"/>
        </w:rPr>
        <w:fldChar w:fldCharType="separate"/>
      </w:r>
      <w:r>
        <w:t>1.</w:t>
      </w:r>
      <w:r>
        <w:rPr>
          <w:rFonts w:hint="eastAsia"/>
        </w:rPr>
        <w:t>3 专业设置</w:t>
      </w:r>
      <w:r>
        <w:tab/>
      </w:r>
      <w:r>
        <w:fldChar w:fldCharType="begin"/>
      </w:r>
      <w:r>
        <w:instrText xml:space="preserve"> PAGEREF _Toc27662 \h </w:instrText>
      </w:r>
      <w:r>
        <w:fldChar w:fldCharType="separate"/>
      </w:r>
      <w:r>
        <w:t>3</w:t>
      </w:r>
      <w:r>
        <w:fldChar w:fldCharType="end"/>
      </w:r>
      <w:r>
        <w:rPr>
          <w:rFonts w:hint="eastAsia"/>
        </w:rPr>
        <w:fldChar w:fldCharType="end"/>
      </w:r>
    </w:p>
    <w:p w14:paraId="4B22859F">
      <w:pPr>
        <w:pStyle w:val="17"/>
        <w:keepNext w:val="0"/>
        <w:keepLines w:val="0"/>
        <w:pageBreakBefore w:val="0"/>
        <w:widowControl w:val="0"/>
        <w:kinsoku/>
        <w:wordWrap/>
        <w:overflowPunct/>
        <w:topLinePunct w:val="0"/>
        <w:autoSpaceDE/>
        <w:autoSpaceDN/>
        <w:bidi w:val="0"/>
        <w:adjustRightInd/>
        <w:snapToGrid/>
        <w:ind w:left="0" w:leftChars="0"/>
        <w:textAlignment w:val="baseline"/>
      </w:pPr>
      <w:r>
        <w:rPr>
          <w:rFonts w:hint="eastAsia"/>
        </w:rPr>
        <w:fldChar w:fldCharType="begin"/>
      </w:r>
      <w:r>
        <w:rPr>
          <w:rFonts w:hint="eastAsia"/>
        </w:rPr>
        <w:instrText xml:space="preserve"> HYPERLINK \l _Toc14643 </w:instrText>
      </w:r>
      <w:r>
        <w:rPr>
          <w:rFonts w:hint="eastAsia"/>
        </w:rPr>
        <w:fldChar w:fldCharType="separate"/>
      </w:r>
      <w:r>
        <w:t>1.</w:t>
      </w:r>
      <w:r>
        <w:rPr>
          <w:rFonts w:hint="eastAsia"/>
        </w:rPr>
        <w:t>4 师资队伍</w:t>
      </w:r>
      <w:r>
        <w:tab/>
      </w:r>
      <w:r>
        <w:fldChar w:fldCharType="begin"/>
      </w:r>
      <w:r>
        <w:instrText xml:space="preserve"> PAGEREF _Toc14643 \h </w:instrText>
      </w:r>
      <w:r>
        <w:fldChar w:fldCharType="separate"/>
      </w:r>
      <w:r>
        <w:t>4</w:t>
      </w:r>
      <w:r>
        <w:fldChar w:fldCharType="end"/>
      </w:r>
      <w:r>
        <w:rPr>
          <w:rFonts w:hint="eastAsia"/>
        </w:rPr>
        <w:fldChar w:fldCharType="end"/>
      </w:r>
    </w:p>
    <w:p w14:paraId="7D336268">
      <w:pPr>
        <w:pStyle w:val="17"/>
        <w:keepNext w:val="0"/>
        <w:keepLines w:val="0"/>
        <w:pageBreakBefore w:val="0"/>
        <w:widowControl w:val="0"/>
        <w:kinsoku/>
        <w:wordWrap/>
        <w:overflowPunct/>
        <w:topLinePunct w:val="0"/>
        <w:autoSpaceDE/>
        <w:autoSpaceDN/>
        <w:bidi w:val="0"/>
        <w:adjustRightInd/>
        <w:snapToGrid/>
        <w:ind w:left="0" w:leftChars="0"/>
        <w:textAlignment w:val="baseline"/>
      </w:pPr>
      <w:r>
        <w:rPr>
          <w:rFonts w:hint="eastAsia"/>
        </w:rPr>
        <w:fldChar w:fldCharType="begin"/>
      </w:r>
      <w:r>
        <w:rPr>
          <w:rFonts w:hint="eastAsia"/>
        </w:rPr>
        <w:instrText xml:space="preserve"> HYPERLINK \l _Toc8680 </w:instrText>
      </w:r>
      <w:r>
        <w:rPr>
          <w:rFonts w:hint="eastAsia"/>
        </w:rPr>
        <w:fldChar w:fldCharType="separate"/>
      </w:r>
      <w:r>
        <w:t>1.</w:t>
      </w:r>
      <w:r>
        <w:rPr>
          <w:rFonts w:hint="eastAsia"/>
        </w:rPr>
        <w:t>5 学生规模</w:t>
      </w:r>
      <w:r>
        <w:tab/>
      </w:r>
      <w:r>
        <w:fldChar w:fldCharType="begin"/>
      </w:r>
      <w:r>
        <w:instrText xml:space="preserve"> PAGEREF _Toc8680 \h </w:instrText>
      </w:r>
      <w:r>
        <w:fldChar w:fldCharType="separate"/>
      </w:r>
      <w:r>
        <w:t>4</w:t>
      </w:r>
      <w:r>
        <w:fldChar w:fldCharType="end"/>
      </w:r>
      <w:r>
        <w:rPr>
          <w:rFonts w:hint="eastAsia"/>
        </w:rPr>
        <w:fldChar w:fldCharType="end"/>
      </w:r>
    </w:p>
    <w:p w14:paraId="6313C07B">
      <w:pPr>
        <w:pStyle w:val="10"/>
        <w:bidi w:val="0"/>
      </w:pPr>
      <w:r>
        <w:rPr>
          <w:rFonts w:hint="eastAsia"/>
        </w:rPr>
        <w:fldChar w:fldCharType="begin"/>
      </w:r>
      <w:r>
        <w:rPr>
          <w:rFonts w:hint="eastAsia"/>
        </w:rPr>
        <w:instrText xml:space="preserve"> HYPERLINK \l _Toc1872 </w:instrText>
      </w:r>
      <w:r>
        <w:rPr>
          <w:rFonts w:hint="eastAsia"/>
        </w:rPr>
        <w:fldChar w:fldCharType="separate"/>
      </w:r>
      <w:r>
        <w:t>1.</w:t>
      </w:r>
      <w:r>
        <w:rPr>
          <w:rFonts w:hint="eastAsia"/>
        </w:rPr>
        <w:t>5.1 在校生规模</w:t>
      </w:r>
      <w:r>
        <w:tab/>
      </w:r>
      <w:r>
        <w:fldChar w:fldCharType="begin"/>
      </w:r>
      <w:r>
        <w:instrText xml:space="preserve"> PAGEREF _Toc1872 \h </w:instrText>
      </w:r>
      <w:r>
        <w:fldChar w:fldCharType="separate"/>
      </w:r>
      <w:r>
        <w:t>4</w:t>
      </w:r>
      <w:r>
        <w:fldChar w:fldCharType="end"/>
      </w:r>
      <w:r>
        <w:rPr>
          <w:rFonts w:hint="eastAsia"/>
        </w:rPr>
        <w:fldChar w:fldCharType="end"/>
      </w:r>
    </w:p>
    <w:p w14:paraId="110A5C50">
      <w:pPr>
        <w:pStyle w:val="10"/>
      </w:pPr>
      <w:r>
        <w:rPr>
          <w:rFonts w:hint="eastAsia"/>
        </w:rPr>
        <w:fldChar w:fldCharType="begin"/>
      </w:r>
      <w:r>
        <w:rPr>
          <w:rFonts w:hint="eastAsia"/>
        </w:rPr>
        <w:instrText xml:space="preserve"> HYPERLINK \l _Toc2228 </w:instrText>
      </w:r>
      <w:r>
        <w:rPr>
          <w:rFonts w:hint="eastAsia"/>
        </w:rPr>
        <w:fldChar w:fldCharType="separate"/>
      </w:r>
      <w:r>
        <w:t>1.</w:t>
      </w:r>
      <w:r>
        <w:rPr>
          <w:rFonts w:hint="eastAsia"/>
        </w:rPr>
        <w:t>5.2 招生规模</w:t>
      </w:r>
      <w:r>
        <w:tab/>
      </w:r>
      <w:r>
        <w:fldChar w:fldCharType="begin"/>
      </w:r>
      <w:r>
        <w:instrText xml:space="preserve"> PAGEREF _Toc2228 \h </w:instrText>
      </w:r>
      <w:r>
        <w:fldChar w:fldCharType="separate"/>
      </w:r>
      <w:r>
        <w:t>5</w:t>
      </w:r>
      <w:r>
        <w:fldChar w:fldCharType="end"/>
      </w:r>
      <w:r>
        <w:rPr>
          <w:rFonts w:hint="eastAsia"/>
        </w:rPr>
        <w:fldChar w:fldCharType="end"/>
      </w:r>
    </w:p>
    <w:p w14:paraId="70979FD4">
      <w:pPr>
        <w:pStyle w:val="10"/>
      </w:pPr>
      <w:r>
        <w:rPr>
          <w:rFonts w:hint="eastAsia"/>
        </w:rPr>
        <w:fldChar w:fldCharType="begin"/>
      </w:r>
      <w:r>
        <w:rPr>
          <w:rFonts w:hint="eastAsia"/>
        </w:rPr>
        <w:instrText xml:space="preserve"> HYPERLINK \l _Toc32543 </w:instrText>
      </w:r>
      <w:r>
        <w:rPr>
          <w:rFonts w:hint="eastAsia"/>
        </w:rPr>
        <w:fldChar w:fldCharType="separate"/>
      </w:r>
      <w:r>
        <w:t>1.</w:t>
      </w:r>
      <w:r>
        <w:rPr>
          <w:rFonts w:hint="eastAsia"/>
        </w:rPr>
        <w:t>5.3 毕业生规模</w:t>
      </w:r>
      <w:r>
        <w:tab/>
      </w:r>
      <w:r>
        <w:fldChar w:fldCharType="begin"/>
      </w:r>
      <w:r>
        <w:instrText xml:space="preserve"> PAGEREF _Toc32543 \h </w:instrText>
      </w:r>
      <w:r>
        <w:fldChar w:fldCharType="separate"/>
      </w:r>
      <w:r>
        <w:t>5</w:t>
      </w:r>
      <w:r>
        <w:fldChar w:fldCharType="end"/>
      </w:r>
      <w:r>
        <w:rPr>
          <w:rFonts w:hint="eastAsia"/>
        </w:rPr>
        <w:fldChar w:fldCharType="end"/>
      </w:r>
    </w:p>
    <w:p w14:paraId="653FD7EF">
      <w:pPr>
        <w:pStyle w:val="14"/>
      </w:pPr>
      <w:r>
        <w:rPr>
          <w:rFonts w:hint="eastAsia"/>
        </w:rPr>
        <w:fldChar w:fldCharType="begin"/>
      </w:r>
      <w:r>
        <w:rPr>
          <w:rFonts w:hint="eastAsia"/>
        </w:rPr>
        <w:instrText xml:space="preserve"> HYPERLINK \l _Toc15813 </w:instrText>
      </w:r>
      <w:r>
        <w:rPr>
          <w:rFonts w:hint="eastAsia"/>
        </w:rPr>
        <w:fldChar w:fldCharType="separate"/>
      </w:r>
      <w:r>
        <w:rPr>
          <w:rFonts w:hint="eastAsia"/>
          <w:lang w:eastAsia="zh-CN"/>
        </w:rPr>
        <w:t xml:space="preserve">2 </w:t>
      </w:r>
      <w:r>
        <w:rPr>
          <w:lang w:eastAsia="zh-CN"/>
        </w:rPr>
        <w:t>人才培养</w:t>
      </w:r>
      <w:r>
        <w:tab/>
      </w:r>
      <w:r>
        <w:fldChar w:fldCharType="begin"/>
      </w:r>
      <w:r>
        <w:instrText xml:space="preserve"> PAGEREF _Toc15813 \h </w:instrText>
      </w:r>
      <w:r>
        <w:fldChar w:fldCharType="separate"/>
      </w:r>
      <w:r>
        <w:t>7</w:t>
      </w:r>
      <w:r>
        <w:fldChar w:fldCharType="end"/>
      </w:r>
      <w:r>
        <w:rPr>
          <w:rFonts w:hint="eastAsia"/>
        </w:rPr>
        <w:fldChar w:fldCharType="end"/>
      </w:r>
    </w:p>
    <w:p w14:paraId="4EE7B52A">
      <w:pPr>
        <w:pStyle w:val="17"/>
      </w:pPr>
      <w:r>
        <w:rPr>
          <w:rFonts w:hint="eastAsia"/>
        </w:rPr>
        <w:fldChar w:fldCharType="begin"/>
      </w:r>
      <w:r>
        <w:rPr>
          <w:rFonts w:hint="eastAsia"/>
        </w:rPr>
        <w:instrText xml:space="preserve"> HYPERLINK \l _Toc10003 </w:instrText>
      </w:r>
      <w:r>
        <w:rPr>
          <w:rFonts w:hint="eastAsia"/>
        </w:rPr>
        <w:fldChar w:fldCharType="separate"/>
      </w:r>
      <w:r>
        <w:rPr>
          <w:rFonts w:hint="eastAsia"/>
        </w:rPr>
        <w:t>2.1 立德树人</w:t>
      </w:r>
      <w:r>
        <w:tab/>
      </w:r>
      <w:r>
        <w:fldChar w:fldCharType="begin"/>
      </w:r>
      <w:r>
        <w:instrText xml:space="preserve"> PAGEREF _Toc10003 \h </w:instrText>
      </w:r>
      <w:r>
        <w:fldChar w:fldCharType="separate"/>
      </w:r>
      <w:r>
        <w:t>7</w:t>
      </w:r>
      <w:r>
        <w:fldChar w:fldCharType="end"/>
      </w:r>
      <w:r>
        <w:rPr>
          <w:rFonts w:hint="eastAsia"/>
        </w:rPr>
        <w:fldChar w:fldCharType="end"/>
      </w:r>
    </w:p>
    <w:p w14:paraId="0BDF8EC8">
      <w:pPr>
        <w:pStyle w:val="10"/>
      </w:pPr>
      <w:r>
        <w:rPr>
          <w:rFonts w:hint="eastAsia"/>
        </w:rPr>
        <w:fldChar w:fldCharType="begin"/>
      </w:r>
      <w:r>
        <w:rPr>
          <w:rFonts w:hint="eastAsia"/>
        </w:rPr>
        <w:instrText xml:space="preserve"> HYPERLINK \l _Toc6814 </w:instrText>
      </w:r>
      <w:r>
        <w:rPr>
          <w:rFonts w:hint="eastAsia"/>
        </w:rPr>
        <w:fldChar w:fldCharType="separate"/>
      </w:r>
      <w:r>
        <w:t>2.1.1 构建大思政育人格局</w:t>
      </w:r>
      <w:r>
        <w:tab/>
      </w:r>
      <w:r>
        <w:fldChar w:fldCharType="begin"/>
      </w:r>
      <w:r>
        <w:instrText xml:space="preserve"> PAGEREF _Toc6814 \h </w:instrText>
      </w:r>
      <w:r>
        <w:fldChar w:fldCharType="separate"/>
      </w:r>
      <w:r>
        <w:t>7</w:t>
      </w:r>
      <w:r>
        <w:fldChar w:fldCharType="end"/>
      </w:r>
      <w:r>
        <w:rPr>
          <w:rFonts w:hint="eastAsia"/>
        </w:rPr>
        <w:fldChar w:fldCharType="end"/>
      </w:r>
    </w:p>
    <w:p w14:paraId="1C2D5289">
      <w:pPr>
        <w:pStyle w:val="10"/>
      </w:pPr>
      <w:r>
        <w:rPr>
          <w:rFonts w:hint="eastAsia"/>
        </w:rPr>
        <w:fldChar w:fldCharType="begin"/>
      </w:r>
      <w:r>
        <w:rPr>
          <w:rFonts w:hint="eastAsia"/>
        </w:rPr>
        <w:instrText xml:space="preserve"> HYPERLINK \l _Toc5131 </w:instrText>
      </w:r>
      <w:r>
        <w:rPr>
          <w:rFonts w:hint="eastAsia"/>
        </w:rPr>
        <w:fldChar w:fldCharType="separate"/>
      </w:r>
      <w:r>
        <w:t>2.</w:t>
      </w:r>
      <w:r>
        <w:rPr>
          <w:rFonts w:hint="eastAsia"/>
        </w:rPr>
        <w:t>1</w:t>
      </w:r>
      <w:r>
        <w:t>.</w:t>
      </w:r>
      <w:r>
        <w:rPr>
          <w:rFonts w:hint="eastAsia"/>
        </w:rPr>
        <w:t>2</w:t>
      </w:r>
      <w:r>
        <w:t xml:space="preserve"> </w:t>
      </w:r>
      <w:r>
        <w:rPr>
          <w:rFonts w:hint="eastAsia"/>
        </w:rPr>
        <w:t>系统化打造</w:t>
      </w:r>
      <w:r>
        <w:t>思政队伍</w:t>
      </w:r>
      <w:r>
        <w:tab/>
      </w:r>
      <w:r>
        <w:fldChar w:fldCharType="begin"/>
      </w:r>
      <w:r>
        <w:instrText xml:space="preserve"> PAGEREF _Toc5131 \h </w:instrText>
      </w:r>
      <w:r>
        <w:fldChar w:fldCharType="separate"/>
      </w:r>
      <w:r>
        <w:t>8</w:t>
      </w:r>
      <w:r>
        <w:fldChar w:fldCharType="end"/>
      </w:r>
      <w:r>
        <w:rPr>
          <w:rFonts w:hint="eastAsia"/>
        </w:rPr>
        <w:fldChar w:fldCharType="end"/>
      </w:r>
    </w:p>
    <w:p w14:paraId="0066C9C3">
      <w:pPr>
        <w:pStyle w:val="10"/>
      </w:pPr>
      <w:r>
        <w:rPr>
          <w:rFonts w:hint="eastAsia"/>
        </w:rPr>
        <w:fldChar w:fldCharType="begin"/>
      </w:r>
      <w:r>
        <w:rPr>
          <w:rFonts w:hint="eastAsia"/>
        </w:rPr>
        <w:instrText xml:space="preserve"> HYPERLINK \l _Toc17480 </w:instrText>
      </w:r>
      <w:r>
        <w:rPr>
          <w:rFonts w:hint="eastAsia"/>
        </w:rPr>
        <w:fldChar w:fldCharType="separate"/>
      </w:r>
      <w:r>
        <w:t>2.</w:t>
      </w:r>
      <w:r>
        <w:rPr>
          <w:rFonts w:hint="eastAsia"/>
        </w:rPr>
        <w:t>1</w:t>
      </w:r>
      <w:r>
        <w:t>.</w:t>
      </w:r>
      <w:r>
        <w:rPr>
          <w:rFonts w:hint="eastAsia"/>
        </w:rPr>
        <w:t>3</w:t>
      </w:r>
      <w:r>
        <w:t xml:space="preserve"> </w:t>
      </w:r>
      <w:r>
        <w:rPr>
          <w:rFonts w:hint="eastAsia"/>
        </w:rPr>
        <w:t>多渠道创新思政教育</w:t>
      </w:r>
      <w:r>
        <w:tab/>
      </w:r>
      <w:r>
        <w:fldChar w:fldCharType="begin"/>
      </w:r>
      <w:r>
        <w:instrText xml:space="preserve"> PAGEREF _Toc17480 \h </w:instrText>
      </w:r>
      <w:r>
        <w:fldChar w:fldCharType="separate"/>
      </w:r>
      <w:r>
        <w:t>9</w:t>
      </w:r>
      <w:r>
        <w:fldChar w:fldCharType="end"/>
      </w:r>
      <w:r>
        <w:rPr>
          <w:rFonts w:hint="eastAsia"/>
        </w:rPr>
        <w:fldChar w:fldCharType="end"/>
      </w:r>
    </w:p>
    <w:p w14:paraId="457E20AD">
      <w:pPr>
        <w:pStyle w:val="10"/>
      </w:pPr>
      <w:r>
        <w:rPr>
          <w:rFonts w:hint="eastAsia"/>
        </w:rPr>
        <w:fldChar w:fldCharType="begin"/>
      </w:r>
      <w:r>
        <w:rPr>
          <w:rFonts w:hint="eastAsia"/>
        </w:rPr>
        <w:instrText xml:space="preserve"> HYPERLINK \l _Toc21493 </w:instrText>
      </w:r>
      <w:r>
        <w:rPr>
          <w:rFonts w:hint="eastAsia"/>
        </w:rPr>
        <w:fldChar w:fldCharType="separate"/>
      </w:r>
      <w:r>
        <w:t>2.</w:t>
      </w:r>
      <w:r>
        <w:rPr>
          <w:rFonts w:hint="eastAsia"/>
        </w:rPr>
        <w:t>1</w:t>
      </w:r>
      <w:r>
        <w:t>.</w:t>
      </w:r>
      <w:r>
        <w:rPr>
          <w:rFonts w:hint="eastAsia"/>
        </w:rPr>
        <w:t>4 全方位推进课程思政</w:t>
      </w:r>
      <w:r>
        <w:tab/>
      </w:r>
      <w:r>
        <w:fldChar w:fldCharType="begin"/>
      </w:r>
      <w:r>
        <w:instrText xml:space="preserve"> PAGEREF _Toc21493 \h </w:instrText>
      </w:r>
      <w:r>
        <w:fldChar w:fldCharType="separate"/>
      </w:r>
      <w:r>
        <w:t>10</w:t>
      </w:r>
      <w:r>
        <w:fldChar w:fldCharType="end"/>
      </w:r>
      <w:r>
        <w:rPr>
          <w:rFonts w:hint="eastAsia"/>
        </w:rPr>
        <w:fldChar w:fldCharType="end"/>
      </w:r>
    </w:p>
    <w:p w14:paraId="210B5722">
      <w:pPr>
        <w:pStyle w:val="10"/>
      </w:pPr>
      <w:r>
        <w:rPr>
          <w:rFonts w:hint="eastAsia"/>
        </w:rPr>
        <w:fldChar w:fldCharType="begin"/>
      </w:r>
      <w:r>
        <w:rPr>
          <w:rFonts w:hint="eastAsia"/>
        </w:rPr>
        <w:instrText xml:space="preserve"> HYPERLINK \l _Toc8696 </w:instrText>
      </w:r>
      <w:r>
        <w:rPr>
          <w:rFonts w:hint="eastAsia"/>
        </w:rPr>
        <w:fldChar w:fldCharType="separate"/>
      </w:r>
      <w:r>
        <w:t>2.</w:t>
      </w:r>
      <w:r>
        <w:rPr>
          <w:rFonts w:hint="eastAsia"/>
        </w:rPr>
        <w:t>1</w:t>
      </w:r>
      <w:r>
        <w:t>.</w:t>
      </w:r>
      <w:r>
        <w:rPr>
          <w:rFonts w:hint="eastAsia"/>
        </w:rPr>
        <w:t xml:space="preserve">5 </w:t>
      </w:r>
      <w:r>
        <w:t>多</w:t>
      </w:r>
      <w:r>
        <w:rPr>
          <w:rFonts w:hint="eastAsia"/>
        </w:rPr>
        <w:t>举措</w:t>
      </w:r>
      <w:r>
        <w:t>强化德育</w:t>
      </w:r>
      <w:r>
        <w:rPr>
          <w:rFonts w:hint="eastAsia"/>
        </w:rPr>
        <w:t>工作</w:t>
      </w:r>
      <w:r>
        <w:tab/>
      </w:r>
      <w:r>
        <w:fldChar w:fldCharType="begin"/>
      </w:r>
      <w:r>
        <w:instrText xml:space="preserve"> PAGEREF _Toc8696 \h </w:instrText>
      </w:r>
      <w:r>
        <w:fldChar w:fldCharType="separate"/>
      </w:r>
      <w:r>
        <w:t>11</w:t>
      </w:r>
      <w:r>
        <w:fldChar w:fldCharType="end"/>
      </w:r>
      <w:r>
        <w:rPr>
          <w:rFonts w:hint="eastAsia"/>
        </w:rPr>
        <w:fldChar w:fldCharType="end"/>
      </w:r>
    </w:p>
    <w:p w14:paraId="479EDDE4">
      <w:pPr>
        <w:pStyle w:val="17"/>
      </w:pPr>
      <w:r>
        <w:rPr>
          <w:rFonts w:hint="eastAsia"/>
        </w:rPr>
        <w:fldChar w:fldCharType="begin"/>
      </w:r>
      <w:r>
        <w:rPr>
          <w:rFonts w:hint="eastAsia"/>
        </w:rPr>
        <w:instrText xml:space="preserve"> HYPERLINK \l _Toc26175 </w:instrText>
      </w:r>
      <w:r>
        <w:rPr>
          <w:rFonts w:hint="eastAsia"/>
        </w:rPr>
        <w:fldChar w:fldCharType="separate"/>
      </w:r>
      <w:r>
        <w:rPr>
          <w:rFonts w:hint="eastAsia"/>
        </w:rPr>
        <w:t>2.2 专业建设</w:t>
      </w:r>
      <w:r>
        <w:tab/>
      </w:r>
      <w:r>
        <w:fldChar w:fldCharType="begin"/>
      </w:r>
      <w:r>
        <w:instrText xml:space="preserve"> PAGEREF _Toc26175 \h </w:instrText>
      </w:r>
      <w:r>
        <w:fldChar w:fldCharType="separate"/>
      </w:r>
      <w:r>
        <w:t>12</w:t>
      </w:r>
      <w:r>
        <w:fldChar w:fldCharType="end"/>
      </w:r>
      <w:r>
        <w:rPr>
          <w:rFonts w:hint="eastAsia"/>
        </w:rPr>
        <w:fldChar w:fldCharType="end"/>
      </w:r>
    </w:p>
    <w:p w14:paraId="23D81DE8">
      <w:pPr>
        <w:pStyle w:val="10"/>
      </w:pPr>
      <w:r>
        <w:rPr>
          <w:rFonts w:hint="eastAsia"/>
        </w:rPr>
        <w:fldChar w:fldCharType="begin"/>
      </w:r>
      <w:r>
        <w:rPr>
          <w:rFonts w:hint="eastAsia"/>
        </w:rPr>
        <w:instrText xml:space="preserve"> HYPERLINK \l _Toc24106 </w:instrText>
      </w:r>
      <w:r>
        <w:rPr>
          <w:rFonts w:hint="eastAsia"/>
        </w:rPr>
        <w:fldChar w:fldCharType="separate"/>
      </w:r>
      <w:r>
        <w:rPr>
          <w:rFonts w:hint="eastAsia"/>
        </w:rPr>
        <w:t>2.2.1 调整优化专业布局</w:t>
      </w:r>
      <w:r>
        <w:tab/>
      </w:r>
      <w:r>
        <w:fldChar w:fldCharType="begin"/>
      </w:r>
      <w:r>
        <w:instrText xml:space="preserve"> PAGEREF _Toc24106 \h </w:instrText>
      </w:r>
      <w:r>
        <w:fldChar w:fldCharType="separate"/>
      </w:r>
      <w:r>
        <w:t>12</w:t>
      </w:r>
      <w:r>
        <w:fldChar w:fldCharType="end"/>
      </w:r>
      <w:r>
        <w:rPr>
          <w:rFonts w:hint="eastAsia"/>
        </w:rPr>
        <w:fldChar w:fldCharType="end"/>
      </w:r>
    </w:p>
    <w:p w14:paraId="10D08357">
      <w:pPr>
        <w:pStyle w:val="10"/>
      </w:pPr>
      <w:r>
        <w:rPr>
          <w:rFonts w:hint="eastAsia"/>
        </w:rPr>
        <w:fldChar w:fldCharType="begin"/>
      </w:r>
      <w:r>
        <w:rPr>
          <w:rFonts w:hint="eastAsia"/>
        </w:rPr>
        <w:instrText xml:space="preserve"> HYPERLINK \l _Toc31002 </w:instrText>
      </w:r>
      <w:r>
        <w:rPr>
          <w:rFonts w:hint="eastAsia"/>
        </w:rPr>
        <w:fldChar w:fldCharType="separate"/>
      </w:r>
      <w:r>
        <w:rPr>
          <w:rFonts w:hint="eastAsia"/>
        </w:rPr>
        <w:t>2.2.2 打造特色优质专业</w:t>
      </w:r>
      <w:r>
        <w:tab/>
      </w:r>
      <w:r>
        <w:fldChar w:fldCharType="begin"/>
      </w:r>
      <w:r>
        <w:instrText xml:space="preserve"> PAGEREF _Toc31002 \h </w:instrText>
      </w:r>
      <w:r>
        <w:fldChar w:fldCharType="separate"/>
      </w:r>
      <w:r>
        <w:t>14</w:t>
      </w:r>
      <w:r>
        <w:fldChar w:fldCharType="end"/>
      </w:r>
      <w:r>
        <w:rPr>
          <w:rFonts w:hint="eastAsia"/>
        </w:rPr>
        <w:fldChar w:fldCharType="end"/>
      </w:r>
    </w:p>
    <w:p w14:paraId="4EF289C4">
      <w:pPr>
        <w:pStyle w:val="10"/>
      </w:pPr>
      <w:r>
        <w:rPr>
          <w:rFonts w:hint="eastAsia"/>
        </w:rPr>
        <w:fldChar w:fldCharType="begin"/>
      </w:r>
      <w:r>
        <w:rPr>
          <w:rFonts w:hint="eastAsia"/>
        </w:rPr>
        <w:instrText xml:space="preserve"> HYPERLINK \l _Toc28004 </w:instrText>
      </w:r>
      <w:r>
        <w:rPr>
          <w:rFonts w:hint="eastAsia"/>
        </w:rPr>
        <w:fldChar w:fldCharType="separate"/>
      </w:r>
      <w:r>
        <w:rPr>
          <w:rFonts w:hint="eastAsia"/>
        </w:rPr>
        <w:t>2.2.3 推进贯通培养模式</w:t>
      </w:r>
      <w:r>
        <w:tab/>
      </w:r>
      <w:r>
        <w:fldChar w:fldCharType="begin"/>
      </w:r>
      <w:r>
        <w:instrText xml:space="preserve"> PAGEREF _Toc28004 \h </w:instrText>
      </w:r>
      <w:r>
        <w:fldChar w:fldCharType="separate"/>
      </w:r>
      <w:r>
        <w:t>15</w:t>
      </w:r>
      <w:r>
        <w:fldChar w:fldCharType="end"/>
      </w:r>
      <w:r>
        <w:rPr>
          <w:rFonts w:hint="eastAsia"/>
        </w:rPr>
        <w:fldChar w:fldCharType="end"/>
      </w:r>
    </w:p>
    <w:p w14:paraId="17D8118E">
      <w:pPr>
        <w:pStyle w:val="10"/>
      </w:pPr>
      <w:r>
        <w:rPr>
          <w:rFonts w:hint="eastAsia"/>
        </w:rPr>
        <w:fldChar w:fldCharType="begin"/>
      </w:r>
      <w:r>
        <w:rPr>
          <w:rFonts w:hint="eastAsia"/>
        </w:rPr>
        <w:instrText xml:space="preserve"> HYPERLINK \l _Toc6564 </w:instrText>
      </w:r>
      <w:r>
        <w:rPr>
          <w:rFonts w:hint="eastAsia"/>
        </w:rPr>
        <w:fldChar w:fldCharType="separate"/>
      </w:r>
      <w:r>
        <w:rPr>
          <w:rFonts w:hint="eastAsia"/>
        </w:rPr>
        <w:t>2.2.4 推进区域标准建设</w:t>
      </w:r>
      <w:r>
        <w:tab/>
      </w:r>
      <w:r>
        <w:fldChar w:fldCharType="begin"/>
      </w:r>
      <w:r>
        <w:instrText xml:space="preserve"> PAGEREF _Toc6564 \h </w:instrText>
      </w:r>
      <w:r>
        <w:fldChar w:fldCharType="separate"/>
      </w:r>
      <w:r>
        <w:t>16</w:t>
      </w:r>
      <w:r>
        <w:fldChar w:fldCharType="end"/>
      </w:r>
      <w:r>
        <w:rPr>
          <w:rFonts w:hint="eastAsia"/>
        </w:rPr>
        <w:fldChar w:fldCharType="end"/>
      </w:r>
    </w:p>
    <w:p w14:paraId="12F0A3AE">
      <w:pPr>
        <w:pStyle w:val="17"/>
      </w:pPr>
      <w:r>
        <w:rPr>
          <w:rFonts w:hint="eastAsia"/>
        </w:rPr>
        <w:fldChar w:fldCharType="begin"/>
      </w:r>
      <w:r>
        <w:rPr>
          <w:rFonts w:hint="eastAsia"/>
        </w:rPr>
        <w:instrText xml:space="preserve"> HYPERLINK \l _Toc12346 </w:instrText>
      </w:r>
      <w:r>
        <w:rPr>
          <w:rFonts w:hint="eastAsia"/>
        </w:rPr>
        <w:fldChar w:fldCharType="separate"/>
      </w:r>
      <w:r>
        <w:rPr>
          <w:rFonts w:hint="eastAsia"/>
        </w:rPr>
        <w:t>2.3 课程建设</w:t>
      </w:r>
      <w:r>
        <w:tab/>
      </w:r>
      <w:r>
        <w:fldChar w:fldCharType="begin"/>
      </w:r>
      <w:r>
        <w:instrText xml:space="preserve"> PAGEREF _Toc12346 \h </w:instrText>
      </w:r>
      <w:r>
        <w:fldChar w:fldCharType="separate"/>
      </w:r>
      <w:r>
        <w:t>17</w:t>
      </w:r>
      <w:r>
        <w:fldChar w:fldCharType="end"/>
      </w:r>
      <w:r>
        <w:rPr>
          <w:rFonts w:hint="eastAsia"/>
        </w:rPr>
        <w:fldChar w:fldCharType="end"/>
      </w:r>
    </w:p>
    <w:p w14:paraId="62DE8A67">
      <w:pPr>
        <w:pStyle w:val="10"/>
      </w:pPr>
      <w:r>
        <w:rPr>
          <w:rFonts w:hint="eastAsia"/>
        </w:rPr>
        <w:fldChar w:fldCharType="begin"/>
      </w:r>
      <w:r>
        <w:rPr>
          <w:rFonts w:hint="eastAsia"/>
        </w:rPr>
        <w:instrText xml:space="preserve"> HYPERLINK \l _Toc13925 </w:instrText>
      </w:r>
      <w:r>
        <w:rPr>
          <w:rFonts w:hint="eastAsia"/>
        </w:rPr>
        <w:fldChar w:fldCharType="separate"/>
      </w:r>
      <w:r>
        <w:rPr>
          <w:rFonts w:hint="eastAsia"/>
        </w:rPr>
        <w:t>2.3.1 落实公共基础课标</w:t>
      </w:r>
      <w:r>
        <w:tab/>
      </w:r>
      <w:r>
        <w:fldChar w:fldCharType="begin"/>
      </w:r>
      <w:r>
        <w:instrText xml:space="preserve"> PAGEREF _Toc13925 \h </w:instrText>
      </w:r>
      <w:r>
        <w:fldChar w:fldCharType="separate"/>
      </w:r>
      <w:r>
        <w:t>17</w:t>
      </w:r>
      <w:r>
        <w:fldChar w:fldCharType="end"/>
      </w:r>
      <w:r>
        <w:rPr>
          <w:rFonts w:hint="eastAsia"/>
        </w:rPr>
        <w:fldChar w:fldCharType="end"/>
      </w:r>
    </w:p>
    <w:p w14:paraId="03AB17F3">
      <w:pPr>
        <w:pStyle w:val="10"/>
      </w:pPr>
      <w:r>
        <w:rPr>
          <w:rFonts w:hint="eastAsia"/>
        </w:rPr>
        <w:fldChar w:fldCharType="begin"/>
      </w:r>
      <w:r>
        <w:rPr>
          <w:rFonts w:hint="eastAsia"/>
        </w:rPr>
        <w:instrText xml:space="preserve"> HYPERLINK \l _Toc12877 </w:instrText>
      </w:r>
      <w:r>
        <w:rPr>
          <w:rFonts w:hint="eastAsia"/>
        </w:rPr>
        <w:fldChar w:fldCharType="separate"/>
      </w:r>
      <w:r>
        <w:rPr>
          <w:rFonts w:hint="eastAsia"/>
        </w:rPr>
        <w:t>2.3.2 筑牢专业课程体系</w:t>
      </w:r>
      <w:r>
        <w:tab/>
      </w:r>
      <w:r>
        <w:fldChar w:fldCharType="begin"/>
      </w:r>
      <w:r>
        <w:instrText xml:space="preserve"> PAGEREF _Toc12877 \h </w:instrText>
      </w:r>
      <w:r>
        <w:fldChar w:fldCharType="separate"/>
      </w:r>
      <w:r>
        <w:t>17</w:t>
      </w:r>
      <w:r>
        <w:fldChar w:fldCharType="end"/>
      </w:r>
      <w:r>
        <w:rPr>
          <w:rFonts w:hint="eastAsia"/>
        </w:rPr>
        <w:fldChar w:fldCharType="end"/>
      </w:r>
    </w:p>
    <w:p w14:paraId="45049401">
      <w:pPr>
        <w:pStyle w:val="10"/>
      </w:pPr>
      <w:r>
        <w:rPr>
          <w:rFonts w:hint="eastAsia"/>
        </w:rPr>
        <w:fldChar w:fldCharType="begin"/>
      </w:r>
      <w:r>
        <w:rPr>
          <w:rFonts w:hint="eastAsia"/>
        </w:rPr>
        <w:instrText xml:space="preserve"> HYPERLINK \l _Toc3790 </w:instrText>
      </w:r>
      <w:r>
        <w:rPr>
          <w:rFonts w:hint="eastAsia"/>
        </w:rPr>
        <w:fldChar w:fldCharType="separate"/>
      </w:r>
      <w:r>
        <w:rPr>
          <w:rFonts w:hint="eastAsia"/>
        </w:rPr>
        <w:t>2.3.3 健全贯通培养机制</w:t>
      </w:r>
      <w:r>
        <w:tab/>
      </w:r>
      <w:r>
        <w:fldChar w:fldCharType="begin"/>
      </w:r>
      <w:r>
        <w:instrText xml:space="preserve"> PAGEREF _Toc3790 \h </w:instrText>
      </w:r>
      <w:r>
        <w:fldChar w:fldCharType="separate"/>
      </w:r>
      <w:r>
        <w:t>18</w:t>
      </w:r>
      <w:r>
        <w:fldChar w:fldCharType="end"/>
      </w:r>
      <w:r>
        <w:rPr>
          <w:rFonts w:hint="eastAsia"/>
        </w:rPr>
        <w:fldChar w:fldCharType="end"/>
      </w:r>
    </w:p>
    <w:p w14:paraId="64C3E318">
      <w:pPr>
        <w:pStyle w:val="10"/>
      </w:pPr>
      <w:r>
        <w:rPr>
          <w:rFonts w:hint="eastAsia"/>
        </w:rPr>
        <w:fldChar w:fldCharType="begin"/>
      </w:r>
      <w:r>
        <w:rPr>
          <w:rFonts w:hint="eastAsia"/>
        </w:rPr>
        <w:instrText xml:space="preserve"> HYPERLINK \l _Toc22099 </w:instrText>
      </w:r>
      <w:r>
        <w:rPr>
          <w:rFonts w:hint="eastAsia"/>
        </w:rPr>
        <w:fldChar w:fldCharType="separate"/>
      </w:r>
      <w:r>
        <w:rPr>
          <w:rFonts w:hint="eastAsia"/>
        </w:rPr>
        <w:t>2.3.4 加强课程资源建设</w:t>
      </w:r>
      <w:r>
        <w:tab/>
      </w:r>
      <w:r>
        <w:fldChar w:fldCharType="begin"/>
      </w:r>
      <w:r>
        <w:instrText xml:space="preserve"> PAGEREF _Toc22099 \h </w:instrText>
      </w:r>
      <w:r>
        <w:fldChar w:fldCharType="separate"/>
      </w:r>
      <w:r>
        <w:t>19</w:t>
      </w:r>
      <w:r>
        <w:fldChar w:fldCharType="end"/>
      </w:r>
      <w:r>
        <w:rPr>
          <w:rFonts w:hint="eastAsia"/>
        </w:rPr>
        <w:fldChar w:fldCharType="end"/>
      </w:r>
    </w:p>
    <w:p w14:paraId="3027E7DD">
      <w:pPr>
        <w:pStyle w:val="10"/>
      </w:pPr>
      <w:r>
        <w:rPr>
          <w:rFonts w:hint="eastAsia"/>
        </w:rPr>
        <w:fldChar w:fldCharType="begin"/>
      </w:r>
      <w:r>
        <w:rPr>
          <w:rFonts w:hint="eastAsia"/>
        </w:rPr>
        <w:instrText xml:space="preserve"> HYPERLINK \l _Toc16281 </w:instrText>
      </w:r>
      <w:r>
        <w:rPr>
          <w:rFonts w:hint="eastAsia"/>
        </w:rPr>
        <w:fldChar w:fldCharType="separate"/>
      </w:r>
      <w:r>
        <w:rPr>
          <w:rFonts w:hint="eastAsia"/>
        </w:rPr>
        <w:t>2.3.5 从严把控课程质量</w:t>
      </w:r>
      <w:r>
        <w:tab/>
      </w:r>
      <w:r>
        <w:fldChar w:fldCharType="begin"/>
      </w:r>
      <w:r>
        <w:instrText xml:space="preserve"> PAGEREF _Toc16281 \h </w:instrText>
      </w:r>
      <w:r>
        <w:fldChar w:fldCharType="separate"/>
      </w:r>
      <w:r>
        <w:t>20</w:t>
      </w:r>
      <w:r>
        <w:fldChar w:fldCharType="end"/>
      </w:r>
      <w:r>
        <w:rPr>
          <w:rFonts w:hint="eastAsia"/>
        </w:rPr>
        <w:fldChar w:fldCharType="end"/>
      </w:r>
    </w:p>
    <w:p w14:paraId="6268095A">
      <w:pPr>
        <w:pStyle w:val="17"/>
      </w:pPr>
      <w:r>
        <w:rPr>
          <w:rFonts w:hint="eastAsia"/>
        </w:rPr>
        <w:fldChar w:fldCharType="begin"/>
      </w:r>
      <w:r>
        <w:rPr>
          <w:rFonts w:hint="eastAsia"/>
        </w:rPr>
        <w:instrText xml:space="preserve"> HYPERLINK \l _Toc32631 </w:instrText>
      </w:r>
      <w:r>
        <w:rPr>
          <w:rFonts w:hint="eastAsia"/>
        </w:rPr>
        <w:fldChar w:fldCharType="separate"/>
      </w:r>
      <w:r>
        <w:rPr>
          <w:rFonts w:hint="eastAsia"/>
        </w:rPr>
        <w:t>2.4 教材建设</w:t>
      </w:r>
      <w:r>
        <w:tab/>
      </w:r>
      <w:r>
        <w:fldChar w:fldCharType="begin"/>
      </w:r>
      <w:r>
        <w:instrText xml:space="preserve"> PAGEREF _Toc32631 \h </w:instrText>
      </w:r>
      <w:r>
        <w:fldChar w:fldCharType="separate"/>
      </w:r>
      <w:r>
        <w:t>20</w:t>
      </w:r>
      <w:r>
        <w:fldChar w:fldCharType="end"/>
      </w:r>
      <w:r>
        <w:rPr>
          <w:rFonts w:hint="eastAsia"/>
        </w:rPr>
        <w:fldChar w:fldCharType="end"/>
      </w:r>
    </w:p>
    <w:p w14:paraId="59D611AD">
      <w:pPr>
        <w:pStyle w:val="10"/>
      </w:pPr>
      <w:r>
        <w:rPr>
          <w:rFonts w:hint="eastAsia"/>
        </w:rPr>
        <w:fldChar w:fldCharType="begin"/>
      </w:r>
      <w:r>
        <w:rPr>
          <w:rFonts w:hint="eastAsia"/>
        </w:rPr>
        <w:instrText xml:space="preserve"> HYPERLINK \l _Toc23353 </w:instrText>
      </w:r>
      <w:r>
        <w:rPr>
          <w:rFonts w:hint="eastAsia"/>
        </w:rPr>
        <w:fldChar w:fldCharType="separate"/>
      </w:r>
      <w:r>
        <w:rPr>
          <w:rFonts w:hint="eastAsia"/>
        </w:rPr>
        <w:t>2.4.1 严格规范教材选用</w:t>
      </w:r>
      <w:r>
        <w:tab/>
      </w:r>
      <w:r>
        <w:fldChar w:fldCharType="begin"/>
      </w:r>
      <w:r>
        <w:instrText xml:space="preserve"> PAGEREF _Toc23353 \h </w:instrText>
      </w:r>
      <w:r>
        <w:fldChar w:fldCharType="separate"/>
      </w:r>
      <w:r>
        <w:t>20</w:t>
      </w:r>
      <w:r>
        <w:fldChar w:fldCharType="end"/>
      </w:r>
      <w:r>
        <w:rPr>
          <w:rFonts w:hint="eastAsia"/>
        </w:rPr>
        <w:fldChar w:fldCharType="end"/>
      </w:r>
    </w:p>
    <w:p w14:paraId="597B2B8B">
      <w:pPr>
        <w:pStyle w:val="10"/>
      </w:pPr>
      <w:r>
        <w:rPr>
          <w:rFonts w:hint="eastAsia"/>
        </w:rPr>
        <w:fldChar w:fldCharType="begin"/>
      </w:r>
      <w:r>
        <w:rPr>
          <w:rFonts w:hint="eastAsia"/>
        </w:rPr>
        <w:instrText xml:space="preserve"> HYPERLINK \l _Toc2699 </w:instrText>
      </w:r>
      <w:r>
        <w:rPr>
          <w:rFonts w:hint="eastAsia"/>
        </w:rPr>
        <w:fldChar w:fldCharType="separate"/>
      </w:r>
      <w:r>
        <w:rPr>
          <w:rFonts w:hint="eastAsia"/>
        </w:rPr>
        <w:t>2.4.2 积极开发新形态教材</w:t>
      </w:r>
      <w:r>
        <w:tab/>
      </w:r>
      <w:r>
        <w:fldChar w:fldCharType="begin"/>
      </w:r>
      <w:r>
        <w:instrText xml:space="preserve"> PAGEREF _Toc2699 \h </w:instrText>
      </w:r>
      <w:r>
        <w:fldChar w:fldCharType="separate"/>
      </w:r>
      <w:r>
        <w:t>21</w:t>
      </w:r>
      <w:r>
        <w:fldChar w:fldCharType="end"/>
      </w:r>
      <w:r>
        <w:rPr>
          <w:rFonts w:hint="eastAsia"/>
        </w:rPr>
        <w:fldChar w:fldCharType="end"/>
      </w:r>
    </w:p>
    <w:p w14:paraId="7B695C14">
      <w:pPr>
        <w:pStyle w:val="17"/>
      </w:pPr>
      <w:r>
        <w:rPr>
          <w:rFonts w:hint="eastAsia"/>
        </w:rPr>
        <w:fldChar w:fldCharType="begin"/>
      </w:r>
      <w:r>
        <w:rPr>
          <w:rFonts w:hint="eastAsia"/>
        </w:rPr>
        <w:instrText xml:space="preserve"> HYPERLINK \l _Toc14014 </w:instrText>
      </w:r>
      <w:r>
        <w:rPr>
          <w:rFonts w:hint="eastAsia"/>
        </w:rPr>
        <w:fldChar w:fldCharType="separate"/>
      </w:r>
      <w:r>
        <w:rPr>
          <w:rFonts w:hint="eastAsia"/>
        </w:rPr>
        <w:t>2.5 教师队伍建设</w:t>
      </w:r>
      <w:r>
        <w:tab/>
      </w:r>
      <w:r>
        <w:fldChar w:fldCharType="begin"/>
      </w:r>
      <w:r>
        <w:instrText xml:space="preserve"> PAGEREF _Toc14014 \h </w:instrText>
      </w:r>
      <w:r>
        <w:fldChar w:fldCharType="separate"/>
      </w:r>
      <w:r>
        <w:t>21</w:t>
      </w:r>
      <w:r>
        <w:fldChar w:fldCharType="end"/>
      </w:r>
      <w:r>
        <w:rPr>
          <w:rFonts w:hint="eastAsia"/>
        </w:rPr>
        <w:fldChar w:fldCharType="end"/>
      </w:r>
    </w:p>
    <w:p w14:paraId="2423C99D">
      <w:pPr>
        <w:pStyle w:val="10"/>
      </w:pPr>
      <w:r>
        <w:rPr>
          <w:rFonts w:hint="eastAsia"/>
        </w:rPr>
        <w:fldChar w:fldCharType="begin"/>
      </w:r>
      <w:r>
        <w:rPr>
          <w:rFonts w:hint="eastAsia"/>
        </w:rPr>
        <w:instrText xml:space="preserve"> HYPERLINK \l _Toc15835 </w:instrText>
      </w:r>
      <w:r>
        <w:rPr>
          <w:rFonts w:hint="eastAsia"/>
        </w:rPr>
        <w:fldChar w:fldCharType="separate"/>
      </w:r>
      <w:r>
        <w:rPr>
          <w:rFonts w:hint="eastAsia"/>
        </w:rPr>
        <w:t>2.5.1 加强师德师风建设</w:t>
      </w:r>
      <w:r>
        <w:tab/>
      </w:r>
      <w:r>
        <w:fldChar w:fldCharType="begin"/>
      </w:r>
      <w:r>
        <w:instrText xml:space="preserve"> PAGEREF _Toc15835 \h </w:instrText>
      </w:r>
      <w:r>
        <w:fldChar w:fldCharType="separate"/>
      </w:r>
      <w:r>
        <w:t>21</w:t>
      </w:r>
      <w:r>
        <w:fldChar w:fldCharType="end"/>
      </w:r>
      <w:r>
        <w:rPr>
          <w:rFonts w:hint="eastAsia"/>
        </w:rPr>
        <w:fldChar w:fldCharType="end"/>
      </w:r>
    </w:p>
    <w:p w14:paraId="42A3BA16">
      <w:pPr>
        <w:pStyle w:val="10"/>
      </w:pPr>
      <w:r>
        <w:rPr>
          <w:rFonts w:hint="eastAsia"/>
        </w:rPr>
        <w:fldChar w:fldCharType="begin"/>
      </w:r>
      <w:r>
        <w:rPr>
          <w:rFonts w:hint="eastAsia"/>
        </w:rPr>
        <w:instrText xml:space="preserve"> HYPERLINK \l _Toc5843 </w:instrText>
      </w:r>
      <w:r>
        <w:rPr>
          <w:rFonts w:hint="eastAsia"/>
        </w:rPr>
        <w:fldChar w:fldCharType="separate"/>
      </w:r>
      <w:r>
        <w:rPr>
          <w:rFonts w:hint="eastAsia"/>
        </w:rPr>
        <w:t>2.5.2 加强双师型教师队伍建设</w:t>
      </w:r>
      <w:r>
        <w:tab/>
      </w:r>
      <w:r>
        <w:fldChar w:fldCharType="begin"/>
      </w:r>
      <w:r>
        <w:instrText xml:space="preserve"> PAGEREF _Toc5843 \h </w:instrText>
      </w:r>
      <w:r>
        <w:fldChar w:fldCharType="separate"/>
      </w:r>
      <w:r>
        <w:t>22</w:t>
      </w:r>
      <w:r>
        <w:fldChar w:fldCharType="end"/>
      </w:r>
      <w:r>
        <w:rPr>
          <w:rFonts w:hint="eastAsia"/>
        </w:rPr>
        <w:fldChar w:fldCharType="end"/>
      </w:r>
    </w:p>
    <w:p w14:paraId="1C6D36DA">
      <w:pPr>
        <w:pStyle w:val="10"/>
      </w:pPr>
      <w:r>
        <w:rPr>
          <w:rFonts w:hint="eastAsia"/>
        </w:rPr>
        <w:fldChar w:fldCharType="begin"/>
      </w:r>
      <w:r>
        <w:rPr>
          <w:rFonts w:hint="eastAsia"/>
        </w:rPr>
        <w:instrText xml:space="preserve"> HYPERLINK \l _Toc19630 </w:instrText>
      </w:r>
      <w:r>
        <w:rPr>
          <w:rFonts w:hint="eastAsia"/>
        </w:rPr>
        <w:fldChar w:fldCharType="separate"/>
      </w:r>
      <w:r>
        <w:rPr>
          <w:rFonts w:hint="eastAsia"/>
        </w:rPr>
        <w:t>2.5.3 构建多元化教师成长体系</w:t>
      </w:r>
      <w:r>
        <w:tab/>
      </w:r>
      <w:r>
        <w:fldChar w:fldCharType="begin"/>
      </w:r>
      <w:r>
        <w:instrText xml:space="preserve"> PAGEREF _Toc19630 \h </w:instrText>
      </w:r>
      <w:r>
        <w:fldChar w:fldCharType="separate"/>
      </w:r>
      <w:r>
        <w:t>22</w:t>
      </w:r>
      <w:r>
        <w:fldChar w:fldCharType="end"/>
      </w:r>
      <w:r>
        <w:rPr>
          <w:rFonts w:hint="eastAsia"/>
        </w:rPr>
        <w:fldChar w:fldCharType="end"/>
      </w:r>
    </w:p>
    <w:p w14:paraId="68ED4F16">
      <w:pPr>
        <w:pStyle w:val="17"/>
      </w:pPr>
      <w:r>
        <w:rPr>
          <w:rFonts w:hint="eastAsia"/>
        </w:rPr>
        <w:fldChar w:fldCharType="begin"/>
      </w:r>
      <w:r>
        <w:rPr>
          <w:rFonts w:hint="eastAsia"/>
        </w:rPr>
        <w:instrText xml:space="preserve"> HYPERLINK \l _Toc1479 </w:instrText>
      </w:r>
      <w:r>
        <w:rPr>
          <w:rFonts w:hint="eastAsia"/>
        </w:rPr>
        <w:fldChar w:fldCharType="separate"/>
      </w:r>
      <w:r>
        <w:rPr>
          <w:rFonts w:hint="eastAsia"/>
        </w:rPr>
        <w:t>2.6 实训基地建设</w:t>
      </w:r>
      <w:r>
        <w:tab/>
      </w:r>
      <w:r>
        <w:fldChar w:fldCharType="begin"/>
      </w:r>
      <w:r>
        <w:instrText xml:space="preserve"> PAGEREF _Toc1479 \h </w:instrText>
      </w:r>
      <w:r>
        <w:fldChar w:fldCharType="separate"/>
      </w:r>
      <w:r>
        <w:t>23</w:t>
      </w:r>
      <w:r>
        <w:fldChar w:fldCharType="end"/>
      </w:r>
      <w:r>
        <w:rPr>
          <w:rFonts w:hint="eastAsia"/>
        </w:rPr>
        <w:fldChar w:fldCharType="end"/>
      </w:r>
    </w:p>
    <w:p w14:paraId="47EED63A">
      <w:pPr>
        <w:pStyle w:val="17"/>
      </w:pPr>
      <w:r>
        <w:rPr>
          <w:rFonts w:hint="eastAsia"/>
        </w:rPr>
        <w:fldChar w:fldCharType="begin"/>
      </w:r>
      <w:r>
        <w:rPr>
          <w:rFonts w:hint="eastAsia"/>
        </w:rPr>
        <w:instrText xml:space="preserve"> HYPERLINK \l _Toc13235 </w:instrText>
      </w:r>
      <w:r>
        <w:rPr>
          <w:rFonts w:hint="eastAsia"/>
        </w:rPr>
        <w:fldChar w:fldCharType="separate"/>
      </w:r>
      <w:r>
        <w:rPr>
          <w:rFonts w:hint="eastAsia"/>
        </w:rPr>
        <w:t>2.7 技能成长</w:t>
      </w:r>
      <w:r>
        <w:tab/>
      </w:r>
      <w:r>
        <w:fldChar w:fldCharType="begin"/>
      </w:r>
      <w:r>
        <w:instrText xml:space="preserve"> PAGEREF _Toc13235 \h </w:instrText>
      </w:r>
      <w:r>
        <w:fldChar w:fldCharType="separate"/>
      </w:r>
      <w:r>
        <w:t>26</w:t>
      </w:r>
      <w:r>
        <w:fldChar w:fldCharType="end"/>
      </w:r>
      <w:r>
        <w:rPr>
          <w:rFonts w:hint="eastAsia"/>
        </w:rPr>
        <w:fldChar w:fldCharType="end"/>
      </w:r>
    </w:p>
    <w:p w14:paraId="21995A63">
      <w:pPr>
        <w:pStyle w:val="17"/>
      </w:pPr>
      <w:r>
        <w:rPr>
          <w:rFonts w:hint="eastAsia"/>
        </w:rPr>
        <w:fldChar w:fldCharType="begin"/>
      </w:r>
      <w:r>
        <w:rPr>
          <w:rFonts w:hint="eastAsia"/>
        </w:rPr>
        <w:instrText xml:space="preserve"> HYPERLINK \l _Toc8891 </w:instrText>
      </w:r>
      <w:r>
        <w:rPr>
          <w:rFonts w:hint="eastAsia"/>
        </w:rPr>
        <w:fldChar w:fldCharType="separate"/>
      </w:r>
      <w:r>
        <w:rPr>
          <w:rFonts w:hint="eastAsia"/>
        </w:rPr>
        <w:t>2.8 多样成才</w:t>
      </w:r>
      <w:r>
        <w:tab/>
      </w:r>
      <w:r>
        <w:fldChar w:fldCharType="begin"/>
      </w:r>
      <w:r>
        <w:instrText xml:space="preserve"> PAGEREF _Toc8891 \h </w:instrText>
      </w:r>
      <w:r>
        <w:fldChar w:fldCharType="separate"/>
      </w:r>
      <w:r>
        <w:t>28</w:t>
      </w:r>
      <w:r>
        <w:fldChar w:fldCharType="end"/>
      </w:r>
      <w:r>
        <w:rPr>
          <w:rFonts w:hint="eastAsia"/>
        </w:rPr>
        <w:fldChar w:fldCharType="end"/>
      </w:r>
    </w:p>
    <w:p w14:paraId="3AADB533">
      <w:pPr>
        <w:pStyle w:val="10"/>
      </w:pPr>
      <w:r>
        <w:rPr>
          <w:rFonts w:hint="eastAsia"/>
        </w:rPr>
        <w:fldChar w:fldCharType="begin"/>
      </w:r>
      <w:r>
        <w:rPr>
          <w:rFonts w:hint="eastAsia"/>
        </w:rPr>
        <w:instrText xml:space="preserve"> HYPERLINK \l _Toc7659 </w:instrText>
      </w:r>
      <w:r>
        <w:rPr>
          <w:rFonts w:hint="eastAsia"/>
        </w:rPr>
        <w:fldChar w:fldCharType="separate"/>
      </w:r>
      <w:r>
        <w:rPr>
          <w:rFonts w:hint="eastAsia"/>
        </w:rPr>
        <w:t>2.8.1 综合高中与职普融通</w:t>
      </w:r>
      <w:r>
        <w:tab/>
      </w:r>
      <w:r>
        <w:fldChar w:fldCharType="begin"/>
      </w:r>
      <w:r>
        <w:instrText xml:space="preserve"> PAGEREF _Toc7659 \h </w:instrText>
      </w:r>
      <w:r>
        <w:fldChar w:fldCharType="separate"/>
      </w:r>
      <w:r>
        <w:t>28</w:t>
      </w:r>
      <w:r>
        <w:fldChar w:fldCharType="end"/>
      </w:r>
      <w:r>
        <w:rPr>
          <w:rFonts w:hint="eastAsia"/>
        </w:rPr>
        <w:fldChar w:fldCharType="end"/>
      </w:r>
    </w:p>
    <w:p w14:paraId="2DD82311">
      <w:pPr>
        <w:pStyle w:val="10"/>
      </w:pPr>
      <w:r>
        <w:rPr>
          <w:rFonts w:hint="eastAsia"/>
        </w:rPr>
        <w:fldChar w:fldCharType="begin"/>
      </w:r>
      <w:r>
        <w:rPr>
          <w:rFonts w:hint="eastAsia"/>
        </w:rPr>
        <w:instrText xml:space="preserve"> HYPERLINK \l _Toc31601 </w:instrText>
      </w:r>
      <w:r>
        <w:rPr>
          <w:rFonts w:hint="eastAsia"/>
        </w:rPr>
        <w:fldChar w:fldCharType="separate"/>
      </w:r>
      <w:r>
        <w:rPr>
          <w:rFonts w:hint="eastAsia"/>
        </w:rPr>
        <w:t>2.8.2 志愿服务与实践育人</w:t>
      </w:r>
      <w:r>
        <w:tab/>
      </w:r>
      <w:r>
        <w:fldChar w:fldCharType="begin"/>
      </w:r>
      <w:r>
        <w:instrText xml:space="preserve"> PAGEREF _Toc31601 \h </w:instrText>
      </w:r>
      <w:r>
        <w:fldChar w:fldCharType="separate"/>
      </w:r>
      <w:r>
        <w:t>29</w:t>
      </w:r>
      <w:r>
        <w:fldChar w:fldCharType="end"/>
      </w:r>
      <w:r>
        <w:rPr>
          <w:rFonts w:hint="eastAsia"/>
        </w:rPr>
        <w:fldChar w:fldCharType="end"/>
      </w:r>
    </w:p>
    <w:p w14:paraId="1165D5F7">
      <w:pPr>
        <w:pStyle w:val="10"/>
      </w:pPr>
      <w:r>
        <w:rPr>
          <w:rFonts w:hint="eastAsia"/>
        </w:rPr>
        <w:fldChar w:fldCharType="begin"/>
      </w:r>
      <w:r>
        <w:rPr>
          <w:rFonts w:hint="eastAsia"/>
        </w:rPr>
        <w:instrText xml:space="preserve"> HYPERLINK \l _Toc15825 </w:instrText>
      </w:r>
      <w:r>
        <w:rPr>
          <w:rFonts w:hint="eastAsia"/>
        </w:rPr>
        <w:fldChar w:fldCharType="separate"/>
      </w:r>
      <w:r>
        <w:rPr>
          <w:rFonts w:hint="eastAsia"/>
        </w:rPr>
        <w:t>2.8.3 五育并举与全面发展</w:t>
      </w:r>
      <w:r>
        <w:tab/>
      </w:r>
      <w:r>
        <w:fldChar w:fldCharType="begin"/>
      </w:r>
      <w:r>
        <w:instrText xml:space="preserve"> PAGEREF _Toc15825 \h </w:instrText>
      </w:r>
      <w:r>
        <w:fldChar w:fldCharType="separate"/>
      </w:r>
      <w:r>
        <w:t>30</w:t>
      </w:r>
      <w:r>
        <w:fldChar w:fldCharType="end"/>
      </w:r>
      <w:r>
        <w:rPr>
          <w:rFonts w:hint="eastAsia"/>
        </w:rPr>
        <w:fldChar w:fldCharType="end"/>
      </w:r>
    </w:p>
    <w:p w14:paraId="11AF6637">
      <w:pPr>
        <w:pStyle w:val="17"/>
      </w:pPr>
      <w:r>
        <w:rPr>
          <w:rFonts w:hint="eastAsia"/>
        </w:rPr>
        <w:fldChar w:fldCharType="begin"/>
      </w:r>
      <w:r>
        <w:rPr>
          <w:rFonts w:hint="eastAsia"/>
        </w:rPr>
        <w:instrText xml:space="preserve"> HYPERLINK \l _Toc19785 </w:instrText>
      </w:r>
      <w:r>
        <w:rPr>
          <w:rFonts w:hint="eastAsia"/>
        </w:rPr>
        <w:fldChar w:fldCharType="separate"/>
      </w:r>
      <w:r>
        <w:rPr>
          <w:rFonts w:hint="eastAsia"/>
        </w:rPr>
        <w:t>2.9 学生发展</w:t>
      </w:r>
      <w:r>
        <w:tab/>
      </w:r>
      <w:r>
        <w:fldChar w:fldCharType="begin"/>
      </w:r>
      <w:r>
        <w:instrText xml:space="preserve"> PAGEREF _Toc19785 \h </w:instrText>
      </w:r>
      <w:r>
        <w:fldChar w:fldCharType="separate"/>
      </w:r>
      <w:r>
        <w:t>33</w:t>
      </w:r>
      <w:r>
        <w:fldChar w:fldCharType="end"/>
      </w:r>
      <w:r>
        <w:rPr>
          <w:rFonts w:hint="eastAsia"/>
        </w:rPr>
        <w:fldChar w:fldCharType="end"/>
      </w:r>
    </w:p>
    <w:p w14:paraId="11C18F7E">
      <w:pPr>
        <w:pStyle w:val="10"/>
      </w:pPr>
      <w:r>
        <w:rPr>
          <w:rFonts w:hint="eastAsia"/>
        </w:rPr>
        <w:fldChar w:fldCharType="begin"/>
      </w:r>
      <w:r>
        <w:rPr>
          <w:rFonts w:hint="eastAsia"/>
        </w:rPr>
        <w:instrText xml:space="preserve"> HYPERLINK \l _Toc9420 </w:instrText>
      </w:r>
      <w:r>
        <w:rPr>
          <w:rFonts w:hint="eastAsia"/>
        </w:rPr>
        <w:fldChar w:fldCharType="separate"/>
      </w:r>
      <w:r>
        <w:rPr>
          <w:rFonts w:hint="eastAsia"/>
        </w:rPr>
        <w:t>2.9.1 就业质量</w:t>
      </w:r>
      <w:r>
        <w:tab/>
      </w:r>
      <w:r>
        <w:fldChar w:fldCharType="begin"/>
      </w:r>
      <w:r>
        <w:instrText xml:space="preserve"> PAGEREF _Toc9420 \h </w:instrText>
      </w:r>
      <w:r>
        <w:fldChar w:fldCharType="separate"/>
      </w:r>
      <w:r>
        <w:t>33</w:t>
      </w:r>
      <w:r>
        <w:fldChar w:fldCharType="end"/>
      </w:r>
      <w:r>
        <w:rPr>
          <w:rFonts w:hint="eastAsia"/>
        </w:rPr>
        <w:fldChar w:fldCharType="end"/>
      </w:r>
    </w:p>
    <w:p w14:paraId="0480AC83">
      <w:pPr>
        <w:pStyle w:val="10"/>
      </w:pPr>
      <w:r>
        <w:rPr>
          <w:rFonts w:hint="eastAsia"/>
        </w:rPr>
        <w:fldChar w:fldCharType="begin"/>
      </w:r>
      <w:r>
        <w:rPr>
          <w:rFonts w:hint="eastAsia"/>
        </w:rPr>
        <w:instrText xml:space="preserve"> HYPERLINK \l _Toc12142 </w:instrText>
      </w:r>
      <w:r>
        <w:rPr>
          <w:rFonts w:hint="eastAsia"/>
        </w:rPr>
        <w:fldChar w:fldCharType="separate"/>
      </w:r>
      <w:r>
        <w:rPr>
          <w:rFonts w:hint="eastAsia"/>
        </w:rPr>
        <w:t>2.9.2 升学情况</w:t>
      </w:r>
      <w:r>
        <w:tab/>
      </w:r>
      <w:r>
        <w:fldChar w:fldCharType="begin"/>
      </w:r>
      <w:r>
        <w:instrText xml:space="preserve"> PAGEREF _Toc12142 \h </w:instrText>
      </w:r>
      <w:r>
        <w:fldChar w:fldCharType="separate"/>
      </w:r>
      <w:r>
        <w:t>33</w:t>
      </w:r>
      <w:r>
        <w:fldChar w:fldCharType="end"/>
      </w:r>
      <w:r>
        <w:rPr>
          <w:rFonts w:hint="eastAsia"/>
        </w:rPr>
        <w:fldChar w:fldCharType="end"/>
      </w:r>
    </w:p>
    <w:p w14:paraId="535E7C87">
      <w:pPr>
        <w:pStyle w:val="10"/>
      </w:pPr>
      <w:r>
        <w:rPr>
          <w:rFonts w:hint="eastAsia"/>
        </w:rPr>
        <w:fldChar w:fldCharType="begin"/>
      </w:r>
      <w:r>
        <w:rPr>
          <w:rFonts w:hint="eastAsia"/>
        </w:rPr>
        <w:instrText xml:space="preserve"> HYPERLINK \l _Toc13108 </w:instrText>
      </w:r>
      <w:r>
        <w:rPr>
          <w:rFonts w:hint="eastAsia"/>
        </w:rPr>
        <w:fldChar w:fldCharType="separate"/>
      </w:r>
      <w:r>
        <w:rPr>
          <w:rFonts w:hint="eastAsia"/>
        </w:rPr>
        <w:t>2.9.3 创新创业</w:t>
      </w:r>
      <w:r>
        <w:tab/>
      </w:r>
      <w:r>
        <w:fldChar w:fldCharType="begin"/>
      </w:r>
      <w:r>
        <w:instrText xml:space="preserve"> PAGEREF _Toc13108 \h </w:instrText>
      </w:r>
      <w:r>
        <w:fldChar w:fldCharType="separate"/>
      </w:r>
      <w:r>
        <w:t>34</w:t>
      </w:r>
      <w:r>
        <w:fldChar w:fldCharType="end"/>
      </w:r>
      <w:r>
        <w:rPr>
          <w:rFonts w:hint="eastAsia"/>
        </w:rPr>
        <w:fldChar w:fldCharType="end"/>
      </w:r>
    </w:p>
    <w:p w14:paraId="6EE6131D">
      <w:pPr>
        <w:pStyle w:val="14"/>
      </w:pPr>
      <w:r>
        <w:rPr>
          <w:rFonts w:hint="eastAsia"/>
        </w:rPr>
        <w:fldChar w:fldCharType="begin"/>
      </w:r>
      <w:r>
        <w:rPr>
          <w:rFonts w:hint="eastAsia"/>
        </w:rPr>
        <w:instrText xml:space="preserve"> HYPERLINK \l _Toc30542 </w:instrText>
      </w:r>
      <w:r>
        <w:rPr>
          <w:rFonts w:hint="eastAsia"/>
        </w:rPr>
        <w:fldChar w:fldCharType="separate"/>
      </w:r>
      <w:r>
        <w:rPr>
          <w:rFonts w:hint="eastAsia"/>
          <w:lang w:eastAsia="zh-CN"/>
        </w:rPr>
        <w:t xml:space="preserve">3 </w:t>
      </w:r>
      <w:r>
        <w:rPr>
          <w:lang w:eastAsia="zh-CN"/>
        </w:rPr>
        <w:t>服务贡献</w:t>
      </w:r>
      <w:r>
        <w:tab/>
      </w:r>
      <w:r>
        <w:fldChar w:fldCharType="begin"/>
      </w:r>
      <w:r>
        <w:instrText xml:space="preserve"> PAGEREF _Toc30542 \h </w:instrText>
      </w:r>
      <w:r>
        <w:fldChar w:fldCharType="separate"/>
      </w:r>
      <w:r>
        <w:t>35</w:t>
      </w:r>
      <w:r>
        <w:fldChar w:fldCharType="end"/>
      </w:r>
      <w:r>
        <w:rPr>
          <w:rFonts w:hint="eastAsia"/>
        </w:rPr>
        <w:fldChar w:fldCharType="end"/>
      </w:r>
    </w:p>
    <w:p w14:paraId="1D32A285">
      <w:pPr>
        <w:pStyle w:val="17"/>
      </w:pPr>
      <w:r>
        <w:rPr>
          <w:rFonts w:hint="eastAsia"/>
        </w:rPr>
        <w:fldChar w:fldCharType="begin"/>
      </w:r>
      <w:r>
        <w:rPr>
          <w:rFonts w:hint="eastAsia"/>
        </w:rPr>
        <w:instrText xml:space="preserve"> HYPERLINK \l _Toc19820 </w:instrText>
      </w:r>
      <w:r>
        <w:rPr>
          <w:rFonts w:hint="eastAsia"/>
        </w:rPr>
        <w:fldChar w:fldCharType="separate"/>
      </w:r>
      <w:r>
        <w:rPr>
          <w:rFonts w:hint="eastAsia"/>
        </w:rPr>
        <w:t>3</w:t>
      </w:r>
      <w:r>
        <w:t>.1 服务行业企业</w:t>
      </w:r>
      <w:r>
        <w:tab/>
      </w:r>
      <w:r>
        <w:fldChar w:fldCharType="begin"/>
      </w:r>
      <w:r>
        <w:instrText xml:space="preserve"> PAGEREF _Toc19820 \h </w:instrText>
      </w:r>
      <w:r>
        <w:fldChar w:fldCharType="separate"/>
      </w:r>
      <w:r>
        <w:t>35</w:t>
      </w:r>
      <w:r>
        <w:fldChar w:fldCharType="end"/>
      </w:r>
      <w:r>
        <w:rPr>
          <w:rFonts w:hint="eastAsia"/>
        </w:rPr>
        <w:fldChar w:fldCharType="end"/>
      </w:r>
    </w:p>
    <w:p w14:paraId="3E726F80">
      <w:pPr>
        <w:pStyle w:val="17"/>
      </w:pPr>
      <w:r>
        <w:rPr>
          <w:rFonts w:hint="eastAsia"/>
        </w:rPr>
        <w:fldChar w:fldCharType="begin"/>
      </w:r>
      <w:r>
        <w:rPr>
          <w:rFonts w:hint="eastAsia"/>
        </w:rPr>
        <w:instrText xml:space="preserve"> HYPERLINK \l _Toc29123 </w:instrText>
      </w:r>
      <w:r>
        <w:rPr>
          <w:rFonts w:hint="eastAsia"/>
        </w:rPr>
        <w:fldChar w:fldCharType="separate"/>
      </w:r>
      <w:r>
        <w:rPr>
          <w:rFonts w:hint="eastAsia"/>
        </w:rPr>
        <w:t>3.2 服务地方发展</w:t>
      </w:r>
      <w:r>
        <w:tab/>
      </w:r>
      <w:r>
        <w:fldChar w:fldCharType="begin"/>
      </w:r>
      <w:r>
        <w:instrText xml:space="preserve"> PAGEREF _Toc29123 \h </w:instrText>
      </w:r>
      <w:r>
        <w:fldChar w:fldCharType="separate"/>
      </w:r>
      <w:r>
        <w:t>36</w:t>
      </w:r>
      <w:r>
        <w:fldChar w:fldCharType="end"/>
      </w:r>
      <w:r>
        <w:rPr>
          <w:rFonts w:hint="eastAsia"/>
        </w:rPr>
        <w:fldChar w:fldCharType="end"/>
      </w:r>
    </w:p>
    <w:p w14:paraId="63CB27E3">
      <w:pPr>
        <w:pStyle w:val="17"/>
      </w:pPr>
      <w:r>
        <w:rPr>
          <w:rFonts w:hint="eastAsia"/>
        </w:rPr>
        <w:fldChar w:fldCharType="begin"/>
      </w:r>
      <w:r>
        <w:rPr>
          <w:rFonts w:hint="eastAsia"/>
        </w:rPr>
        <w:instrText xml:space="preserve"> HYPERLINK \l _Toc9949 </w:instrText>
      </w:r>
      <w:r>
        <w:rPr>
          <w:rFonts w:hint="eastAsia"/>
        </w:rPr>
        <w:fldChar w:fldCharType="separate"/>
      </w:r>
      <w:r>
        <w:rPr>
          <w:rFonts w:hint="eastAsia"/>
        </w:rPr>
        <w:t>3</w:t>
      </w:r>
      <w:r>
        <w:t>.3 服务国家战略</w:t>
      </w:r>
      <w:r>
        <w:tab/>
      </w:r>
      <w:r>
        <w:fldChar w:fldCharType="begin"/>
      </w:r>
      <w:r>
        <w:instrText xml:space="preserve"> PAGEREF _Toc9949 \h </w:instrText>
      </w:r>
      <w:r>
        <w:fldChar w:fldCharType="separate"/>
      </w:r>
      <w:r>
        <w:t>37</w:t>
      </w:r>
      <w:r>
        <w:fldChar w:fldCharType="end"/>
      </w:r>
      <w:r>
        <w:rPr>
          <w:rFonts w:hint="eastAsia"/>
        </w:rPr>
        <w:fldChar w:fldCharType="end"/>
      </w:r>
    </w:p>
    <w:p w14:paraId="70762DE8">
      <w:pPr>
        <w:pStyle w:val="14"/>
      </w:pPr>
      <w:r>
        <w:rPr>
          <w:rFonts w:hint="eastAsia"/>
        </w:rPr>
        <w:fldChar w:fldCharType="begin"/>
      </w:r>
      <w:r>
        <w:rPr>
          <w:rFonts w:hint="eastAsia"/>
        </w:rPr>
        <w:instrText xml:space="preserve"> HYPERLINK \l _Toc7837 </w:instrText>
      </w:r>
      <w:r>
        <w:rPr>
          <w:rFonts w:hint="eastAsia"/>
        </w:rPr>
        <w:fldChar w:fldCharType="separate"/>
      </w:r>
      <w:r>
        <w:rPr>
          <w:rFonts w:hint="eastAsia"/>
          <w:lang w:eastAsia="zh-CN"/>
        </w:rPr>
        <w:t xml:space="preserve">4 </w:t>
      </w:r>
      <w:r>
        <w:rPr>
          <w:lang w:eastAsia="zh-CN"/>
        </w:rPr>
        <w:t>文化传承</w:t>
      </w:r>
      <w:r>
        <w:tab/>
      </w:r>
      <w:r>
        <w:fldChar w:fldCharType="begin"/>
      </w:r>
      <w:r>
        <w:instrText xml:space="preserve"> PAGEREF _Toc7837 \h </w:instrText>
      </w:r>
      <w:r>
        <w:fldChar w:fldCharType="separate"/>
      </w:r>
      <w:r>
        <w:t>39</w:t>
      </w:r>
      <w:r>
        <w:fldChar w:fldCharType="end"/>
      </w:r>
      <w:r>
        <w:rPr>
          <w:rFonts w:hint="eastAsia"/>
        </w:rPr>
        <w:fldChar w:fldCharType="end"/>
      </w:r>
    </w:p>
    <w:p w14:paraId="2505C0DE">
      <w:pPr>
        <w:pStyle w:val="17"/>
      </w:pPr>
      <w:r>
        <w:rPr>
          <w:rFonts w:hint="eastAsia"/>
        </w:rPr>
        <w:fldChar w:fldCharType="begin"/>
      </w:r>
      <w:r>
        <w:rPr>
          <w:rFonts w:hint="eastAsia"/>
        </w:rPr>
        <w:instrText xml:space="preserve"> HYPERLINK \l _Toc14820 </w:instrText>
      </w:r>
      <w:r>
        <w:rPr>
          <w:rFonts w:hint="eastAsia"/>
        </w:rPr>
        <w:fldChar w:fldCharType="separate"/>
      </w:r>
      <w:r>
        <w:rPr>
          <w:rFonts w:hint="eastAsia"/>
        </w:rPr>
        <w:t>4</w:t>
      </w:r>
      <w:r>
        <w:t>.1 传承工匠精神</w:t>
      </w:r>
      <w:r>
        <w:tab/>
      </w:r>
      <w:r>
        <w:fldChar w:fldCharType="begin"/>
      </w:r>
      <w:r>
        <w:instrText xml:space="preserve"> PAGEREF _Toc14820 \h </w:instrText>
      </w:r>
      <w:r>
        <w:fldChar w:fldCharType="separate"/>
      </w:r>
      <w:r>
        <w:t>39</w:t>
      </w:r>
      <w:r>
        <w:fldChar w:fldCharType="end"/>
      </w:r>
      <w:r>
        <w:rPr>
          <w:rFonts w:hint="eastAsia"/>
        </w:rPr>
        <w:fldChar w:fldCharType="end"/>
      </w:r>
    </w:p>
    <w:p w14:paraId="1B25F82F">
      <w:pPr>
        <w:pStyle w:val="17"/>
      </w:pPr>
      <w:r>
        <w:rPr>
          <w:rFonts w:hint="eastAsia"/>
        </w:rPr>
        <w:fldChar w:fldCharType="begin"/>
      </w:r>
      <w:r>
        <w:rPr>
          <w:rFonts w:hint="eastAsia"/>
        </w:rPr>
        <w:instrText xml:space="preserve"> HYPERLINK \l _Toc18799 </w:instrText>
      </w:r>
      <w:r>
        <w:rPr>
          <w:rFonts w:hint="eastAsia"/>
        </w:rPr>
        <w:fldChar w:fldCharType="separate"/>
      </w:r>
      <w:r>
        <w:rPr>
          <w:rFonts w:hint="eastAsia"/>
        </w:rPr>
        <w:t>4</w:t>
      </w:r>
      <w:r>
        <w:t>.2 传承红色文化</w:t>
      </w:r>
      <w:r>
        <w:tab/>
      </w:r>
      <w:r>
        <w:fldChar w:fldCharType="begin"/>
      </w:r>
      <w:r>
        <w:instrText xml:space="preserve"> PAGEREF _Toc18799 \h </w:instrText>
      </w:r>
      <w:r>
        <w:fldChar w:fldCharType="separate"/>
      </w:r>
      <w:r>
        <w:t>40</w:t>
      </w:r>
      <w:r>
        <w:fldChar w:fldCharType="end"/>
      </w:r>
      <w:r>
        <w:rPr>
          <w:rFonts w:hint="eastAsia"/>
        </w:rPr>
        <w:fldChar w:fldCharType="end"/>
      </w:r>
    </w:p>
    <w:p w14:paraId="6280D06F">
      <w:pPr>
        <w:pStyle w:val="17"/>
      </w:pPr>
      <w:r>
        <w:rPr>
          <w:rFonts w:hint="eastAsia"/>
        </w:rPr>
        <w:fldChar w:fldCharType="begin"/>
      </w:r>
      <w:r>
        <w:rPr>
          <w:rFonts w:hint="eastAsia"/>
        </w:rPr>
        <w:instrText xml:space="preserve"> HYPERLINK \l _Toc31711 </w:instrText>
      </w:r>
      <w:r>
        <w:rPr>
          <w:rFonts w:hint="eastAsia"/>
        </w:rPr>
        <w:fldChar w:fldCharType="separate"/>
      </w:r>
      <w:r>
        <w:rPr>
          <w:rFonts w:hint="eastAsia"/>
        </w:rPr>
        <w:t>4</w:t>
      </w:r>
      <w:r>
        <w:t>.3 传承</w:t>
      </w:r>
      <w:r>
        <w:rPr>
          <w:rFonts w:hint="eastAsia"/>
        </w:rPr>
        <w:t>中华</w:t>
      </w:r>
      <w:r>
        <w:t>优秀传统文化</w:t>
      </w:r>
      <w:r>
        <w:tab/>
      </w:r>
      <w:r>
        <w:fldChar w:fldCharType="begin"/>
      </w:r>
      <w:r>
        <w:instrText xml:space="preserve"> PAGEREF _Toc31711 \h </w:instrText>
      </w:r>
      <w:r>
        <w:fldChar w:fldCharType="separate"/>
      </w:r>
      <w:r>
        <w:t>41</w:t>
      </w:r>
      <w:r>
        <w:fldChar w:fldCharType="end"/>
      </w:r>
      <w:r>
        <w:rPr>
          <w:rFonts w:hint="eastAsia"/>
        </w:rPr>
        <w:fldChar w:fldCharType="end"/>
      </w:r>
    </w:p>
    <w:p w14:paraId="0033F2D9">
      <w:pPr>
        <w:pStyle w:val="17"/>
      </w:pPr>
      <w:r>
        <w:rPr>
          <w:rFonts w:hint="eastAsia"/>
        </w:rPr>
        <w:fldChar w:fldCharType="begin"/>
      </w:r>
      <w:r>
        <w:rPr>
          <w:rFonts w:hint="eastAsia"/>
        </w:rPr>
        <w:instrText xml:space="preserve"> HYPERLINK \l _Toc29130 </w:instrText>
      </w:r>
      <w:r>
        <w:rPr>
          <w:rFonts w:hint="eastAsia"/>
        </w:rPr>
        <w:fldChar w:fldCharType="separate"/>
      </w:r>
      <w:r>
        <w:rPr>
          <w:rFonts w:hint="eastAsia"/>
        </w:rPr>
        <w:t>4</w:t>
      </w:r>
      <w:r>
        <w:t>.4 传承地方或校园特色文化</w:t>
      </w:r>
      <w:r>
        <w:tab/>
      </w:r>
      <w:r>
        <w:fldChar w:fldCharType="begin"/>
      </w:r>
      <w:r>
        <w:instrText xml:space="preserve"> PAGEREF _Toc29130 \h </w:instrText>
      </w:r>
      <w:r>
        <w:fldChar w:fldCharType="separate"/>
      </w:r>
      <w:r>
        <w:t>42</w:t>
      </w:r>
      <w:r>
        <w:fldChar w:fldCharType="end"/>
      </w:r>
      <w:r>
        <w:rPr>
          <w:rFonts w:hint="eastAsia"/>
        </w:rPr>
        <w:fldChar w:fldCharType="end"/>
      </w:r>
    </w:p>
    <w:p w14:paraId="06828E5D">
      <w:pPr>
        <w:pStyle w:val="14"/>
      </w:pPr>
      <w:r>
        <w:rPr>
          <w:rFonts w:hint="eastAsia"/>
        </w:rPr>
        <w:fldChar w:fldCharType="begin"/>
      </w:r>
      <w:r>
        <w:rPr>
          <w:rFonts w:hint="eastAsia"/>
        </w:rPr>
        <w:instrText xml:space="preserve"> HYPERLINK \l _Toc5894 </w:instrText>
      </w:r>
      <w:r>
        <w:rPr>
          <w:rFonts w:hint="eastAsia"/>
        </w:rPr>
        <w:fldChar w:fldCharType="separate"/>
      </w:r>
      <w:r>
        <w:rPr>
          <w:rFonts w:hint="eastAsia"/>
          <w:lang w:eastAsia="zh-CN"/>
        </w:rPr>
        <w:t xml:space="preserve">5 </w:t>
      </w:r>
      <w:r>
        <w:rPr>
          <w:lang w:eastAsia="zh-CN"/>
        </w:rPr>
        <w:t>国际合作</w:t>
      </w:r>
      <w:r>
        <w:tab/>
      </w:r>
      <w:r>
        <w:fldChar w:fldCharType="begin"/>
      </w:r>
      <w:r>
        <w:instrText xml:space="preserve"> PAGEREF _Toc5894 \h </w:instrText>
      </w:r>
      <w:r>
        <w:fldChar w:fldCharType="separate"/>
      </w:r>
      <w:r>
        <w:t>44</w:t>
      </w:r>
      <w:r>
        <w:fldChar w:fldCharType="end"/>
      </w:r>
      <w:r>
        <w:rPr>
          <w:rFonts w:hint="eastAsia"/>
        </w:rPr>
        <w:fldChar w:fldCharType="end"/>
      </w:r>
    </w:p>
    <w:p w14:paraId="2D6A4BA5">
      <w:pPr>
        <w:pStyle w:val="17"/>
      </w:pPr>
      <w:r>
        <w:rPr>
          <w:rFonts w:hint="eastAsia"/>
        </w:rPr>
        <w:fldChar w:fldCharType="begin"/>
      </w:r>
      <w:r>
        <w:rPr>
          <w:rFonts w:hint="eastAsia"/>
        </w:rPr>
        <w:instrText xml:space="preserve"> HYPERLINK \l _Toc17997 </w:instrText>
      </w:r>
      <w:r>
        <w:rPr>
          <w:rFonts w:hint="eastAsia"/>
        </w:rPr>
        <w:fldChar w:fldCharType="separate"/>
      </w:r>
      <w:r>
        <w:rPr>
          <w:rFonts w:hint="eastAsia"/>
        </w:rPr>
        <w:t>5</w:t>
      </w:r>
      <w:r>
        <w:t xml:space="preserve">.1 </w:t>
      </w:r>
      <w:r>
        <w:rPr>
          <w:rFonts w:hint="eastAsia"/>
        </w:rPr>
        <w:t>资源输出</w:t>
      </w:r>
      <w:r>
        <w:tab/>
      </w:r>
      <w:r>
        <w:fldChar w:fldCharType="begin"/>
      </w:r>
      <w:r>
        <w:instrText xml:space="preserve"> PAGEREF _Toc17997 \h </w:instrText>
      </w:r>
      <w:r>
        <w:fldChar w:fldCharType="separate"/>
      </w:r>
      <w:r>
        <w:t>44</w:t>
      </w:r>
      <w:r>
        <w:fldChar w:fldCharType="end"/>
      </w:r>
      <w:r>
        <w:rPr>
          <w:rFonts w:hint="eastAsia"/>
        </w:rPr>
        <w:fldChar w:fldCharType="end"/>
      </w:r>
    </w:p>
    <w:p w14:paraId="3BA85F17">
      <w:pPr>
        <w:pStyle w:val="17"/>
      </w:pPr>
      <w:r>
        <w:rPr>
          <w:rFonts w:hint="eastAsia"/>
        </w:rPr>
        <w:fldChar w:fldCharType="begin"/>
      </w:r>
      <w:r>
        <w:rPr>
          <w:rFonts w:hint="eastAsia"/>
        </w:rPr>
        <w:instrText xml:space="preserve"> HYPERLINK \l _Toc32694 </w:instrText>
      </w:r>
      <w:r>
        <w:rPr>
          <w:rFonts w:hint="eastAsia"/>
        </w:rPr>
        <w:fldChar w:fldCharType="separate"/>
      </w:r>
      <w:r>
        <w:rPr>
          <w:rFonts w:hint="eastAsia"/>
        </w:rPr>
        <w:t>5</w:t>
      </w:r>
      <w:r>
        <w:t>.2 国际交流</w:t>
      </w:r>
      <w:r>
        <w:tab/>
      </w:r>
      <w:r>
        <w:fldChar w:fldCharType="begin"/>
      </w:r>
      <w:r>
        <w:instrText xml:space="preserve"> PAGEREF _Toc32694 \h </w:instrText>
      </w:r>
      <w:r>
        <w:fldChar w:fldCharType="separate"/>
      </w:r>
      <w:r>
        <w:t>45</w:t>
      </w:r>
      <w:r>
        <w:fldChar w:fldCharType="end"/>
      </w:r>
      <w:r>
        <w:rPr>
          <w:rFonts w:hint="eastAsia"/>
        </w:rPr>
        <w:fldChar w:fldCharType="end"/>
      </w:r>
    </w:p>
    <w:p w14:paraId="7D5DB9FF">
      <w:pPr>
        <w:pStyle w:val="14"/>
      </w:pPr>
      <w:r>
        <w:rPr>
          <w:rFonts w:hint="eastAsia"/>
        </w:rPr>
        <w:fldChar w:fldCharType="begin"/>
      </w:r>
      <w:r>
        <w:rPr>
          <w:rFonts w:hint="eastAsia"/>
        </w:rPr>
        <w:instrText xml:space="preserve"> HYPERLINK \l _Toc20785 </w:instrText>
      </w:r>
      <w:r>
        <w:rPr>
          <w:rFonts w:hint="eastAsia"/>
        </w:rPr>
        <w:fldChar w:fldCharType="separate"/>
      </w:r>
      <w:r>
        <w:rPr>
          <w:rFonts w:hint="eastAsia"/>
          <w:lang w:eastAsia="zh-CN"/>
        </w:rPr>
        <w:t xml:space="preserve">6 </w:t>
      </w:r>
      <w:r>
        <w:rPr>
          <w:lang w:eastAsia="zh-CN"/>
        </w:rPr>
        <w:t>产教融合</w:t>
      </w:r>
      <w:r>
        <w:tab/>
      </w:r>
      <w:r>
        <w:fldChar w:fldCharType="begin"/>
      </w:r>
      <w:r>
        <w:instrText xml:space="preserve"> PAGEREF _Toc20785 \h </w:instrText>
      </w:r>
      <w:r>
        <w:fldChar w:fldCharType="separate"/>
      </w:r>
      <w:r>
        <w:t>47</w:t>
      </w:r>
      <w:r>
        <w:fldChar w:fldCharType="end"/>
      </w:r>
      <w:r>
        <w:rPr>
          <w:rFonts w:hint="eastAsia"/>
        </w:rPr>
        <w:fldChar w:fldCharType="end"/>
      </w:r>
    </w:p>
    <w:p w14:paraId="6A675A63">
      <w:pPr>
        <w:pStyle w:val="17"/>
      </w:pPr>
      <w:r>
        <w:rPr>
          <w:rFonts w:hint="eastAsia"/>
        </w:rPr>
        <w:fldChar w:fldCharType="begin"/>
      </w:r>
      <w:r>
        <w:rPr>
          <w:rFonts w:hint="eastAsia"/>
        </w:rPr>
        <w:instrText xml:space="preserve"> HYPERLINK \l _Toc10574 </w:instrText>
      </w:r>
      <w:r>
        <w:rPr>
          <w:rFonts w:hint="eastAsia"/>
        </w:rPr>
        <w:fldChar w:fldCharType="separate"/>
      </w:r>
      <w:r>
        <w:rPr>
          <w:rFonts w:hint="eastAsia"/>
        </w:rPr>
        <w:t>6</w:t>
      </w:r>
      <w:r>
        <w:t>.</w:t>
      </w:r>
      <w:r>
        <w:rPr>
          <w:rFonts w:hint="eastAsia"/>
        </w:rPr>
        <w:t>1</w:t>
      </w:r>
      <w:r>
        <w:t xml:space="preserve"> </w:t>
      </w:r>
      <w:r>
        <w:rPr>
          <w:rFonts w:hint="eastAsia"/>
        </w:rPr>
        <w:t>机制共筑</w:t>
      </w:r>
      <w:r>
        <w:tab/>
      </w:r>
      <w:r>
        <w:fldChar w:fldCharType="begin"/>
      </w:r>
      <w:r>
        <w:instrText xml:space="preserve"> PAGEREF _Toc10574 \h </w:instrText>
      </w:r>
      <w:r>
        <w:fldChar w:fldCharType="separate"/>
      </w:r>
      <w:r>
        <w:t>47</w:t>
      </w:r>
      <w:r>
        <w:fldChar w:fldCharType="end"/>
      </w:r>
      <w:r>
        <w:rPr>
          <w:rFonts w:hint="eastAsia"/>
        </w:rPr>
        <w:fldChar w:fldCharType="end"/>
      </w:r>
    </w:p>
    <w:p w14:paraId="3114272C">
      <w:pPr>
        <w:pStyle w:val="17"/>
      </w:pPr>
      <w:r>
        <w:rPr>
          <w:rFonts w:hint="eastAsia"/>
        </w:rPr>
        <w:fldChar w:fldCharType="begin"/>
      </w:r>
      <w:r>
        <w:rPr>
          <w:rFonts w:hint="eastAsia"/>
        </w:rPr>
        <w:instrText xml:space="preserve"> HYPERLINK \l _Toc10811 </w:instrText>
      </w:r>
      <w:r>
        <w:rPr>
          <w:rFonts w:hint="eastAsia"/>
        </w:rPr>
        <w:fldChar w:fldCharType="separate"/>
      </w:r>
      <w:r>
        <w:rPr>
          <w:rFonts w:hint="eastAsia"/>
        </w:rPr>
        <w:t>6</w:t>
      </w:r>
      <w:r>
        <w:t xml:space="preserve">.2 </w:t>
      </w:r>
      <w:r>
        <w:rPr>
          <w:rFonts w:hint="eastAsia"/>
        </w:rPr>
        <w:t>资源共建</w:t>
      </w:r>
      <w:r>
        <w:tab/>
      </w:r>
      <w:r>
        <w:fldChar w:fldCharType="begin"/>
      </w:r>
      <w:r>
        <w:instrText xml:space="preserve"> PAGEREF _Toc10811 \h </w:instrText>
      </w:r>
      <w:r>
        <w:fldChar w:fldCharType="separate"/>
      </w:r>
      <w:r>
        <w:t>48</w:t>
      </w:r>
      <w:r>
        <w:fldChar w:fldCharType="end"/>
      </w:r>
      <w:r>
        <w:rPr>
          <w:rFonts w:hint="eastAsia"/>
        </w:rPr>
        <w:fldChar w:fldCharType="end"/>
      </w:r>
    </w:p>
    <w:p w14:paraId="6390867D">
      <w:pPr>
        <w:pStyle w:val="17"/>
      </w:pPr>
      <w:r>
        <w:rPr>
          <w:rFonts w:hint="eastAsia"/>
        </w:rPr>
        <w:fldChar w:fldCharType="begin"/>
      </w:r>
      <w:r>
        <w:rPr>
          <w:rFonts w:hint="eastAsia"/>
        </w:rPr>
        <w:instrText xml:space="preserve"> HYPERLINK \l _Toc32473 </w:instrText>
      </w:r>
      <w:r>
        <w:rPr>
          <w:rFonts w:hint="eastAsia"/>
        </w:rPr>
        <w:fldChar w:fldCharType="separate"/>
      </w:r>
      <w:r>
        <w:rPr>
          <w:rFonts w:hint="eastAsia"/>
        </w:rPr>
        <w:t>6</w:t>
      </w:r>
      <w:r>
        <w:t xml:space="preserve">.3 </w:t>
      </w:r>
      <w:r>
        <w:rPr>
          <w:rFonts w:hint="eastAsia"/>
        </w:rPr>
        <w:t>人才共育</w:t>
      </w:r>
      <w:r>
        <w:tab/>
      </w:r>
      <w:r>
        <w:fldChar w:fldCharType="begin"/>
      </w:r>
      <w:r>
        <w:instrText xml:space="preserve"> PAGEREF _Toc32473 \h </w:instrText>
      </w:r>
      <w:r>
        <w:fldChar w:fldCharType="separate"/>
      </w:r>
      <w:r>
        <w:t>48</w:t>
      </w:r>
      <w:r>
        <w:fldChar w:fldCharType="end"/>
      </w:r>
      <w:r>
        <w:rPr>
          <w:rFonts w:hint="eastAsia"/>
        </w:rPr>
        <w:fldChar w:fldCharType="end"/>
      </w:r>
    </w:p>
    <w:p w14:paraId="57C90B93">
      <w:pPr>
        <w:pStyle w:val="17"/>
      </w:pPr>
      <w:r>
        <w:rPr>
          <w:rFonts w:hint="eastAsia"/>
        </w:rPr>
        <w:fldChar w:fldCharType="begin"/>
      </w:r>
      <w:r>
        <w:rPr>
          <w:rFonts w:hint="eastAsia"/>
        </w:rPr>
        <w:instrText xml:space="preserve"> HYPERLINK \l _Toc24890 </w:instrText>
      </w:r>
      <w:r>
        <w:rPr>
          <w:rFonts w:hint="eastAsia"/>
        </w:rPr>
        <w:fldChar w:fldCharType="separate"/>
      </w:r>
      <w:r>
        <w:rPr>
          <w:rFonts w:hint="eastAsia"/>
        </w:rPr>
        <w:t>6</w:t>
      </w:r>
      <w:r>
        <w:t>.4 双师共培</w:t>
      </w:r>
      <w:r>
        <w:tab/>
      </w:r>
      <w:r>
        <w:fldChar w:fldCharType="begin"/>
      </w:r>
      <w:r>
        <w:instrText xml:space="preserve"> PAGEREF _Toc24890 \h </w:instrText>
      </w:r>
      <w:r>
        <w:fldChar w:fldCharType="separate"/>
      </w:r>
      <w:r>
        <w:t>49</w:t>
      </w:r>
      <w:r>
        <w:fldChar w:fldCharType="end"/>
      </w:r>
      <w:r>
        <w:rPr>
          <w:rFonts w:hint="eastAsia"/>
        </w:rPr>
        <w:fldChar w:fldCharType="end"/>
      </w:r>
    </w:p>
    <w:p w14:paraId="40AF81B4">
      <w:pPr>
        <w:pStyle w:val="14"/>
      </w:pPr>
      <w:r>
        <w:rPr>
          <w:rFonts w:hint="eastAsia"/>
        </w:rPr>
        <w:fldChar w:fldCharType="begin"/>
      </w:r>
      <w:r>
        <w:rPr>
          <w:rFonts w:hint="eastAsia"/>
        </w:rPr>
        <w:instrText xml:space="preserve"> HYPERLINK \l _Toc9749 </w:instrText>
      </w:r>
      <w:r>
        <w:rPr>
          <w:rFonts w:hint="eastAsia"/>
        </w:rPr>
        <w:fldChar w:fldCharType="separate"/>
      </w:r>
      <w:r>
        <w:rPr>
          <w:lang w:eastAsia="zh-CN"/>
        </w:rPr>
        <w:t>7</w:t>
      </w:r>
      <w:r>
        <w:rPr>
          <w:rFonts w:hint="eastAsia"/>
          <w:lang w:eastAsia="zh-CN"/>
        </w:rPr>
        <w:t xml:space="preserve"> </w:t>
      </w:r>
      <w:r>
        <w:rPr>
          <w:lang w:eastAsia="zh-CN"/>
        </w:rPr>
        <w:t>发展保障</w:t>
      </w:r>
      <w:r>
        <w:tab/>
      </w:r>
      <w:r>
        <w:fldChar w:fldCharType="begin"/>
      </w:r>
      <w:r>
        <w:instrText xml:space="preserve"> PAGEREF _Toc9749 \h </w:instrText>
      </w:r>
      <w:r>
        <w:fldChar w:fldCharType="separate"/>
      </w:r>
      <w:r>
        <w:t>51</w:t>
      </w:r>
      <w:r>
        <w:fldChar w:fldCharType="end"/>
      </w:r>
      <w:r>
        <w:rPr>
          <w:rFonts w:hint="eastAsia"/>
        </w:rPr>
        <w:fldChar w:fldCharType="end"/>
      </w:r>
    </w:p>
    <w:p w14:paraId="3C36AE89">
      <w:pPr>
        <w:pStyle w:val="17"/>
      </w:pPr>
      <w:r>
        <w:rPr>
          <w:rFonts w:hint="eastAsia"/>
        </w:rPr>
        <w:fldChar w:fldCharType="begin"/>
      </w:r>
      <w:r>
        <w:rPr>
          <w:rFonts w:hint="eastAsia"/>
        </w:rPr>
        <w:instrText xml:space="preserve"> HYPERLINK \l _Toc11644 </w:instrText>
      </w:r>
      <w:r>
        <w:rPr>
          <w:rFonts w:hint="eastAsia"/>
        </w:rPr>
        <w:fldChar w:fldCharType="separate"/>
      </w:r>
      <w:r>
        <w:t>7.1 党建引领</w:t>
      </w:r>
      <w:r>
        <w:tab/>
      </w:r>
      <w:r>
        <w:fldChar w:fldCharType="begin"/>
      </w:r>
      <w:r>
        <w:instrText xml:space="preserve"> PAGEREF _Toc11644 \h </w:instrText>
      </w:r>
      <w:r>
        <w:fldChar w:fldCharType="separate"/>
      </w:r>
      <w:r>
        <w:t>51</w:t>
      </w:r>
      <w:r>
        <w:fldChar w:fldCharType="end"/>
      </w:r>
      <w:r>
        <w:rPr>
          <w:rFonts w:hint="eastAsia"/>
        </w:rPr>
        <w:fldChar w:fldCharType="end"/>
      </w:r>
    </w:p>
    <w:p w14:paraId="698CF92E">
      <w:pPr>
        <w:pStyle w:val="17"/>
      </w:pPr>
      <w:r>
        <w:rPr>
          <w:rFonts w:hint="eastAsia"/>
        </w:rPr>
        <w:fldChar w:fldCharType="begin"/>
      </w:r>
      <w:r>
        <w:rPr>
          <w:rFonts w:hint="eastAsia"/>
        </w:rPr>
        <w:instrText xml:space="preserve"> HYPERLINK \l _Toc1939 </w:instrText>
      </w:r>
      <w:r>
        <w:rPr>
          <w:rFonts w:hint="eastAsia"/>
        </w:rPr>
        <w:fldChar w:fldCharType="separate"/>
      </w:r>
      <w:r>
        <w:t>7.2 政策落实</w:t>
      </w:r>
      <w:r>
        <w:tab/>
      </w:r>
      <w:r>
        <w:fldChar w:fldCharType="begin"/>
      </w:r>
      <w:r>
        <w:instrText xml:space="preserve"> PAGEREF _Toc1939 \h </w:instrText>
      </w:r>
      <w:r>
        <w:fldChar w:fldCharType="separate"/>
      </w:r>
      <w:r>
        <w:t>53</w:t>
      </w:r>
      <w:r>
        <w:fldChar w:fldCharType="end"/>
      </w:r>
      <w:r>
        <w:rPr>
          <w:rFonts w:hint="eastAsia"/>
        </w:rPr>
        <w:fldChar w:fldCharType="end"/>
      </w:r>
    </w:p>
    <w:p w14:paraId="7958F398">
      <w:pPr>
        <w:pStyle w:val="17"/>
      </w:pPr>
      <w:r>
        <w:rPr>
          <w:rFonts w:hint="eastAsia"/>
        </w:rPr>
        <w:fldChar w:fldCharType="begin"/>
      </w:r>
      <w:r>
        <w:rPr>
          <w:rFonts w:hint="eastAsia"/>
        </w:rPr>
        <w:instrText xml:space="preserve"> HYPERLINK \l _Toc4572 </w:instrText>
      </w:r>
      <w:r>
        <w:rPr>
          <w:rFonts w:hint="eastAsia"/>
        </w:rPr>
        <w:fldChar w:fldCharType="separate"/>
      </w:r>
      <w:r>
        <w:t>7.3 学校治理</w:t>
      </w:r>
      <w:r>
        <w:tab/>
      </w:r>
      <w:r>
        <w:fldChar w:fldCharType="begin"/>
      </w:r>
      <w:r>
        <w:instrText xml:space="preserve"> PAGEREF _Toc4572 \h </w:instrText>
      </w:r>
      <w:r>
        <w:fldChar w:fldCharType="separate"/>
      </w:r>
      <w:r>
        <w:t>53</w:t>
      </w:r>
      <w:r>
        <w:fldChar w:fldCharType="end"/>
      </w:r>
      <w:r>
        <w:rPr>
          <w:rFonts w:hint="eastAsia"/>
        </w:rPr>
        <w:fldChar w:fldCharType="end"/>
      </w:r>
    </w:p>
    <w:p w14:paraId="288FF830">
      <w:pPr>
        <w:pStyle w:val="17"/>
      </w:pPr>
      <w:r>
        <w:rPr>
          <w:rFonts w:hint="eastAsia"/>
        </w:rPr>
        <w:fldChar w:fldCharType="begin"/>
      </w:r>
      <w:r>
        <w:rPr>
          <w:rFonts w:hint="eastAsia"/>
        </w:rPr>
        <w:instrText xml:space="preserve"> HYPERLINK \l _Toc11528 </w:instrText>
      </w:r>
      <w:r>
        <w:rPr>
          <w:rFonts w:hint="eastAsia"/>
        </w:rPr>
        <w:fldChar w:fldCharType="separate"/>
      </w:r>
      <w:r>
        <w:t>7.4 质量保证</w:t>
      </w:r>
      <w:r>
        <w:tab/>
      </w:r>
      <w:r>
        <w:fldChar w:fldCharType="begin"/>
      </w:r>
      <w:r>
        <w:instrText xml:space="preserve"> PAGEREF _Toc11528 \h </w:instrText>
      </w:r>
      <w:r>
        <w:fldChar w:fldCharType="separate"/>
      </w:r>
      <w:r>
        <w:t>55</w:t>
      </w:r>
      <w:r>
        <w:fldChar w:fldCharType="end"/>
      </w:r>
      <w:r>
        <w:rPr>
          <w:rFonts w:hint="eastAsia"/>
        </w:rPr>
        <w:fldChar w:fldCharType="end"/>
      </w:r>
    </w:p>
    <w:p w14:paraId="10A3E576">
      <w:pPr>
        <w:pStyle w:val="17"/>
      </w:pPr>
      <w:r>
        <w:rPr>
          <w:rFonts w:hint="eastAsia"/>
        </w:rPr>
        <w:fldChar w:fldCharType="begin"/>
      </w:r>
      <w:r>
        <w:rPr>
          <w:rFonts w:hint="eastAsia"/>
        </w:rPr>
        <w:instrText xml:space="preserve"> HYPERLINK \l _Toc25179 </w:instrText>
      </w:r>
      <w:r>
        <w:rPr>
          <w:rFonts w:hint="eastAsia"/>
        </w:rPr>
        <w:fldChar w:fldCharType="separate"/>
      </w:r>
      <w:r>
        <w:t>7.5</w:t>
      </w:r>
      <w:r>
        <w:rPr>
          <w:rFonts w:hint="eastAsia"/>
        </w:rPr>
        <w:t xml:space="preserve"> </w:t>
      </w:r>
      <w:r>
        <w:t>经费保障</w:t>
      </w:r>
      <w:r>
        <w:tab/>
      </w:r>
      <w:r>
        <w:fldChar w:fldCharType="begin"/>
      </w:r>
      <w:r>
        <w:instrText xml:space="preserve"> PAGEREF _Toc25179 \h </w:instrText>
      </w:r>
      <w:r>
        <w:fldChar w:fldCharType="separate"/>
      </w:r>
      <w:r>
        <w:t>56</w:t>
      </w:r>
      <w:r>
        <w:fldChar w:fldCharType="end"/>
      </w:r>
      <w:r>
        <w:rPr>
          <w:rFonts w:hint="eastAsia"/>
        </w:rPr>
        <w:fldChar w:fldCharType="end"/>
      </w:r>
    </w:p>
    <w:p w14:paraId="485F8F05">
      <w:pPr>
        <w:pStyle w:val="14"/>
      </w:pPr>
      <w:r>
        <w:rPr>
          <w:rFonts w:hint="eastAsia"/>
        </w:rPr>
        <w:fldChar w:fldCharType="begin"/>
      </w:r>
      <w:r>
        <w:rPr>
          <w:rFonts w:hint="eastAsia"/>
        </w:rPr>
        <w:instrText xml:space="preserve"> HYPERLINK \l _Toc20238 </w:instrText>
      </w:r>
      <w:r>
        <w:rPr>
          <w:rFonts w:hint="eastAsia"/>
        </w:rPr>
        <w:fldChar w:fldCharType="separate"/>
      </w:r>
      <w:r>
        <w:t>8</w:t>
      </w:r>
      <w:r>
        <w:rPr>
          <w:rFonts w:hint="eastAsia"/>
          <w:lang w:eastAsia="zh-CN"/>
        </w:rPr>
        <w:t xml:space="preserve"> </w:t>
      </w:r>
      <w:r>
        <w:t>面临挑战</w:t>
      </w:r>
      <w:r>
        <w:tab/>
      </w:r>
      <w:r>
        <w:fldChar w:fldCharType="begin"/>
      </w:r>
      <w:r>
        <w:instrText xml:space="preserve"> PAGEREF _Toc20238 \h </w:instrText>
      </w:r>
      <w:r>
        <w:fldChar w:fldCharType="separate"/>
      </w:r>
      <w:r>
        <w:t>57</w:t>
      </w:r>
      <w:r>
        <w:fldChar w:fldCharType="end"/>
      </w:r>
      <w:r>
        <w:rPr>
          <w:rFonts w:hint="eastAsia"/>
        </w:rPr>
        <w:fldChar w:fldCharType="end"/>
      </w:r>
    </w:p>
    <w:p w14:paraId="20579040">
      <w:pPr>
        <w:pStyle w:val="17"/>
      </w:pPr>
      <w:r>
        <w:rPr>
          <w:rFonts w:hint="eastAsia"/>
        </w:rPr>
        <w:fldChar w:fldCharType="begin"/>
      </w:r>
      <w:r>
        <w:rPr>
          <w:rFonts w:hint="eastAsia"/>
        </w:rPr>
        <w:instrText xml:space="preserve"> HYPERLINK \l _Toc16224 </w:instrText>
      </w:r>
      <w:r>
        <w:rPr>
          <w:rFonts w:hint="eastAsia"/>
        </w:rPr>
        <w:fldChar w:fldCharType="separate"/>
      </w:r>
      <w:r>
        <w:rPr>
          <w:rFonts w:hint="eastAsia"/>
        </w:rPr>
        <w:t xml:space="preserve">8.1 </w:t>
      </w:r>
      <w:r>
        <w:t>挑战1：</w:t>
      </w:r>
      <w:r>
        <w:rPr>
          <w:rFonts w:hint="eastAsia"/>
        </w:rPr>
        <w:t>中职教育社会吸引力与可持续发展面临瓶颈</w:t>
      </w:r>
      <w:r>
        <w:tab/>
      </w:r>
      <w:r>
        <w:fldChar w:fldCharType="begin"/>
      </w:r>
      <w:r>
        <w:instrText xml:space="preserve"> PAGEREF _Toc16224 \h </w:instrText>
      </w:r>
      <w:r>
        <w:fldChar w:fldCharType="separate"/>
      </w:r>
      <w:r>
        <w:t>57</w:t>
      </w:r>
      <w:r>
        <w:fldChar w:fldCharType="end"/>
      </w:r>
      <w:r>
        <w:rPr>
          <w:rFonts w:hint="eastAsia"/>
        </w:rPr>
        <w:fldChar w:fldCharType="end"/>
      </w:r>
    </w:p>
    <w:p w14:paraId="4723021D">
      <w:pPr>
        <w:pStyle w:val="17"/>
      </w:pPr>
      <w:r>
        <w:rPr>
          <w:rFonts w:hint="eastAsia"/>
        </w:rPr>
        <w:fldChar w:fldCharType="begin"/>
      </w:r>
      <w:r>
        <w:rPr>
          <w:rFonts w:hint="eastAsia"/>
        </w:rPr>
        <w:instrText xml:space="preserve"> HYPERLINK \l _Toc30169 </w:instrText>
      </w:r>
      <w:r>
        <w:rPr>
          <w:rFonts w:hint="eastAsia"/>
        </w:rPr>
        <w:fldChar w:fldCharType="separate"/>
      </w:r>
      <w:r>
        <w:rPr>
          <w:rFonts w:hint="eastAsia"/>
        </w:rPr>
        <w:t xml:space="preserve">8.2 </w:t>
      </w:r>
      <w:r>
        <w:t>挑战2：</w:t>
      </w:r>
      <w:r>
        <w:rPr>
          <w:rFonts w:hint="eastAsia"/>
        </w:rPr>
        <w:t>产教融合深度与学校服务能力有待突破</w:t>
      </w:r>
      <w:r>
        <w:tab/>
      </w:r>
      <w:r>
        <w:fldChar w:fldCharType="begin"/>
      </w:r>
      <w:r>
        <w:instrText xml:space="preserve"> PAGEREF _Toc30169 \h </w:instrText>
      </w:r>
      <w:r>
        <w:fldChar w:fldCharType="separate"/>
      </w:r>
      <w:r>
        <w:t>57</w:t>
      </w:r>
      <w:r>
        <w:fldChar w:fldCharType="end"/>
      </w:r>
      <w:r>
        <w:rPr>
          <w:rFonts w:hint="eastAsia"/>
        </w:rPr>
        <w:fldChar w:fldCharType="end"/>
      </w:r>
    </w:p>
    <w:p w14:paraId="72D5137A">
      <w:pPr>
        <w:pStyle w:val="17"/>
      </w:pPr>
      <w:r>
        <w:rPr>
          <w:rFonts w:hint="eastAsia"/>
        </w:rPr>
        <w:fldChar w:fldCharType="begin"/>
      </w:r>
      <w:r>
        <w:rPr>
          <w:rFonts w:hint="eastAsia"/>
        </w:rPr>
        <w:instrText xml:space="preserve"> HYPERLINK \l _Toc31761 </w:instrText>
      </w:r>
      <w:r>
        <w:rPr>
          <w:rFonts w:hint="eastAsia"/>
        </w:rPr>
        <w:fldChar w:fldCharType="separate"/>
      </w:r>
      <w:r>
        <w:rPr>
          <w:rFonts w:hint="eastAsia"/>
        </w:rPr>
        <w:t xml:space="preserve">8.3 </w:t>
      </w:r>
      <w:r>
        <w:t>挑战3：</w:t>
      </w:r>
      <w:r>
        <w:rPr>
          <w:rFonts w:hint="eastAsia"/>
        </w:rPr>
        <w:t>职普融通机制不畅制约综合高中改革成效</w:t>
      </w:r>
      <w:r>
        <w:tab/>
      </w:r>
      <w:r>
        <w:fldChar w:fldCharType="begin"/>
      </w:r>
      <w:r>
        <w:instrText xml:space="preserve"> PAGEREF _Toc31761 \h </w:instrText>
      </w:r>
      <w:r>
        <w:fldChar w:fldCharType="separate"/>
      </w:r>
      <w:r>
        <w:t>58</w:t>
      </w:r>
      <w:r>
        <w:fldChar w:fldCharType="end"/>
      </w:r>
      <w:r>
        <w:rPr>
          <w:rFonts w:hint="eastAsia"/>
        </w:rPr>
        <w:fldChar w:fldCharType="end"/>
      </w:r>
    </w:p>
    <w:p w14:paraId="4CA00D9A">
      <w:pPr>
        <w:ind w:firstLine="480" w:firstLineChars="200"/>
      </w:pPr>
      <w:r>
        <w:rPr>
          <w:rFonts w:hint="eastAsia"/>
        </w:rPr>
        <w:fldChar w:fldCharType="end"/>
      </w:r>
    </w:p>
    <w:p w14:paraId="3336BD1D">
      <w:pPr>
        <w:ind w:firstLine="480" w:firstLineChars="200"/>
      </w:pPr>
    </w:p>
    <w:p w14:paraId="5601D827">
      <w:pPr>
        <w:ind w:firstLine="480" w:firstLineChars="200"/>
      </w:pPr>
    </w:p>
    <w:p w14:paraId="1FCE291C">
      <w:pPr>
        <w:ind w:firstLine="480" w:firstLineChars="200"/>
        <w:sectPr>
          <w:pgSz w:w="11905" w:h="16838"/>
          <w:pgMar w:top="1701" w:right="1701" w:bottom="1701" w:left="1701" w:header="1134" w:footer="1134" w:gutter="0"/>
          <w:cols w:space="0" w:num="1"/>
          <w:docGrid w:type="lines" w:linePitch="327" w:charSpace="0"/>
        </w:sectPr>
      </w:pPr>
    </w:p>
    <w:p w14:paraId="430BE1F3">
      <w:pPr>
        <w:spacing w:before="327" w:beforeLines="100" w:after="327" w:afterLines="100"/>
        <w:jc w:val="center"/>
        <w:rPr>
          <w:sz w:val="36"/>
          <w:szCs w:val="36"/>
        </w:rPr>
      </w:pPr>
      <w:r>
        <w:rPr>
          <w:rFonts w:hint="eastAsia" w:ascii="黑体" w:hAnsi="黑体" w:eastAsia="黑体" w:cs="黑体"/>
          <w:b/>
          <w:bCs/>
          <w:sz w:val="36"/>
          <w:szCs w:val="36"/>
          <w:lang w:eastAsia="zh-CN"/>
        </w:rPr>
        <w:t>表目录</w:t>
      </w:r>
    </w:p>
    <w:p w14:paraId="01D16CBE">
      <w:pPr>
        <w:pStyle w:val="16"/>
      </w:pPr>
      <w:r>
        <w:rPr>
          <w:rFonts w:hint="eastAsia"/>
        </w:rPr>
        <w:fldChar w:fldCharType="begin"/>
      </w:r>
      <w:r>
        <w:rPr>
          <w:rFonts w:hint="eastAsia"/>
        </w:rPr>
        <w:instrText xml:space="preserve">TOC \h \c "表"</w:instrText>
      </w:r>
      <w:r>
        <w:rPr>
          <w:rFonts w:hint="eastAsia"/>
        </w:rPr>
        <w:fldChar w:fldCharType="separate"/>
      </w:r>
      <w:r>
        <w:rPr>
          <w:rFonts w:hint="eastAsia"/>
        </w:rPr>
        <w:fldChar w:fldCharType="begin"/>
      </w:r>
      <w:r>
        <w:rPr>
          <w:rFonts w:hint="eastAsia"/>
        </w:rPr>
        <w:instrText xml:space="preserve"> HYPERLINK \l _Toc26654 </w:instrText>
      </w:r>
      <w:r>
        <w:rPr>
          <w:rFonts w:hint="eastAsia"/>
        </w:rPr>
        <w:fldChar w:fldCharType="separate"/>
      </w:r>
      <w:r>
        <w:t>表1  2024-2025学年中职学校基本信息一览表</w:t>
      </w:r>
      <w:r>
        <w:tab/>
      </w:r>
      <w:r>
        <w:fldChar w:fldCharType="begin"/>
      </w:r>
      <w:r>
        <w:instrText xml:space="preserve"> PAGEREF _Toc26654 \h </w:instrText>
      </w:r>
      <w:r>
        <w:fldChar w:fldCharType="separate"/>
      </w:r>
      <w:r>
        <w:t>2</w:t>
      </w:r>
      <w:r>
        <w:fldChar w:fldCharType="end"/>
      </w:r>
      <w:r>
        <w:rPr>
          <w:rFonts w:hint="eastAsia"/>
        </w:rPr>
        <w:fldChar w:fldCharType="end"/>
      </w:r>
    </w:p>
    <w:p w14:paraId="7C5B8116">
      <w:pPr>
        <w:pStyle w:val="16"/>
      </w:pPr>
      <w:r>
        <w:rPr>
          <w:rFonts w:hint="eastAsia"/>
        </w:rPr>
        <w:fldChar w:fldCharType="begin"/>
      </w:r>
      <w:r>
        <w:rPr>
          <w:rFonts w:hint="eastAsia"/>
        </w:rPr>
        <w:instrText xml:space="preserve"> HYPERLINK \l _Toc13664 </w:instrText>
      </w:r>
      <w:r>
        <w:rPr>
          <w:rFonts w:hint="eastAsia"/>
        </w:rPr>
        <w:fldChar w:fldCharType="separate"/>
      </w:r>
      <w:r>
        <w:t>表2  学校占地及建筑面积一览表</w:t>
      </w:r>
      <w:r>
        <w:tab/>
      </w:r>
      <w:r>
        <w:fldChar w:fldCharType="begin"/>
      </w:r>
      <w:r>
        <w:instrText xml:space="preserve"> PAGEREF _Toc13664 \h </w:instrText>
      </w:r>
      <w:r>
        <w:fldChar w:fldCharType="separate"/>
      </w:r>
      <w:r>
        <w:t>2</w:t>
      </w:r>
      <w:r>
        <w:fldChar w:fldCharType="end"/>
      </w:r>
      <w:r>
        <w:rPr>
          <w:rFonts w:hint="eastAsia"/>
        </w:rPr>
        <w:fldChar w:fldCharType="end"/>
      </w:r>
    </w:p>
    <w:p w14:paraId="435FA424">
      <w:pPr>
        <w:pStyle w:val="16"/>
      </w:pPr>
      <w:r>
        <w:rPr>
          <w:rFonts w:hint="eastAsia"/>
        </w:rPr>
        <w:fldChar w:fldCharType="begin"/>
      </w:r>
      <w:r>
        <w:rPr>
          <w:rFonts w:hint="eastAsia"/>
        </w:rPr>
        <w:instrText xml:space="preserve"> HYPERLINK \l _Toc31569 </w:instrText>
      </w:r>
      <w:r>
        <w:rPr>
          <w:rFonts w:hint="eastAsia"/>
        </w:rPr>
        <w:fldChar w:fldCharType="separate"/>
      </w:r>
      <w:r>
        <w:t xml:space="preserve">表3 </w:t>
      </w:r>
      <w:r>
        <w:rPr>
          <w:rFonts w:hint="eastAsia"/>
        </w:rPr>
        <w:t xml:space="preserve"> 学校仪器设备情况一览表</w:t>
      </w:r>
      <w:r>
        <w:tab/>
      </w:r>
      <w:r>
        <w:fldChar w:fldCharType="begin"/>
      </w:r>
      <w:r>
        <w:instrText xml:space="preserve"> PAGEREF _Toc31569 \h </w:instrText>
      </w:r>
      <w:r>
        <w:fldChar w:fldCharType="separate"/>
      </w:r>
      <w:r>
        <w:t>3</w:t>
      </w:r>
      <w:r>
        <w:fldChar w:fldCharType="end"/>
      </w:r>
      <w:r>
        <w:rPr>
          <w:rFonts w:hint="eastAsia"/>
        </w:rPr>
        <w:fldChar w:fldCharType="end"/>
      </w:r>
    </w:p>
    <w:p w14:paraId="0D1978E7">
      <w:pPr>
        <w:pStyle w:val="16"/>
      </w:pPr>
      <w:r>
        <w:rPr>
          <w:rFonts w:hint="eastAsia"/>
        </w:rPr>
        <w:fldChar w:fldCharType="begin"/>
      </w:r>
      <w:r>
        <w:rPr>
          <w:rFonts w:hint="eastAsia"/>
        </w:rPr>
        <w:instrText xml:space="preserve"> HYPERLINK \l _Toc8947 </w:instrText>
      </w:r>
      <w:r>
        <w:rPr>
          <w:rFonts w:hint="eastAsia"/>
        </w:rPr>
        <w:fldChar w:fldCharType="separate"/>
      </w:r>
      <w:r>
        <w:t xml:space="preserve">表4 </w:t>
      </w:r>
      <w:r>
        <w:rPr>
          <w:rFonts w:hint="eastAsia"/>
        </w:rPr>
        <w:t xml:space="preserve"> 近三年中职学校师资队伍基本情况一览表</w:t>
      </w:r>
      <w:r>
        <w:tab/>
      </w:r>
      <w:r>
        <w:fldChar w:fldCharType="begin"/>
      </w:r>
      <w:r>
        <w:instrText xml:space="preserve"> PAGEREF _Toc8947 \h </w:instrText>
      </w:r>
      <w:r>
        <w:fldChar w:fldCharType="separate"/>
      </w:r>
      <w:r>
        <w:t>4</w:t>
      </w:r>
      <w:r>
        <w:fldChar w:fldCharType="end"/>
      </w:r>
      <w:r>
        <w:rPr>
          <w:rFonts w:hint="eastAsia"/>
        </w:rPr>
        <w:fldChar w:fldCharType="end"/>
      </w:r>
    </w:p>
    <w:p w14:paraId="326B9CB1">
      <w:pPr>
        <w:pStyle w:val="16"/>
      </w:pPr>
      <w:r>
        <w:rPr>
          <w:rFonts w:hint="eastAsia"/>
        </w:rPr>
        <w:fldChar w:fldCharType="begin"/>
      </w:r>
      <w:r>
        <w:rPr>
          <w:rFonts w:hint="eastAsia"/>
        </w:rPr>
        <w:instrText xml:space="preserve"> HYPERLINK \l _Toc11302 </w:instrText>
      </w:r>
      <w:r>
        <w:rPr>
          <w:rFonts w:hint="eastAsia"/>
        </w:rPr>
        <w:fldChar w:fldCharType="separate"/>
      </w:r>
      <w:r>
        <w:t xml:space="preserve">表5 </w:t>
      </w:r>
      <w:r>
        <w:rPr>
          <w:rFonts w:hint="eastAsia"/>
        </w:rPr>
        <w:t xml:space="preserve"> 近三年中职学校各专业在校生规模一览表</w:t>
      </w:r>
      <w:r>
        <w:tab/>
      </w:r>
      <w:r>
        <w:fldChar w:fldCharType="begin"/>
      </w:r>
      <w:r>
        <w:instrText xml:space="preserve"> PAGEREF _Toc11302 \h </w:instrText>
      </w:r>
      <w:r>
        <w:fldChar w:fldCharType="separate"/>
      </w:r>
      <w:r>
        <w:t>5</w:t>
      </w:r>
      <w:r>
        <w:fldChar w:fldCharType="end"/>
      </w:r>
      <w:r>
        <w:rPr>
          <w:rFonts w:hint="eastAsia"/>
        </w:rPr>
        <w:fldChar w:fldCharType="end"/>
      </w:r>
    </w:p>
    <w:p w14:paraId="1D3CF9C9">
      <w:pPr>
        <w:pStyle w:val="16"/>
      </w:pPr>
      <w:r>
        <w:rPr>
          <w:rFonts w:hint="eastAsia"/>
        </w:rPr>
        <w:fldChar w:fldCharType="begin"/>
      </w:r>
      <w:r>
        <w:rPr>
          <w:rFonts w:hint="eastAsia"/>
        </w:rPr>
        <w:instrText xml:space="preserve"> HYPERLINK \l _Toc2188 </w:instrText>
      </w:r>
      <w:r>
        <w:rPr>
          <w:rFonts w:hint="eastAsia"/>
        </w:rPr>
        <w:fldChar w:fldCharType="separate"/>
      </w:r>
      <w:r>
        <w:t xml:space="preserve">表6 </w:t>
      </w:r>
      <w:r>
        <w:rPr>
          <w:rFonts w:hint="eastAsia"/>
        </w:rPr>
        <w:t xml:space="preserve"> 近三年中职学校招生及生源结构一览表</w:t>
      </w:r>
      <w:r>
        <w:tab/>
      </w:r>
      <w:r>
        <w:fldChar w:fldCharType="begin"/>
      </w:r>
      <w:r>
        <w:instrText xml:space="preserve"> PAGEREF _Toc2188 \h </w:instrText>
      </w:r>
      <w:r>
        <w:fldChar w:fldCharType="separate"/>
      </w:r>
      <w:r>
        <w:t>5</w:t>
      </w:r>
      <w:r>
        <w:fldChar w:fldCharType="end"/>
      </w:r>
      <w:r>
        <w:rPr>
          <w:rFonts w:hint="eastAsia"/>
        </w:rPr>
        <w:fldChar w:fldCharType="end"/>
      </w:r>
    </w:p>
    <w:p w14:paraId="1301C008">
      <w:pPr>
        <w:pStyle w:val="16"/>
      </w:pPr>
      <w:r>
        <w:rPr>
          <w:rFonts w:hint="eastAsia"/>
        </w:rPr>
        <w:fldChar w:fldCharType="begin"/>
      </w:r>
      <w:r>
        <w:rPr>
          <w:rFonts w:hint="eastAsia"/>
        </w:rPr>
        <w:instrText xml:space="preserve"> HYPERLINK \l _Toc24793 </w:instrText>
      </w:r>
      <w:r>
        <w:rPr>
          <w:rFonts w:hint="eastAsia"/>
        </w:rPr>
        <w:fldChar w:fldCharType="separate"/>
      </w:r>
      <w:r>
        <w:t xml:space="preserve">表7 </w:t>
      </w:r>
      <w:r>
        <w:rPr>
          <w:rFonts w:hint="eastAsia"/>
        </w:rPr>
        <w:t xml:space="preserve"> 近三年中职学校毕业生情况一览表</w:t>
      </w:r>
      <w:r>
        <w:tab/>
      </w:r>
      <w:r>
        <w:fldChar w:fldCharType="begin"/>
      </w:r>
      <w:r>
        <w:instrText xml:space="preserve"> PAGEREF _Toc24793 \h </w:instrText>
      </w:r>
      <w:r>
        <w:fldChar w:fldCharType="separate"/>
      </w:r>
      <w:r>
        <w:t>6</w:t>
      </w:r>
      <w:r>
        <w:fldChar w:fldCharType="end"/>
      </w:r>
      <w:r>
        <w:rPr>
          <w:rFonts w:hint="eastAsia"/>
        </w:rPr>
        <w:fldChar w:fldCharType="end"/>
      </w:r>
    </w:p>
    <w:p w14:paraId="5BF18242">
      <w:pPr>
        <w:pStyle w:val="16"/>
      </w:pPr>
      <w:r>
        <w:rPr>
          <w:rFonts w:hint="eastAsia"/>
        </w:rPr>
        <w:fldChar w:fldCharType="begin"/>
      </w:r>
      <w:r>
        <w:rPr>
          <w:rFonts w:hint="eastAsia"/>
        </w:rPr>
        <w:instrText xml:space="preserve"> HYPERLINK \l _Toc7729 </w:instrText>
      </w:r>
      <w:r>
        <w:rPr>
          <w:rFonts w:hint="eastAsia"/>
        </w:rPr>
        <w:fldChar w:fldCharType="separate"/>
      </w:r>
      <w:r>
        <w:t xml:space="preserve">表8  </w:t>
      </w:r>
      <w:r>
        <w:rPr>
          <w:rFonts w:hint="eastAsia"/>
        </w:rPr>
        <w:t>区</w:t>
      </w:r>
      <w:r>
        <w:rPr>
          <w:rFonts w:hint="eastAsia"/>
          <w:lang w:eastAsia="zh-CN"/>
        </w:rPr>
        <w:t>内</w:t>
      </w:r>
      <w:r>
        <w:rPr>
          <w:rFonts w:hint="eastAsia"/>
        </w:rPr>
        <w:t>各中职学校</w:t>
      </w:r>
      <w:r>
        <w:t>专业</w:t>
      </w:r>
      <w:r>
        <w:rPr>
          <w:rFonts w:hint="eastAsia"/>
        </w:rPr>
        <w:t>建设举措及</w:t>
      </w:r>
      <w:r>
        <w:t>对接产业一览表</w:t>
      </w:r>
      <w:r>
        <w:tab/>
      </w:r>
      <w:r>
        <w:fldChar w:fldCharType="begin"/>
      </w:r>
      <w:r>
        <w:instrText xml:space="preserve"> PAGEREF _Toc7729 \h </w:instrText>
      </w:r>
      <w:r>
        <w:fldChar w:fldCharType="separate"/>
      </w:r>
      <w:r>
        <w:t>13</w:t>
      </w:r>
      <w:r>
        <w:fldChar w:fldCharType="end"/>
      </w:r>
      <w:r>
        <w:rPr>
          <w:rFonts w:hint="eastAsia"/>
        </w:rPr>
        <w:fldChar w:fldCharType="end"/>
      </w:r>
    </w:p>
    <w:p w14:paraId="228BC270">
      <w:pPr>
        <w:pStyle w:val="16"/>
      </w:pPr>
      <w:r>
        <w:rPr>
          <w:rFonts w:hint="eastAsia"/>
        </w:rPr>
        <w:fldChar w:fldCharType="begin"/>
      </w:r>
      <w:r>
        <w:rPr>
          <w:rFonts w:hint="eastAsia"/>
        </w:rPr>
        <w:instrText xml:space="preserve"> HYPERLINK \l _Toc26266 </w:instrText>
      </w:r>
      <w:r>
        <w:rPr>
          <w:rFonts w:hint="eastAsia"/>
        </w:rPr>
        <w:fldChar w:fldCharType="separate"/>
      </w:r>
      <w:r>
        <w:t xml:space="preserve">表9  </w:t>
      </w:r>
      <w:r>
        <w:rPr>
          <w:rFonts w:hint="eastAsia"/>
        </w:rPr>
        <w:t>全区中职学校</w:t>
      </w:r>
      <w:r>
        <w:t>中高贯通培养一览表</w:t>
      </w:r>
      <w:r>
        <w:tab/>
      </w:r>
      <w:r>
        <w:fldChar w:fldCharType="begin"/>
      </w:r>
      <w:r>
        <w:instrText xml:space="preserve"> PAGEREF _Toc26266 \h </w:instrText>
      </w:r>
      <w:r>
        <w:fldChar w:fldCharType="separate"/>
      </w:r>
      <w:r>
        <w:t>15</w:t>
      </w:r>
      <w:r>
        <w:fldChar w:fldCharType="end"/>
      </w:r>
      <w:r>
        <w:rPr>
          <w:rFonts w:hint="eastAsia"/>
        </w:rPr>
        <w:fldChar w:fldCharType="end"/>
      </w:r>
    </w:p>
    <w:p w14:paraId="29D8E88B">
      <w:pPr>
        <w:pStyle w:val="16"/>
      </w:pPr>
      <w:r>
        <w:rPr>
          <w:rFonts w:hint="eastAsia"/>
        </w:rPr>
        <w:fldChar w:fldCharType="begin"/>
      </w:r>
      <w:r>
        <w:rPr>
          <w:rFonts w:hint="eastAsia"/>
        </w:rPr>
        <w:instrText xml:space="preserve"> HYPERLINK \l _Toc16787 </w:instrText>
      </w:r>
      <w:r>
        <w:rPr>
          <w:rFonts w:hint="eastAsia"/>
        </w:rPr>
        <w:fldChar w:fldCharType="separate"/>
      </w:r>
      <w:r>
        <w:t xml:space="preserve">表10 </w:t>
      </w:r>
      <w:r>
        <w:rPr>
          <w:rFonts w:hint="eastAsia"/>
        </w:rPr>
        <w:t xml:space="preserve"> </w:t>
      </w:r>
      <w:r>
        <w:rPr>
          <w:rFonts w:hint="eastAsia"/>
          <w:lang w:eastAsia="zh-CN"/>
        </w:rPr>
        <w:t>区内中职学校部分</w:t>
      </w:r>
      <w:r>
        <w:t>实训基地一览表</w:t>
      </w:r>
      <w:r>
        <w:tab/>
      </w:r>
      <w:r>
        <w:fldChar w:fldCharType="begin"/>
      </w:r>
      <w:r>
        <w:instrText xml:space="preserve"> PAGEREF _Toc16787 \h </w:instrText>
      </w:r>
      <w:r>
        <w:fldChar w:fldCharType="separate"/>
      </w:r>
      <w:r>
        <w:t>24</w:t>
      </w:r>
      <w:r>
        <w:fldChar w:fldCharType="end"/>
      </w:r>
      <w:r>
        <w:rPr>
          <w:rFonts w:hint="eastAsia"/>
        </w:rPr>
        <w:fldChar w:fldCharType="end"/>
      </w:r>
    </w:p>
    <w:p w14:paraId="6D2D46D9">
      <w:pPr>
        <w:pStyle w:val="16"/>
      </w:pPr>
      <w:r>
        <w:rPr>
          <w:rFonts w:hint="eastAsia"/>
        </w:rPr>
        <w:fldChar w:fldCharType="begin"/>
      </w:r>
      <w:r>
        <w:rPr>
          <w:rFonts w:hint="eastAsia"/>
        </w:rPr>
        <w:instrText xml:space="preserve"> HYPERLINK \l _Toc20118 </w:instrText>
      </w:r>
      <w:r>
        <w:rPr>
          <w:rFonts w:hint="eastAsia"/>
        </w:rPr>
        <w:fldChar w:fldCharType="separate"/>
      </w:r>
      <w:r>
        <w:t xml:space="preserve">表11 </w:t>
      </w:r>
      <w:r>
        <w:rPr>
          <w:rFonts w:hint="eastAsia"/>
        </w:rPr>
        <w:t xml:space="preserve"> </w:t>
      </w:r>
      <w:r>
        <w:rPr>
          <w:rFonts w:hint="eastAsia"/>
          <w:lang w:eastAsia="zh-CN"/>
        </w:rPr>
        <w:t>区内中职学校</w:t>
      </w:r>
      <w:r>
        <w:rPr>
          <w:rFonts w:hint="eastAsia"/>
        </w:rPr>
        <w:t>部分</w:t>
      </w:r>
      <w:r>
        <w:t>学生社团开设情况</w:t>
      </w:r>
      <w:r>
        <w:tab/>
      </w:r>
      <w:r>
        <w:fldChar w:fldCharType="begin"/>
      </w:r>
      <w:r>
        <w:instrText xml:space="preserve"> PAGEREF _Toc20118 \h </w:instrText>
      </w:r>
      <w:r>
        <w:fldChar w:fldCharType="separate"/>
      </w:r>
      <w:r>
        <w:t>30</w:t>
      </w:r>
      <w:r>
        <w:fldChar w:fldCharType="end"/>
      </w:r>
      <w:r>
        <w:rPr>
          <w:rFonts w:hint="eastAsia"/>
        </w:rPr>
        <w:fldChar w:fldCharType="end"/>
      </w:r>
    </w:p>
    <w:p w14:paraId="3319973C">
      <w:pPr>
        <w:pStyle w:val="16"/>
      </w:pPr>
      <w:r>
        <w:rPr>
          <w:rFonts w:hint="eastAsia"/>
        </w:rPr>
        <w:fldChar w:fldCharType="begin"/>
      </w:r>
      <w:r>
        <w:rPr>
          <w:rFonts w:hint="eastAsia"/>
        </w:rPr>
        <w:instrText xml:space="preserve"> HYPERLINK \l _Toc1148 </w:instrText>
      </w:r>
      <w:r>
        <w:rPr>
          <w:rFonts w:hint="eastAsia"/>
        </w:rPr>
        <w:fldChar w:fldCharType="separate"/>
      </w:r>
      <w:r>
        <w:t xml:space="preserve">表12 </w:t>
      </w:r>
      <w:r>
        <w:rPr>
          <w:rFonts w:hint="eastAsia"/>
        </w:rPr>
        <w:t xml:space="preserve"> 近三年中职学校毕业生就业质量情况一览表</w:t>
      </w:r>
      <w:r>
        <w:tab/>
      </w:r>
      <w:r>
        <w:fldChar w:fldCharType="begin"/>
      </w:r>
      <w:r>
        <w:instrText xml:space="preserve"> PAGEREF _Toc1148 \h </w:instrText>
      </w:r>
      <w:r>
        <w:fldChar w:fldCharType="separate"/>
      </w:r>
      <w:r>
        <w:t>33</w:t>
      </w:r>
      <w:r>
        <w:fldChar w:fldCharType="end"/>
      </w:r>
      <w:r>
        <w:rPr>
          <w:rFonts w:hint="eastAsia"/>
        </w:rPr>
        <w:fldChar w:fldCharType="end"/>
      </w:r>
    </w:p>
    <w:p w14:paraId="37D5ED09">
      <w:pPr>
        <w:pStyle w:val="16"/>
      </w:pPr>
      <w:r>
        <w:rPr>
          <w:rFonts w:hint="eastAsia"/>
        </w:rPr>
        <w:fldChar w:fldCharType="begin"/>
      </w:r>
      <w:r>
        <w:rPr>
          <w:rFonts w:hint="eastAsia"/>
        </w:rPr>
        <w:instrText xml:space="preserve"> HYPERLINK \l _Toc26899 </w:instrText>
      </w:r>
      <w:r>
        <w:rPr>
          <w:rFonts w:hint="eastAsia"/>
        </w:rPr>
        <w:fldChar w:fldCharType="separate"/>
      </w:r>
      <w:r>
        <w:t xml:space="preserve">表13 </w:t>
      </w:r>
      <w:r>
        <w:rPr>
          <w:rFonts w:hint="eastAsia"/>
        </w:rPr>
        <w:t xml:space="preserve"> 近三年中职学校毕业生升学情况一览表</w:t>
      </w:r>
      <w:r>
        <w:tab/>
      </w:r>
      <w:r>
        <w:fldChar w:fldCharType="begin"/>
      </w:r>
      <w:r>
        <w:instrText xml:space="preserve"> PAGEREF _Toc26899 \h </w:instrText>
      </w:r>
      <w:r>
        <w:fldChar w:fldCharType="separate"/>
      </w:r>
      <w:r>
        <w:t>33</w:t>
      </w:r>
      <w:r>
        <w:fldChar w:fldCharType="end"/>
      </w:r>
      <w:r>
        <w:rPr>
          <w:rFonts w:hint="eastAsia"/>
        </w:rPr>
        <w:fldChar w:fldCharType="end"/>
      </w:r>
    </w:p>
    <w:p w14:paraId="3A8E78B8">
      <w:pPr>
        <w:pStyle w:val="16"/>
      </w:pPr>
      <w:r>
        <w:rPr>
          <w:rFonts w:hint="eastAsia"/>
        </w:rPr>
        <w:fldChar w:fldCharType="begin"/>
      </w:r>
      <w:r>
        <w:rPr>
          <w:rFonts w:hint="eastAsia"/>
        </w:rPr>
        <w:instrText xml:space="preserve"> HYPERLINK \l _Toc27246 </w:instrText>
      </w:r>
      <w:r>
        <w:rPr>
          <w:rFonts w:hint="eastAsia"/>
        </w:rPr>
        <w:fldChar w:fldCharType="separate"/>
      </w:r>
      <w:r>
        <w:t xml:space="preserve">表14 </w:t>
      </w:r>
      <w:r>
        <w:rPr>
          <w:rFonts w:hint="eastAsia"/>
        </w:rPr>
        <w:t xml:space="preserve"> </w:t>
      </w:r>
      <w:r>
        <w:t xml:space="preserve">2024 </w:t>
      </w:r>
      <w:r>
        <w:rPr>
          <w:rFonts w:hint="eastAsia"/>
        </w:rPr>
        <w:t>-2025</w:t>
      </w:r>
      <w:r>
        <w:t>年</w:t>
      </w:r>
      <w:r>
        <w:rPr>
          <w:rFonts w:hint="eastAsia"/>
          <w:lang w:eastAsia="zh-CN"/>
        </w:rPr>
        <w:t>全区</w:t>
      </w:r>
      <w:r>
        <w:rPr>
          <w:rFonts w:hint="eastAsia"/>
        </w:rPr>
        <w:t>中职学校办学经费情况一览表</w:t>
      </w:r>
      <w:r>
        <w:tab/>
      </w:r>
      <w:r>
        <w:fldChar w:fldCharType="begin"/>
      </w:r>
      <w:r>
        <w:instrText xml:space="preserve"> PAGEREF _Toc27246 \h </w:instrText>
      </w:r>
      <w:r>
        <w:fldChar w:fldCharType="separate"/>
      </w:r>
      <w:r>
        <w:t>56</w:t>
      </w:r>
      <w:r>
        <w:fldChar w:fldCharType="end"/>
      </w:r>
      <w:r>
        <w:rPr>
          <w:rFonts w:hint="eastAsia"/>
        </w:rPr>
        <w:fldChar w:fldCharType="end"/>
      </w:r>
    </w:p>
    <w:p w14:paraId="0CC2E48C">
      <w:pPr>
        <w:ind w:firstLine="480" w:firstLineChars="200"/>
      </w:pPr>
      <w:r>
        <w:rPr>
          <w:rFonts w:hint="eastAsia"/>
        </w:rPr>
        <w:fldChar w:fldCharType="end"/>
      </w:r>
    </w:p>
    <w:p w14:paraId="2BC67AEB">
      <w:pPr>
        <w:ind w:firstLine="480" w:firstLineChars="200"/>
        <w:sectPr>
          <w:pgSz w:w="11905" w:h="16838"/>
          <w:pgMar w:top="1701" w:right="1701" w:bottom="1701" w:left="1701" w:header="1134" w:footer="1134" w:gutter="0"/>
          <w:cols w:space="0" w:num="1"/>
          <w:docGrid w:type="lines" w:linePitch="327" w:charSpace="0"/>
        </w:sectPr>
      </w:pPr>
    </w:p>
    <w:p w14:paraId="78665BB7">
      <w:pPr>
        <w:spacing w:before="327" w:beforeLines="100" w:after="327" w:afterLines="100"/>
        <w:jc w:val="center"/>
      </w:pPr>
      <w:r>
        <w:rPr>
          <w:rFonts w:ascii="黑体" w:hAnsi="黑体" w:eastAsia="黑体" w:cs="黑体"/>
          <w:b/>
          <w:bCs/>
          <w:sz w:val="36"/>
          <w:szCs w:val="36"/>
          <w:lang w:eastAsia="zh-CN"/>
        </w:rPr>
        <w:t>案例目录</w:t>
      </w:r>
    </w:p>
    <w:p w14:paraId="2B659048">
      <w:pPr>
        <w:pStyle w:val="16"/>
        <w:rPr>
          <w:rFonts w:hint="default" w:ascii="Times New Roman" w:hAnsi="Times New Roman" w:eastAsia="宋体" w:cs="Times New Roman"/>
          <w:color w:val="auto"/>
        </w:rPr>
      </w:pPr>
      <w:r>
        <w:rPr>
          <w:rFonts w:hint="eastAsia"/>
          <w:color w:val="auto"/>
        </w:rPr>
        <w:fldChar w:fldCharType="begin"/>
      </w:r>
      <w:r>
        <w:rPr>
          <w:rFonts w:hint="eastAsia"/>
          <w:color w:val="auto"/>
        </w:rPr>
        <w:instrText xml:space="preserve">TOC \h \c "案例"</w:instrText>
      </w:r>
      <w:r>
        <w:rPr>
          <w:rFonts w:hint="eastAsia"/>
          <w:color w:val="auto"/>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_Toc21472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重庆市九龙坡职业教育中心双融育人 思政铸魂</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_Toc21472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7</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52EFA4AE">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_Toc19521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重庆市工艺美术学校中职动漫专业职业道德教育创新实践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_Toc19521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697C7D08">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_Toc19845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w:t>
      </w:r>
      <w:r>
        <w:rPr>
          <w:rFonts w:hint="eastAsia" w:cs="Times New Roman"/>
          <w:bCs/>
          <w:color w:val="auto"/>
          <w:szCs w:val="21"/>
          <w:lang w:eastAsia="zh-CN"/>
        </w:rPr>
        <w:t>探索</w:t>
      </w:r>
      <w:r>
        <w:rPr>
          <w:rFonts w:hint="default" w:ascii="Times New Roman" w:hAnsi="Times New Roman" w:eastAsia="宋体" w:cs="Times New Roman"/>
          <w:bCs/>
          <w:color w:val="auto"/>
          <w:szCs w:val="21"/>
        </w:rPr>
        <w:t>汽车专业实战课堂</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_Toc19845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5818D73B">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_Toc29208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4</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重庆市九龙坡职业教育中心AI赋能直播营销课程</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_Toc29208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49359C4F">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_Toc26236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5</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重庆市工艺美术学校课程资源建设实践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_Toc26236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37FDF0AD">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_Toc4000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6</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重庆市九龙坡职业教育中心构建</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德心共育</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大师资队伍</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_Toc4000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047C93FD">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_Toc4305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7</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重庆市九龙坡职业教育中心构建</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AI赋能·虚实共生</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实训体系</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_Toc4305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720431AE">
      <w:pPr>
        <w:pStyle w:val="16"/>
        <w:bidi w:val="0"/>
        <w:rPr>
          <w:rFonts w:hint="default" w:ascii="Times New Roman" w:hAnsi="Times New Roman" w:eastAsia="宋体" w:cs="Times New Roman"/>
          <w:bCs/>
          <w:color w:val="auto"/>
          <w:szCs w:val="21"/>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_Toc5721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8</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重庆市九龙坡职业教育中心持续推进1+X传感网应用开发证书试点</w:t>
      </w:r>
    </w:p>
    <w:p w14:paraId="74571712">
      <w:pPr>
        <w:pStyle w:val="16"/>
        <w:jc w:val="distribute"/>
        <w:rPr>
          <w:rFonts w:hint="default" w:ascii="Times New Roman" w:hAnsi="Times New Roman" w:eastAsia="宋体" w:cs="Times New Roman"/>
          <w:color w:val="auto"/>
        </w:rPr>
      </w:pP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_Toc5721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27</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71BDBD6F">
      <w:pPr>
        <w:pStyle w:val="16"/>
        <w:jc w:val="distribute"/>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_Toc12817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9</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重庆市工艺美术学校系统推进综合高中改革试点</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_Toc12817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35906B5A">
      <w:pPr>
        <w:pStyle w:val="16"/>
        <w:jc w:val="distribute"/>
        <w:rPr>
          <w:rFonts w:hint="default" w:ascii="Times New Roman" w:hAnsi="Times New Roman" w:eastAsia="宋体" w:cs="Times New Roman"/>
          <w:bCs/>
          <w:color w:val="auto"/>
          <w:szCs w:val="21"/>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_Toc16742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10</w:t>
      </w:r>
      <w:r>
        <w:rPr>
          <w:rFonts w:hint="eastAsia" w:ascii="Times New Roman" w:hAnsi="Times New Roman" w:eastAsia="宋体" w:cs="Times New Roman"/>
          <w:color w:val="auto"/>
          <w:lang w:eastAsia="zh-CN"/>
        </w:rPr>
        <w:t>】</w:t>
      </w:r>
      <w:r>
        <w:rPr>
          <w:rFonts w:hint="eastAsia" w:cs="Times New Roman"/>
          <w:color w:val="auto"/>
          <w:lang w:val="en-US" w:eastAsia="zh-CN"/>
        </w:rPr>
        <w:t xml:space="preserve"> </w:t>
      </w:r>
      <w:r>
        <w:rPr>
          <w:rFonts w:hint="default" w:ascii="Times New Roman" w:hAnsi="Times New Roman" w:eastAsia="宋体" w:cs="Times New Roman"/>
          <w:bCs/>
          <w:color w:val="auto"/>
          <w:szCs w:val="21"/>
        </w:rPr>
        <w:t>重庆市九龙坡职业教育中心</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五进五化</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志愿服务 擦亮青春底色</w:t>
      </w:r>
    </w:p>
    <w:p w14:paraId="59B995D0">
      <w:pPr>
        <w:pStyle w:val="16"/>
        <w:jc w:val="distribute"/>
        <w:rPr>
          <w:rFonts w:hint="default" w:ascii="Times New Roman" w:hAnsi="Times New Roman" w:eastAsia="宋体" w:cs="Times New Roman"/>
          <w:color w:val="auto"/>
        </w:rPr>
      </w:pP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_Toc16742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60AD96C8">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_Toc20644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11</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重庆市九龙坡职业教育中心构建</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技创融合</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育人模式</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_Toc20644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10E81DE3">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_Toc19847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12</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重庆市工艺美术学校系统推进文创产品研发</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_Toc19847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621E18C2">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_Toc11101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13</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重庆市九龙坡职业教育中心深耕</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大国小工匠</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活动</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_Toc11101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36</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7A7088A2">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_Toc27975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14</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重庆建筑高级技工学校定制培训助力大湾区技能人才培育</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_Toc27975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2322851E">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_Toc28496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15</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重庆建筑高级技工学校以匠育匠 筑就匠心</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_Toc28496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40</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5C145C0C">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_Toc19831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16</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重庆市九龙坡职业教育中心三维体系开展红色教育</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_Toc19831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1999F6CE">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_Toc32740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17</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重庆市工艺美术学校系统构建传统文化育人体系</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_Toc32740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6640C2C5">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_Toc15834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18</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重庆市工艺美术学校</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五美四融</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推进校园文化建设</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_Toc15834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4EA377D3">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_Toc1321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19</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重庆市九龙坡职业教育中心打造国际交流合作新范式</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_Toc1321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7844BE23">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_Toc21026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20</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重庆市工艺美术学校构建动漫专业产教融合机制</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_Toc21026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47</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6DAF0E15">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_Toc13419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21</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w:t>
      </w:r>
      <w:r>
        <w:rPr>
          <w:rFonts w:hint="eastAsia" w:cs="Times New Roman"/>
          <w:bCs/>
          <w:color w:val="auto"/>
          <w:szCs w:val="21"/>
          <w:lang w:eastAsia="zh-CN"/>
        </w:rPr>
        <w:t>重庆市</w:t>
      </w:r>
      <w:r>
        <w:rPr>
          <w:rFonts w:hint="default" w:ascii="Times New Roman" w:hAnsi="Times New Roman" w:eastAsia="宋体" w:cs="Times New Roman"/>
          <w:bCs/>
          <w:color w:val="auto"/>
          <w:szCs w:val="21"/>
        </w:rPr>
        <w:t>工艺美术学校探索</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非遗+</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现代学徒制育人模式</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_Toc13419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4BDDAF35">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_Toc3867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22</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重庆建筑高级技工学校</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双师共培</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 xml:space="preserve">育匠才 </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_Toc3867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50</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08C26F69">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_Toc1799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23</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重庆市九龙坡职业教育中心做实党建</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五大工程</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_Toc1799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3A115FD5">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_Toc30759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24</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重庆市工艺美术学校构建党建引领</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五维融合</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工作机制</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_Toc30759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50FFAF30">
      <w:pPr>
        <w:pStyle w:val="1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_Toc21373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25</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重庆市九龙坡职业教育中心</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一核三治</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促学校高质量发展</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_Toc21373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08CEA907">
      <w:pPr>
        <w:pStyle w:val="16"/>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_Toc4330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Cs w:val="21"/>
        </w:rPr>
        <w:t>【案例</w:t>
      </w:r>
      <w:r>
        <w:rPr>
          <w:rFonts w:hint="default" w:ascii="Times New Roman" w:hAnsi="Times New Roman" w:eastAsia="宋体" w:cs="Times New Roman"/>
          <w:color w:val="auto"/>
        </w:rPr>
        <w:t>26</w:t>
      </w:r>
      <w:r>
        <w:rPr>
          <w:rFonts w:hint="eastAsia" w:ascii="Times New Roman" w:hAnsi="Times New Roman" w:eastAsia="宋体" w:cs="Times New Roman"/>
          <w:color w:val="auto"/>
          <w:lang w:eastAsia="zh-CN"/>
        </w:rPr>
        <w:t>】</w:t>
      </w:r>
      <w:r>
        <w:rPr>
          <w:rFonts w:hint="default" w:ascii="Times New Roman" w:hAnsi="Times New Roman" w:eastAsia="宋体" w:cs="Times New Roman"/>
          <w:bCs/>
          <w:color w:val="auto"/>
          <w:szCs w:val="21"/>
        </w:rPr>
        <w:t xml:space="preserve">  重庆市工艺美术学校</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四轮驱动</w:t>
      </w:r>
      <w:r>
        <w:rPr>
          <w:rFonts w:hint="eastAsia"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rPr>
        <w:t>构建现代治理体系</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_Toc4330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14:paraId="0346A7FB">
      <w:pPr>
        <w:ind w:firstLine="480" w:firstLineChars="200"/>
        <w:sectPr>
          <w:pgSz w:w="11905" w:h="16838"/>
          <w:pgMar w:top="1701" w:right="1701" w:bottom="1701" w:left="1701" w:header="1134" w:footer="1134" w:gutter="0"/>
          <w:cols w:space="0" w:num="1"/>
          <w:docGrid w:type="lines" w:linePitch="327" w:charSpace="0"/>
        </w:sectPr>
      </w:pPr>
      <w:r>
        <w:rPr>
          <w:rFonts w:hint="eastAsia"/>
          <w:color w:val="auto"/>
        </w:rPr>
        <w:fldChar w:fldCharType="end"/>
      </w:r>
    </w:p>
    <w:p w14:paraId="48A70999">
      <w:pPr>
        <w:spacing w:before="327" w:beforeLines="100" w:after="327" w:afterLines="100"/>
        <w:jc w:val="center"/>
        <w:rPr>
          <w:rFonts w:hint="eastAsia" w:ascii="黑体" w:hAnsi="黑体" w:eastAsia="黑体" w:cs="黑体"/>
          <w:b/>
          <w:bCs/>
          <w:sz w:val="36"/>
          <w:szCs w:val="36"/>
          <w:lang w:eastAsia="zh-CN"/>
        </w:rPr>
      </w:pPr>
      <w:r>
        <w:rPr>
          <w:rFonts w:ascii="黑体" w:hAnsi="黑体" w:eastAsia="黑体" w:cs="黑体"/>
          <w:b/>
          <w:bCs/>
          <w:sz w:val="36"/>
          <w:szCs w:val="36"/>
          <w:lang w:eastAsia="zh-CN"/>
        </w:rPr>
        <w:t>图目录</w:t>
      </w:r>
    </w:p>
    <w:p w14:paraId="40B879BD">
      <w:pPr>
        <w:pStyle w:val="16"/>
      </w:pPr>
      <w:r>
        <w:rPr>
          <w:rFonts w:hint="eastAsia"/>
        </w:rPr>
        <w:fldChar w:fldCharType="begin"/>
      </w:r>
      <w:r>
        <w:rPr>
          <w:rFonts w:hint="eastAsia"/>
        </w:rPr>
        <w:instrText xml:space="preserve">TOC \h \c "图"</w:instrText>
      </w:r>
      <w:r>
        <w:rPr>
          <w:rFonts w:hint="eastAsia"/>
        </w:rPr>
        <w:fldChar w:fldCharType="separate"/>
      </w:r>
      <w:r>
        <w:rPr>
          <w:rFonts w:hint="eastAsia"/>
        </w:rPr>
        <w:fldChar w:fldCharType="begin"/>
      </w:r>
      <w:r>
        <w:rPr>
          <w:rFonts w:hint="eastAsia"/>
        </w:rPr>
        <w:instrText xml:space="preserve"> HYPERLINK \l _Toc1748 </w:instrText>
      </w:r>
      <w:r>
        <w:rPr>
          <w:rFonts w:hint="eastAsia"/>
        </w:rPr>
        <w:fldChar w:fldCharType="separate"/>
      </w:r>
      <w:r>
        <w:t xml:space="preserve">图1 </w:t>
      </w:r>
      <w:r>
        <w:rPr>
          <w:rFonts w:hint="eastAsia"/>
          <w:szCs w:val="21"/>
        </w:rPr>
        <w:t xml:space="preserve"> 重庆市九龙坡职业教育中心</w:t>
      </w:r>
      <w:r>
        <w:rPr>
          <w:rFonts w:hint="eastAsia"/>
          <w:szCs w:val="21"/>
          <w:lang w:eastAsia="zh-CN"/>
        </w:rPr>
        <w:t>“</w:t>
      </w:r>
      <w:r>
        <w:rPr>
          <w:rFonts w:hint="eastAsia"/>
          <w:szCs w:val="21"/>
        </w:rPr>
        <w:t>11544</w:t>
      </w:r>
      <w:r>
        <w:rPr>
          <w:rFonts w:hint="eastAsia"/>
          <w:szCs w:val="21"/>
          <w:lang w:eastAsia="zh-CN"/>
        </w:rPr>
        <w:t>”</w:t>
      </w:r>
      <w:r>
        <w:rPr>
          <w:rFonts w:hint="eastAsia"/>
          <w:szCs w:val="21"/>
        </w:rPr>
        <w:t>大思政</w:t>
      </w:r>
      <w:r>
        <w:rPr>
          <w:rFonts w:hint="eastAsia"/>
          <w:szCs w:val="21"/>
          <w:lang w:eastAsia="zh-CN"/>
        </w:rPr>
        <w:t>教育资源图示</w:t>
      </w:r>
      <w:r>
        <w:tab/>
      </w:r>
      <w:r>
        <w:fldChar w:fldCharType="begin"/>
      </w:r>
      <w:r>
        <w:instrText xml:space="preserve"> PAGEREF _Toc1748 \h </w:instrText>
      </w:r>
      <w:r>
        <w:fldChar w:fldCharType="separate"/>
      </w:r>
      <w:r>
        <w:t>8</w:t>
      </w:r>
      <w:r>
        <w:fldChar w:fldCharType="end"/>
      </w:r>
      <w:r>
        <w:rPr>
          <w:rFonts w:hint="eastAsia"/>
        </w:rPr>
        <w:fldChar w:fldCharType="end"/>
      </w:r>
    </w:p>
    <w:p w14:paraId="68BC67CC">
      <w:pPr>
        <w:pStyle w:val="16"/>
      </w:pPr>
      <w:r>
        <w:rPr>
          <w:rFonts w:hint="eastAsia"/>
        </w:rPr>
        <w:fldChar w:fldCharType="begin"/>
      </w:r>
      <w:r>
        <w:rPr>
          <w:rFonts w:hint="eastAsia"/>
        </w:rPr>
        <w:instrText xml:space="preserve"> HYPERLINK \l _Toc22997 </w:instrText>
      </w:r>
      <w:r>
        <w:rPr>
          <w:rFonts w:hint="eastAsia"/>
        </w:rPr>
        <w:fldChar w:fldCharType="separate"/>
      </w:r>
      <w:r>
        <w:t xml:space="preserve">图2 </w:t>
      </w:r>
      <w:r>
        <w:rPr>
          <w:rFonts w:hint="eastAsia"/>
          <w:lang w:val="en-US" w:eastAsia="zh-CN"/>
        </w:rPr>
        <w:t xml:space="preserve"> </w:t>
      </w:r>
      <w:r>
        <w:rPr>
          <w:rFonts w:hint="eastAsia"/>
        </w:rPr>
        <w:t>重庆市聚英技工学校专业课教师参加2025年重庆市技工院校专业课教师课程-思政能力提升培训班</w:t>
      </w:r>
      <w:r>
        <w:tab/>
      </w:r>
      <w:r>
        <w:fldChar w:fldCharType="begin"/>
      </w:r>
      <w:r>
        <w:instrText xml:space="preserve"> PAGEREF _Toc22997 \h </w:instrText>
      </w:r>
      <w:r>
        <w:fldChar w:fldCharType="separate"/>
      </w:r>
      <w:r>
        <w:t>9</w:t>
      </w:r>
      <w:r>
        <w:fldChar w:fldCharType="end"/>
      </w:r>
      <w:r>
        <w:rPr>
          <w:rFonts w:hint="eastAsia"/>
        </w:rPr>
        <w:fldChar w:fldCharType="end"/>
      </w:r>
    </w:p>
    <w:p w14:paraId="10465EF2">
      <w:pPr>
        <w:pStyle w:val="16"/>
      </w:pPr>
      <w:r>
        <w:rPr>
          <w:rFonts w:hint="eastAsia"/>
        </w:rPr>
        <w:fldChar w:fldCharType="begin"/>
      </w:r>
      <w:r>
        <w:rPr>
          <w:rFonts w:hint="eastAsia"/>
        </w:rPr>
        <w:instrText xml:space="preserve"> HYPERLINK \l _Toc15902 </w:instrText>
      </w:r>
      <w:r>
        <w:rPr>
          <w:rFonts w:hint="eastAsia"/>
        </w:rPr>
        <w:fldChar w:fldCharType="separate"/>
      </w:r>
      <w:r>
        <w:t xml:space="preserve">图3 </w:t>
      </w:r>
      <w:r>
        <w:rPr>
          <w:rFonts w:hint="eastAsia"/>
          <w:lang w:val="en-US" w:eastAsia="zh-CN"/>
        </w:rPr>
        <w:t xml:space="preserve"> </w:t>
      </w:r>
      <w:r>
        <w:rPr>
          <w:rFonts w:hint="eastAsia"/>
        </w:rPr>
        <w:t>重庆市九龙坡职业教育中心</w:t>
      </w:r>
      <w:r>
        <w:t>获批九龙坡区</w:t>
      </w:r>
      <w:r>
        <w:rPr>
          <w:rFonts w:hint="eastAsia"/>
          <w:lang w:eastAsia="zh-CN"/>
        </w:rPr>
        <w:t>“</w:t>
      </w:r>
      <w:r>
        <w:t>大思政课</w:t>
      </w:r>
      <w:r>
        <w:rPr>
          <w:rFonts w:hint="eastAsia"/>
          <w:lang w:eastAsia="zh-CN"/>
        </w:rPr>
        <w:t>”</w:t>
      </w:r>
      <w:r>
        <w:t>实践教学基地</w:t>
      </w:r>
      <w:r>
        <w:tab/>
      </w:r>
      <w:r>
        <w:fldChar w:fldCharType="begin"/>
      </w:r>
      <w:r>
        <w:instrText xml:space="preserve"> PAGEREF _Toc15902 \h </w:instrText>
      </w:r>
      <w:r>
        <w:fldChar w:fldCharType="separate"/>
      </w:r>
      <w:r>
        <w:t>11</w:t>
      </w:r>
      <w:r>
        <w:fldChar w:fldCharType="end"/>
      </w:r>
      <w:r>
        <w:rPr>
          <w:rFonts w:hint="eastAsia"/>
        </w:rPr>
        <w:fldChar w:fldCharType="end"/>
      </w:r>
    </w:p>
    <w:p w14:paraId="371FFD57">
      <w:pPr>
        <w:pStyle w:val="16"/>
      </w:pPr>
      <w:r>
        <w:rPr>
          <w:rFonts w:hint="eastAsia"/>
        </w:rPr>
        <w:fldChar w:fldCharType="begin"/>
      </w:r>
      <w:r>
        <w:rPr>
          <w:rFonts w:hint="eastAsia"/>
        </w:rPr>
        <w:instrText xml:space="preserve"> HYPERLINK \l _Toc2194 </w:instrText>
      </w:r>
      <w:r>
        <w:rPr>
          <w:rFonts w:hint="eastAsia"/>
        </w:rPr>
        <w:fldChar w:fldCharType="separate"/>
      </w:r>
      <w:r>
        <w:t xml:space="preserve">图4 </w:t>
      </w:r>
      <w:r>
        <w:rPr>
          <w:rFonts w:hint="eastAsia"/>
          <w:lang w:val="en-US" w:eastAsia="zh-CN"/>
        </w:rPr>
        <w:t xml:space="preserve"> </w:t>
      </w:r>
      <w:r>
        <w:t>重庆市工艺美术</w:t>
      </w:r>
      <w:r>
        <w:rPr>
          <w:rFonts w:hint="eastAsia"/>
          <w:lang w:eastAsia="zh-CN"/>
        </w:rPr>
        <w:t>学校</w:t>
      </w:r>
      <w:r>
        <w:t>学生参观轨道18号线消防安全主题车站</w:t>
      </w:r>
      <w:r>
        <w:tab/>
      </w:r>
      <w:r>
        <w:fldChar w:fldCharType="begin"/>
      </w:r>
      <w:r>
        <w:instrText xml:space="preserve"> PAGEREF _Toc2194 \h </w:instrText>
      </w:r>
      <w:r>
        <w:fldChar w:fldCharType="separate"/>
      </w:r>
      <w:r>
        <w:t>12</w:t>
      </w:r>
      <w:r>
        <w:fldChar w:fldCharType="end"/>
      </w:r>
      <w:r>
        <w:rPr>
          <w:rFonts w:hint="eastAsia"/>
        </w:rPr>
        <w:fldChar w:fldCharType="end"/>
      </w:r>
    </w:p>
    <w:p w14:paraId="23CDA334">
      <w:pPr>
        <w:pStyle w:val="16"/>
      </w:pPr>
      <w:r>
        <w:rPr>
          <w:rFonts w:hint="eastAsia"/>
        </w:rPr>
        <w:fldChar w:fldCharType="begin"/>
      </w:r>
      <w:r>
        <w:rPr>
          <w:rFonts w:hint="eastAsia"/>
        </w:rPr>
        <w:instrText xml:space="preserve"> HYPERLINK \l _Toc3657 </w:instrText>
      </w:r>
      <w:r>
        <w:rPr>
          <w:rFonts w:hint="eastAsia"/>
        </w:rPr>
        <w:fldChar w:fldCharType="separate"/>
      </w:r>
      <w:r>
        <w:rPr>
          <w:szCs w:val="21"/>
        </w:rPr>
        <w:t>图</w:t>
      </w:r>
      <w:r>
        <w:t xml:space="preserve">5 </w:t>
      </w:r>
      <w:r>
        <w:rPr>
          <w:rFonts w:hint="eastAsia"/>
          <w:szCs w:val="21"/>
          <w:lang w:val="en-US" w:eastAsia="zh-CN"/>
        </w:rPr>
        <w:t xml:space="preserve"> </w:t>
      </w:r>
      <w:r>
        <w:rPr>
          <w:rFonts w:hint="eastAsia"/>
          <w:szCs w:val="21"/>
        </w:rPr>
        <w:t>重庆市九龙坡职业教育中心</w:t>
      </w:r>
      <w:r>
        <w:rPr>
          <w:szCs w:val="21"/>
        </w:rPr>
        <w:t>实战课堂教学策略</w:t>
      </w:r>
      <w:r>
        <w:rPr>
          <w:rFonts w:hint="eastAsia"/>
          <w:szCs w:val="21"/>
          <w:lang w:eastAsia="zh-CN"/>
        </w:rPr>
        <w:t>图示</w:t>
      </w:r>
      <w:r>
        <w:tab/>
      </w:r>
      <w:r>
        <w:fldChar w:fldCharType="begin"/>
      </w:r>
      <w:r>
        <w:instrText xml:space="preserve"> PAGEREF _Toc3657 \h </w:instrText>
      </w:r>
      <w:r>
        <w:fldChar w:fldCharType="separate"/>
      </w:r>
      <w:r>
        <w:t>15</w:t>
      </w:r>
      <w:r>
        <w:fldChar w:fldCharType="end"/>
      </w:r>
      <w:r>
        <w:rPr>
          <w:rFonts w:hint="eastAsia"/>
        </w:rPr>
        <w:fldChar w:fldCharType="end"/>
      </w:r>
    </w:p>
    <w:p w14:paraId="5CF42051">
      <w:pPr>
        <w:pStyle w:val="16"/>
      </w:pPr>
      <w:r>
        <w:rPr>
          <w:rFonts w:hint="eastAsia"/>
        </w:rPr>
        <w:fldChar w:fldCharType="begin"/>
      </w:r>
      <w:r>
        <w:rPr>
          <w:rFonts w:hint="eastAsia"/>
        </w:rPr>
        <w:instrText xml:space="preserve"> HYPERLINK \l _Toc3774 </w:instrText>
      </w:r>
      <w:r>
        <w:rPr>
          <w:rFonts w:hint="eastAsia"/>
        </w:rPr>
        <w:fldChar w:fldCharType="separate"/>
      </w:r>
      <w:r>
        <w:rPr>
          <w:szCs w:val="21"/>
        </w:rPr>
        <w:t>图</w:t>
      </w:r>
      <w:r>
        <w:t xml:space="preserve">6 </w:t>
      </w:r>
      <w:r>
        <w:rPr>
          <w:rFonts w:hint="eastAsia"/>
          <w:szCs w:val="21"/>
          <w:lang w:val="en-US" w:eastAsia="zh-CN"/>
        </w:rPr>
        <w:t xml:space="preserve"> </w:t>
      </w:r>
      <w:r>
        <w:rPr>
          <w:rFonts w:hint="eastAsia"/>
          <w:szCs w:val="21"/>
        </w:rPr>
        <w:t>重庆市九龙坡职业教育中心</w:t>
      </w:r>
      <w:r>
        <w:rPr>
          <w:szCs w:val="21"/>
        </w:rPr>
        <w:t>AI赋能直播营销课程结构图</w:t>
      </w:r>
      <w:r>
        <w:tab/>
      </w:r>
      <w:r>
        <w:fldChar w:fldCharType="begin"/>
      </w:r>
      <w:r>
        <w:instrText xml:space="preserve"> PAGEREF _Toc3774 \h </w:instrText>
      </w:r>
      <w:r>
        <w:fldChar w:fldCharType="separate"/>
      </w:r>
      <w:r>
        <w:t>18</w:t>
      </w:r>
      <w:r>
        <w:fldChar w:fldCharType="end"/>
      </w:r>
      <w:r>
        <w:rPr>
          <w:rFonts w:hint="eastAsia"/>
        </w:rPr>
        <w:fldChar w:fldCharType="end"/>
      </w:r>
    </w:p>
    <w:p w14:paraId="46DCF250">
      <w:pPr>
        <w:pStyle w:val="16"/>
      </w:pPr>
      <w:r>
        <w:rPr>
          <w:rFonts w:hint="eastAsia"/>
        </w:rPr>
        <w:fldChar w:fldCharType="begin"/>
      </w:r>
      <w:r>
        <w:rPr>
          <w:rFonts w:hint="eastAsia"/>
        </w:rPr>
        <w:instrText xml:space="preserve"> HYPERLINK \l _Toc13469 </w:instrText>
      </w:r>
      <w:r>
        <w:rPr>
          <w:rFonts w:hint="eastAsia"/>
        </w:rPr>
        <w:fldChar w:fldCharType="separate"/>
      </w:r>
      <w:r>
        <w:t xml:space="preserve">图7 </w:t>
      </w:r>
      <w:r>
        <w:rPr>
          <w:rFonts w:hint="eastAsia"/>
          <w:lang w:val="en-US" w:eastAsia="zh-CN"/>
        </w:rPr>
        <w:t xml:space="preserve"> </w:t>
      </w:r>
      <w:r>
        <w:rPr>
          <w:rFonts w:hint="eastAsia"/>
        </w:rPr>
        <w:t>重庆市九龙坡职业教育中心</w:t>
      </w:r>
      <w:r>
        <w:rPr>
          <w:rFonts w:hint="eastAsia"/>
          <w:lang w:eastAsia="zh-CN"/>
        </w:rPr>
        <w:t>“</w:t>
      </w:r>
      <w:r>
        <w:t>1531</w:t>
      </w:r>
      <w:r>
        <w:rPr>
          <w:rFonts w:hint="eastAsia"/>
          <w:lang w:eastAsia="zh-CN"/>
        </w:rPr>
        <w:t>”</w:t>
      </w:r>
      <w:r>
        <w:t>课程体系图</w:t>
      </w:r>
      <w:r>
        <w:tab/>
      </w:r>
      <w:r>
        <w:fldChar w:fldCharType="begin"/>
      </w:r>
      <w:r>
        <w:instrText xml:space="preserve"> PAGEREF _Toc13469 \h </w:instrText>
      </w:r>
      <w:r>
        <w:fldChar w:fldCharType="separate"/>
      </w:r>
      <w:r>
        <w:t>19</w:t>
      </w:r>
      <w:r>
        <w:fldChar w:fldCharType="end"/>
      </w:r>
      <w:r>
        <w:rPr>
          <w:rFonts w:hint="eastAsia"/>
        </w:rPr>
        <w:fldChar w:fldCharType="end"/>
      </w:r>
    </w:p>
    <w:p w14:paraId="709C8061">
      <w:pPr>
        <w:pStyle w:val="16"/>
      </w:pPr>
      <w:r>
        <w:rPr>
          <w:rFonts w:hint="eastAsia"/>
        </w:rPr>
        <w:fldChar w:fldCharType="begin"/>
      </w:r>
      <w:r>
        <w:rPr>
          <w:rFonts w:hint="eastAsia"/>
        </w:rPr>
        <w:instrText xml:space="preserve"> HYPERLINK \l _Toc2548 </w:instrText>
      </w:r>
      <w:r>
        <w:rPr>
          <w:rFonts w:hint="eastAsia"/>
        </w:rPr>
        <w:fldChar w:fldCharType="separate"/>
      </w:r>
      <w:r>
        <w:t xml:space="preserve">图8 </w:t>
      </w:r>
      <w:r>
        <w:rPr>
          <w:rFonts w:hint="eastAsia"/>
          <w:lang w:val="en-US" w:eastAsia="zh-CN"/>
        </w:rPr>
        <w:t xml:space="preserve"> </w:t>
      </w:r>
      <w:r>
        <w:t>重庆市九龙坡职业教育中心</w:t>
      </w:r>
      <w:r>
        <w:rPr>
          <w:rFonts w:hint="eastAsia"/>
          <w:lang w:eastAsia="zh-CN"/>
        </w:rPr>
        <w:t>“</w:t>
      </w:r>
      <w:r>
        <w:t>十四五</w:t>
      </w:r>
      <w:r>
        <w:rPr>
          <w:rFonts w:hint="eastAsia"/>
          <w:lang w:eastAsia="zh-CN"/>
        </w:rPr>
        <w:t>”</w:t>
      </w:r>
      <w:r>
        <w:t>国家规划教材</w:t>
      </w:r>
      <w:r>
        <w:tab/>
      </w:r>
      <w:r>
        <w:fldChar w:fldCharType="begin"/>
      </w:r>
      <w:r>
        <w:instrText xml:space="preserve"> PAGEREF _Toc2548 \h </w:instrText>
      </w:r>
      <w:r>
        <w:fldChar w:fldCharType="separate"/>
      </w:r>
      <w:r>
        <w:t>21</w:t>
      </w:r>
      <w:r>
        <w:fldChar w:fldCharType="end"/>
      </w:r>
      <w:r>
        <w:rPr>
          <w:rFonts w:hint="eastAsia"/>
        </w:rPr>
        <w:fldChar w:fldCharType="end"/>
      </w:r>
    </w:p>
    <w:p w14:paraId="72AC247B">
      <w:pPr>
        <w:pStyle w:val="16"/>
      </w:pPr>
      <w:r>
        <w:rPr>
          <w:rFonts w:hint="eastAsia"/>
        </w:rPr>
        <w:fldChar w:fldCharType="begin"/>
      </w:r>
      <w:r>
        <w:rPr>
          <w:rFonts w:hint="eastAsia"/>
        </w:rPr>
        <w:instrText xml:space="preserve"> HYPERLINK \l _Toc25284 </w:instrText>
      </w:r>
      <w:r>
        <w:rPr>
          <w:rFonts w:hint="eastAsia"/>
        </w:rPr>
        <w:fldChar w:fldCharType="separate"/>
      </w:r>
      <w:r>
        <w:rPr>
          <w:szCs w:val="21"/>
        </w:rPr>
        <w:t>图</w:t>
      </w:r>
      <w:r>
        <w:t xml:space="preserve">9 </w:t>
      </w:r>
      <w:r>
        <w:rPr>
          <w:rFonts w:hint="eastAsia"/>
          <w:szCs w:val="21"/>
          <w:lang w:val="en-US" w:eastAsia="zh-CN"/>
        </w:rPr>
        <w:t xml:space="preserve"> </w:t>
      </w:r>
      <w:r>
        <w:rPr>
          <w:rFonts w:hint="eastAsia"/>
          <w:szCs w:val="21"/>
        </w:rPr>
        <w:t>重庆市九龙坡职业教育中心</w:t>
      </w:r>
      <w:r>
        <w:rPr>
          <w:szCs w:val="21"/>
        </w:rPr>
        <w:t>班主任</w:t>
      </w:r>
      <w:r>
        <w:rPr>
          <w:rFonts w:hint="eastAsia"/>
          <w:szCs w:val="21"/>
          <w:lang w:eastAsia="zh-CN"/>
        </w:rPr>
        <w:t>研修</w:t>
      </w:r>
      <w:r>
        <w:rPr>
          <w:szCs w:val="21"/>
        </w:rPr>
        <w:t>培训照</w:t>
      </w:r>
      <w:r>
        <w:tab/>
      </w:r>
      <w:r>
        <w:fldChar w:fldCharType="begin"/>
      </w:r>
      <w:r>
        <w:instrText xml:space="preserve"> PAGEREF _Toc25284 \h </w:instrText>
      </w:r>
      <w:r>
        <w:fldChar w:fldCharType="separate"/>
      </w:r>
      <w:r>
        <w:t>23</w:t>
      </w:r>
      <w:r>
        <w:fldChar w:fldCharType="end"/>
      </w:r>
      <w:r>
        <w:rPr>
          <w:rFonts w:hint="eastAsia"/>
        </w:rPr>
        <w:fldChar w:fldCharType="end"/>
      </w:r>
    </w:p>
    <w:p w14:paraId="3860B749">
      <w:pPr>
        <w:pStyle w:val="16"/>
      </w:pPr>
      <w:r>
        <w:rPr>
          <w:rFonts w:hint="eastAsia"/>
        </w:rPr>
        <w:fldChar w:fldCharType="begin"/>
      </w:r>
      <w:r>
        <w:rPr>
          <w:rFonts w:hint="eastAsia"/>
        </w:rPr>
        <w:instrText xml:space="preserve"> HYPERLINK \l _Toc6473 </w:instrText>
      </w:r>
      <w:r>
        <w:rPr>
          <w:rFonts w:hint="eastAsia"/>
        </w:rPr>
        <w:fldChar w:fldCharType="separate"/>
      </w:r>
      <w:r>
        <w:rPr>
          <w:szCs w:val="21"/>
        </w:rPr>
        <w:t>图</w:t>
      </w:r>
      <w:r>
        <w:t xml:space="preserve">10 </w:t>
      </w:r>
      <w:r>
        <w:rPr>
          <w:rFonts w:hint="eastAsia"/>
          <w:szCs w:val="21"/>
          <w:lang w:val="en-US" w:eastAsia="zh-CN"/>
        </w:rPr>
        <w:t xml:space="preserve"> </w:t>
      </w:r>
      <w:r>
        <w:rPr>
          <w:rFonts w:hint="eastAsia"/>
          <w:szCs w:val="21"/>
        </w:rPr>
        <w:t>重庆市九龙坡职业教育中心</w:t>
      </w:r>
      <w:r>
        <w:rPr>
          <w:szCs w:val="21"/>
        </w:rPr>
        <w:t>1+X传感网应用开发证书考核现场</w:t>
      </w:r>
      <w:r>
        <w:tab/>
      </w:r>
      <w:r>
        <w:fldChar w:fldCharType="begin"/>
      </w:r>
      <w:r>
        <w:instrText xml:space="preserve"> PAGEREF _Toc6473 \h </w:instrText>
      </w:r>
      <w:r>
        <w:fldChar w:fldCharType="separate"/>
      </w:r>
      <w:r>
        <w:t>27</w:t>
      </w:r>
      <w:r>
        <w:fldChar w:fldCharType="end"/>
      </w:r>
      <w:r>
        <w:rPr>
          <w:rFonts w:hint="eastAsia"/>
        </w:rPr>
        <w:fldChar w:fldCharType="end"/>
      </w:r>
    </w:p>
    <w:p w14:paraId="06948595">
      <w:pPr>
        <w:pStyle w:val="16"/>
      </w:pPr>
      <w:r>
        <w:rPr>
          <w:rFonts w:hint="eastAsia"/>
        </w:rPr>
        <w:fldChar w:fldCharType="begin"/>
      </w:r>
      <w:r>
        <w:rPr>
          <w:rFonts w:hint="eastAsia"/>
        </w:rPr>
        <w:instrText xml:space="preserve"> HYPERLINK \l _Toc4476 </w:instrText>
      </w:r>
      <w:r>
        <w:rPr>
          <w:rFonts w:hint="eastAsia"/>
        </w:rPr>
        <w:fldChar w:fldCharType="separate"/>
      </w:r>
      <w:r>
        <w:t xml:space="preserve">图11 </w:t>
      </w:r>
      <w:r>
        <w:rPr>
          <w:rFonts w:hint="eastAsia"/>
          <w:lang w:val="en-US" w:eastAsia="zh-CN"/>
        </w:rPr>
        <w:t xml:space="preserve"> </w:t>
      </w:r>
      <w:r>
        <w:rPr>
          <w:rFonts w:hint="eastAsia"/>
        </w:rPr>
        <w:t>重庆市工艺美术学校承办重庆市职业院校技能大赛舞台布景赛项</w:t>
      </w:r>
      <w:r>
        <w:tab/>
      </w:r>
      <w:r>
        <w:fldChar w:fldCharType="begin"/>
      </w:r>
      <w:r>
        <w:instrText xml:space="preserve"> PAGEREF _Toc4476 \h </w:instrText>
      </w:r>
      <w:r>
        <w:fldChar w:fldCharType="separate"/>
      </w:r>
      <w:r>
        <w:t>28</w:t>
      </w:r>
      <w:r>
        <w:fldChar w:fldCharType="end"/>
      </w:r>
      <w:r>
        <w:rPr>
          <w:rFonts w:hint="eastAsia"/>
        </w:rPr>
        <w:fldChar w:fldCharType="end"/>
      </w:r>
    </w:p>
    <w:p w14:paraId="489CCDBB">
      <w:pPr>
        <w:pStyle w:val="16"/>
      </w:pPr>
      <w:r>
        <w:rPr>
          <w:rFonts w:hint="eastAsia"/>
        </w:rPr>
        <w:fldChar w:fldCharType="begin"/>
      </w:r>
      <w:r>
        <w:rPr>
          <w:rFonts w:hint="eastAsia"/>
        </w:rPr>
        <w:instrText xml:space="preserve"> HYPERLINK \l _Toc26004 </w:instrText>
      </w:r>
      <w:r>
        <w:rPr>
          <w:rFonts w:hint="eastAsia"/>
        </w:rPr>
        <w:fldChar w:fldCharType="separate"/>
      </w:r>
      <w:r>
        <w:rPr>
          <w:szCs w:val="21"/>
        </w:rPr>
        <w:t>图</w:t>
      </w:r>
      <w:r>
        <w:t xml:space="preserve">12 </w:t>
      </w:r>
      <w:r>
        <w:rPr>
          <w:rFonts w:hint="eastAsia"/>
          <w:szCs w:val="21"/>
          <w:lang w:val="en-US" w:eastAsia="zh-CN"/>
        </w:rPr>
        <w:t xml:space="preserve"> </w:t>
      </w:r>
      <w:r>
        <w:rPr>
          <w:rFonts w:hint="eastAsia"/>
          <w:szCs w:val="21"/>
        </w:rPr>
        <w:t>重庆市九龙坡职业教育中心</w:t>
      </w:r>
      <w:r>
        <w:rPr>
          <w:szCs w:val="21"/>
        </w:rPr>
        <w:t>志愿服务活动</w:t>
      </w:r>
      <w:r>
        <w:tab/>
      </w:r>
      <w:r>
        <w:fldChar w:fldCharType="begin"/>
      </w:r>
      <w:r>
        <w:instrText xml:space="preserve"> PAGEREF _Toc26004 \h </w:instrText>
      </w:r>
      <w:r>
        <w:fldChar w:fldCharType="separate"/>
      </w:r>
      <w:r>
        <w:t>30</w:t>
      </w:r>
      <w:r>
        <w:fldChar w:fldCharType="end"/>
      </w:r>
      <w:r>
        <w:rPr>
          <w:rFonts w:hint="eastAsia"/>
        </w:rPr>
        <w:fldChar w:fldCharType="end"/>
      </w:r>
    </w:p>
    <w:p w14:paraId="02E96D6E">
      <w:pPr>
        <w:pStyle w:val="16"/>
      </w:pPr>
      <w:r>
        <w:rPr>
          <w:rFonts w:hint="eastAsia"/>
        </w:rPr>
        <w:fldChar w:fldCharType="begin"/>
      </w:r>
      <w:r>
        <w:rPr>
          <w:rFonts w:hint="eastAsia"/>
        </w:rPr>
        <w:instrText xml:space="preserve"> HYPERLINK \l _Toc27535 </w:instrText>
      </w:r>
      <w:r>
        <w:rPr>
          <w:rFonts w:hint="eastAsia"/>
        </w:rPr>
        <w:fldChar w:fldCharType="separate"/>
      </w:r>
      <w:r>
        <w:t xml:space="preserve">图13 </w:t>
      </w:r>
      <w:r>
        <w:rPr>
          <w:rFonts w:hint="eastAsia"/>
          <w:lang w:val="en-US" w:eastAsia="zh-CN"/>
        </w:rPr>
        <w:t xml:space="preserve"> </w:t>
      </w:r>
      <w:r>
        <w:rPr>
          <w:rFonts w:hint="eastAsia"/>
        </w:rPr>
        <w:t>重庆市九龙坡职业教育中心开展中小学职业启蒙教育</w:t>
      </w:r>
      <w:r>
        <w:tab/>
      </w:r>
      <w:r>
        <w:fldChar w:fldCharType="begin"/>
      </w:r>
      <w:r>
        <w:instrText xml:space="preserve"> PAGEREF _Toc27535 \h </w:instrText>
      </w:r>
      <w:r>
        <w:fldChar w:fldCharType="separate"/>
      </w:r>
      <w:r>
        <w:t>32</w:t>
      </w:r>
      <w:r>
        <w:fldChar w:fldCharType="end"/>
      </w:r>
      <w:r>
        <w:rPr>
          <w:rFonts w:hint="eastAsia"/>
        </w:rPr>
        <w:fldChar w:fldCharType="end"/>
      </w:r>
    </w:p>
    <w:p w14:paraId="69D281DB">
      <w:pPr>
        <w:pStyle w:val="16"/>
      </w:pPr>
      <w:r>
        <w:rPr>
          <w:rFonts w:hint="eastAsia"/>
        </w:rPr>
        <w:fldChar w:fldCharType="begin"/>
      </w:r>
      <w:r>
        <w:rPr>
          <w:rFonts w:hint="eastAsia"/>
        </w:rPr>
        <w:instrText xml:space="preserve"> HYPERLINK \l _Toc1037 </w:instrText>
      </w:r>
      <w:r>
        <w:rPr>
          <w:rFonts w:hint="eastAsia"/>
        </w:rPr>
        <w:fldChar w:fldCharType="separate"/>
      </w:r>
      <w:r>
        <w:rPr>
          <w:szCs w:val="21"/>
        </w:rPr>
        <w:t>图</w:t>
      </w:r>
      <w:r>
        <w:t xml:space="preserve">14 </w:t>
      </w:r>
      <w:r>
        <w:rPr>
          <w:rFonts w:hint="eastAsia"/>
          <w:szCs w:val="21"/>
          <w:lang w:val="en-US" w:eastAsia="zh-CN"/>
        </w:rPr>
        <w:t xml:space="preserve"> </w:t>
      </w:r>
      <w:r>
        <w:rPr>
          <w:rFonts w:hint="eastAsia"/>
          <w:szCs w:val="21"/>
        </w:rPr>
        <w:t>重庆市九龙坡职业教育中心</w:t>
      </w:r>
      <w:r>
        <w:rPr>
          <w:rFonts w:hint="eastAsia"/>
          <w:szCs w:val="21"/>
          <w:lang w:eastAsia="zh-CN"/>
        </w:rPr>
        <w:t>学生</w:t>
      </w:r>
      <w:r>
        <w:rPr>
          <w:rFonts w:hint="eastAsia"/>
          <w:szCs w:val="21"/>
        </w:rPr>
        <w:t>参加重庆市创新创业大赛获一等奖</w:t>
      </w:r>
      <w:r>
        <w:tab/>
      </w:r>
      <w:r>
        <w:fldChar w:fldCharType="begin"/>
      </w:r>
      <w:r>
        <w:instrText xml:space="preserve"> PAGEREF _Toc1037 \h </w:instrText>
      </w:r>
      <w:r>
        <w:fldChar w:fldCharType="separate"/>
      </w:r>
      <w:r>
        <w:t>34</w:t>
      </w:r>
      <w:r>
        <w:fldChar w:fldCharType="end"/>
      </w:r>
      <w:r>
        <w:rPr>
          <w:rFonts w:hint="eastAsia"/>
        </w:rPr>
        <w:fldChar w:fldCharType="end"/>
      </w:r>
    </w:p>
    <w:p w14:paraId="0B794A6E">
      <w:pPr>
        <w:pStyle w:val="16"/>
      </w:pPr>
      <w:r>
        <w:rPr>
          <w:rFonts w:hint="eastAsia"/>
        </w:rPr>
        <w:fldChar w:fldCharType="begin"/>
      </w:r>
      <w:r>
        <w:rPr>
          <w:rFonts w:hint="eastAsia"/>
        </w:rPr>
        <w:instrText xml:space="preserve"> HYPERLINK \l _Toc25861 </w:instrText>
      </w:r>
      <w:r>
        <w:rPr>
          <w:rFonts w:hint="eastAsia"/>
        </w:rPr>
        <w:fldChar w:fldCharType="separate"/>
      </w:r>
      <w:r>
        <w:rPr>
          <w:szCs w:val="21"/>
        </w:rPr>
        <w:t>图</w:t>
      </w:r>
      <w:r>
        <w:t xml:space="preserve">15 </w:t>
      </w:r>
      <w:r>
        <w:rPr>
          <w:rFonts w:hint="eastAsia"/>
          <w:szCs w:val="21"/>
          <w:lang w:val="en-US" w:eastAsia="zh-CN"/>
        </w:rPr>
        <w:t xml:space="preserve"> 重庆市工艺美术学校</w:t>
      </w:r>
      <w:r>
        <w:rPr>
          <w:rFonts w:hint="eastAsia"/>
          <w:szCs w:val="21"/>
        </w:rPr>
        <w:t>张俊德老师作品《法家韩非》被中国国家博物馆永久收藏</w:t>
      </w:r>
      <w:r>
        <w:tab/>
      </w:r>
      <w:r>
        <w:fldChar w:fldCharType="begin"/>
      </w:r>
      <w:r>
        <w:instrText xml:space="preserve"> PAGEREF _Toc25861 \h </w:instrText>
      </w:r>
      <w:r>
        <w:fldChar w:fldCharType="separate"/>
      </w:r>
      <w:r>
        <w:t>36</w:t>
      </w:r>
      <w:r>
        <w:fldChar w:fldCharType="end"/>
      </w:r>
      <w:r>
        <w:rPr>
          <w:rFonts w:hint="eastAsia"/>
        </w:rPr>
        <w:fldChar w:fldCharType="end"/>
      </w:r>
    </w:p>
    <w:p w14:paraId="1D2F9D24">
      <w:pPr>
        <w:pStyle w:val="16"/>
      </w:pPr>
      <w:r>
        <w:rPr>
          <w:rFonts w:hint="eastAsia"/>
        </w:rPr>
        <w:fldChar w:fldCharType="begin"/>
      </w:r>
      <w:r>
        <w:rPr>
          <w:rFonts w:hint="eastAsia"/>
        </w:rPr>
        <w:instrText xml:space="preserve"> HYPERLINK \l _Toc26394 </w:instrText>
      </w:r>
      <w:r>
        <w:rPr>
          <w:rFonts w:hint="eastAsia"/>
        </w:rPr>
        <w:fldChar w:fldCharType="separate"/>
      </w:r>
      <w:r>
        <w:rPr>
          <w:szCs w:val="21"/>
        </w:rPr>
        <w:t>图</w:t>
      </w:r>
      <w:r>
        <w:t xml:space="preserve">16 </w:t>
      </w:r>
      <w:r>
        <w:rPr>
          <w:rFonts w:hint="eastAsia"/>
          <w:szCs w:val="21"/>
          <w:lang w:val="en-US" w:eastAsia="zh-CN"/>
        </w:rPr>
        <w:t xml:space="preserve"> </w:t>
      </w:r>
      <w:r>
        <w:rPr>
          <w:rFonts w:hint="eastAsia"/>
          <w:szCs w:val="21"/>
        </w:rPr>
        <w:t>重庆舞蹈学校</w:t>
      </w:r>
      <w:r>
        <w:rPr>
          <w:rFonts w:hint="eastAsia"/>
          <w:szCs w:val="21"/>
          <w:lang w:eastAsia="zh-CN"/>
        </w:rPr>
        <w:t>学生</w:t>
      </w:r>
      <w:r>
        <w:rPr>
          <w:rFonts w:hint="eastAsia"/>
          <w:szCs w:val="21"/>
        </w:rPr>
        <w:t>参加重庆市第十届中小学艺术展演开幕式</w:t>
      </w:r>
      <w:r>
        <w:tab/>
      </w:r>
      <w:r>
        <w:fldChar w:fldCharType="begin"/>
      </w:r>
      <w:r>
        <w:instrText xml:space="preserve"> PAGEREF _Toc26394 \h </w:instrText>
      </w:r>
      <w:r>
        <w:fldChar w:fldCharType="separate"/>
      </w:r>
      <w:r>
        <w:t>37</w:t>
      </w:r>
      <w:r>
        <w:fldChar w:fldCharType="end"/>
      </w:r>
      <w:r>
        <w:rPr>
          <w:rFonts w:hint="eastAsia"/>
        </w:rPr>
        <w:fldChar w:fldCharType="end"/>
      </w:r>
    </w:p>
    <w:p w14:paraId="577DE504">
      <w:pPr>
        <w:pStyle w:val="16"/>
      </w:pPr>
      <w:r>
        <w:rPr>
          <w:rFonts w:hint="eastAsia"/>
        </w:rPr>
        <w:fldChar w:fldCharType="begin"/>
      </w:r>
      <w:r>
        <w:rPr>
          <w:rFonts w:hint="eastAsia"/>
        </w:rPr>
        <w:instrText xml:space="preserve"> HYPERLINK \l _Toc21144 </w:instrText>
      </w:r>
      <w:r>
        <w:rPr>
          <w:rFonts w:hint="eastAsia"/>
        </w:rPr>
        <w:fldChar w:fldCharType="separate"/>
      </w:r>
      <w:r>
        <w:t xml:space="preserve">图17 </w:t>
      </w:r>
      <w:r>
        <w:rPr>
          <w:rFonts w:hint="eastAsia"/>
          <w:lang w:val="en-US" w:eastAsia="zh-CN"/>
        </w:rPr>
        <w:t xml:space="preserve"> </w:t>
      </w:r>
      <w:r>
        <w:rPr>
          <w:rFonts w:hint="eastAsia"/>
        </w:rPr>
        <w:t>重庆市九龙坡职业教育中心</w:t>
      </w:r>
      <w:r>
        <w:t>大国工匠进校园</w:t>
      </w:r>
      <w:r>
        <w:rPr>
          <w:rFonts w:hint="eastAsia"/>
          <w:lang w:eastAsia="zh-CN"/>
        </w:rPr>
        <w:t>活动</w:t>
      </w:r>
      <w:r>
        <w:tab/>
      </w:r>
      <w:r>
        <w:fldChar w:fldCharType="begin"/>
      </w:r>
      <w:r>
        <w:instrText xml:space="preserve"> PAGEREF _Toc21144 \h </w:instrText>
      </w:r>
      <w:r>
        <w:fldChar w:fldCharType="separate"/>
      </w:r>
      <w:r>
        <w:t>39</w:t>
      </w:r>
      <w:r>
        <w:fldChar w:fldCharType="end"/>
      </w:r>
      <w:r>
        <w:rPr>
          <w:rFonts w:hint="eastAsia"/>
        </w:rPr>
        <w:fldChar w:fldCharType="end"/>
      </w:r>
    </w:p>
    <w:p w14:paraId="2A2C93B8">
      <w:pPr>
        <w:pStyle w:val="16"/>
      </w:pPr>
      <w:r>
        <w:rPr>
          <w:rFonts w:hint="eastAsia"/>
        </w:rPr>
        <w:fldChar w:fldCharType="begin"/>
      </w:r>
      <w:r>
        <w:rPr>
          <w:rFonts w:hint="eastAsia"/>
        </w:rPr>
        <w:instrText xml:space="preserve"> HYPERLINK \l _Toc20837 </w:instrText>
      </w:r>
      <w:r>
        <w:rPr>
          <w:rFonts w:hint="eastAsia"/>
        </w:rPr>
        <w:fldChar w:fldCharType="separate"/>
      </w:r>
      <w:r>
        <w:t xml:space="preserve">图18 </w:t>
      </w:r>
      <w:r>
        <w:rPr>
          <w:rFonts w:hint="eastAsia"/>
          <w:lang w:val="en-US" w:eastAsia="zh-CN"/>
        </w:rPr>
        <w:t xml:space="preserve"> </w:t>
      </w:r>
      <w:r>
        <w:t>央视新闻报道</w:t>
      </w:r>
      <w:r>
        <w:rPr>
          <w:rFonts w:hint="eastAsia"/>
        </w:rPr>
        <w:t>重庆市九龙坡职业教育中心</w:t>
      </w:r>
      <w:r>
        <w:t>开学第一课</w:t>
      </w:r>
      <w:r>
        <w:tab/>
      </w:r>
      <w:r>
        <w:fldChar w:fldCharType="begin"/>
      </w:r>
      <w:r>
        <w:instrText xml:space="preserve"> PAGEREF _Toc20837 \h </w:instrText>
      </w:r>
      <w:r>
        <w:fldChar w:fldCharType="separate"/>
      </w:r>
      <w:r>
        <w:t>41</w:t>
      </w:r>
      <w:r>
        <w:fldChar w:fldCharType="end"/>
      </w:r>
      <w:r>
        <w:rPr>
          <w:rFonts w:hint="eastAsia"/>
        </w:rPr>
        <w:fldChar w:fldCharType="end"/>
      </w:r>
    </w:p>
    <w:p w14:paraId="5B95F300">
      <w:pPr>
        <w:pStyle w:val="16"/>
      </w:pPr>
      <w:r>
        <w:rPr>
          <w:rFonts w:hint="eastAsia"/>
        </w:rPr>
        <w:fldChar w:fldCharType="begin"/>
      </w:r>
      <w:r>
        <w:rPr>
          <w:rFonts w:hint="eastAsia"/>
        </w:rPr>
        <w:instrText xml:space="preserve"> HYPERLINK \l _Toc5480 </w:instrText>
      </w:r>
      <w:r>
        <w:rPr>
          <w:rFonts w:hint="eastAsia"/>
        </w:rPr>
        <w:fldChar w:fldCharType="separate"/>
      </w:r>
      <w:r>
        <w:rPr>
          <w:szCs w:val="21"/>
        </w:rPr>
        <w:t>图</w:t>
      </w:r>
      <w:r>
        <w:t xml:space="preserve">19 </w:t>
      </w:r>
      <w:r>
        <w:rPr>
          <w:rFonts w:hint="eastAsia"/>
          <w:szCs w:val="21"/>
          <w:lang w:val="en-US" w:eastAsia="zh-CN"/>
        </w:rPr>
        <w:t xml:space="preserve"> </w:t>
      </w:r>
      <w:r>
        <w:rPr>
          <w:rFonts w:hint="eastAsia"/>
          <w:szCs w:val="21"/>
        </w:rPr>
        <w:t>四川省第三批职业院校紧缺领域教师技艺技能传承创新平台专家团与重庆市工艺美术学校教师交流非遗传承</w:t>
      </w:r>
      <w:r>
        <w:tab/>
      </w:r>
      <w:r>
        <w:fldChar w:fldCharType="begin"/>
      </w:r>
      <w:r>
        <w:instrText xml:space="preserve"> PAGEREF _Toc5480 \h </w:instrText>
      </w:r>
      <w:r>
        <w:fldChar w:fldCharType="separate"/>
      </w:r>
      <w:r>
        <w:t>42</w:t>
      </w:r>
      <w:r>
        <w:fldChar w:fldCharType="end"/>
      </w:r>
      <w:r>
        <w:rPr>
          <w:rFonts w:hint="eastAsia"/>
        </w:rPr>
        <w:fldChar w:fldCharType="end"/>
      </w:r>
    </w:p>
    <w:p w14:paraId="795F717C">
      <w:pPr>
        <w:pStyle w:val="16"/>
      </w:pPr>
      <w:r>
        <w:rPr>
          <w:rFonts w:hint="eastAsia"/>
        </w:rPr>
        <w:fldChar w:fldCharType="begin"/>
      </w:r>
      <w:r>
        <w:rPr>
          <w:rFonts w:hint="eastAsia"/>
        </w:rPr>
        <w:instrText xml:space="preserve"> HYPERLINK \l _Toc32562 </w:instrText>
      </w:r>
      <w:r>
        <w:rPr>
          <w:rFonts w:hint="eastAsia"/>
        </w:rPr>
        <w:fldChar w:fldCharType="separate"/>
      </w:r>
      <w:r>
        <w:t xml:space="preserve">图20 </w:t>
      </w:r>
      <w:r>
        <w:rPr>
          <w:rFonts w:hint="eastAsia"/>
          <w:lang w:val="en-US" w:eastAsia="zh-CN"/>
        </w:rPr>
        <w:t xml:space="preserve"> </w:t>
      </w:r>
      <w:r>
        <w:t>老挝国家国际课程</w:t>
      </w:r>
      <w:r>
        <w:rPr>
          <w:rFonts w:hint="eastAsia"/>
          <w:lang w:eastAsia="zh-CN"/>
        </w:rPr>
        <w:t>标准</w:t>
      </w:r>
      <w:r>
        <w:t>认证</w:t>
      </w:r>
      <w:r>
        <w:tab/>
      </w:r>
      <w:r>
        <w:fldChar w:fldCharType="begin"/>
      </w:r>
      <w:r>
        <w:instrText xml:space="preserve"> PAGEREF _Toc32562 \h </w:instrText>
      </w:r>
      <w:r>
        <w:fldChar w:fldCharType="separate"/>
      </w:r>
      <w:r>
        <w:t>44</w:t>
      </w:r>
      <w:r>
        <w:fldChar w:fldCharType="end"/>
      </w:r>
      <w:r>
        <w:rPr>
          <w:rFonts w:hint="eastAsia"/>
        </w:rPr>
        <w:fldChar w:fldCharType="end"/>
      </w:r>
    </w:p>
    <w:p w14:paraId="1749E45C">
      <w:pPr>
        <w:pStyle w:val="16"/>
      </w:pPr>
      <w:r>
        <w:rPr>
          <w:rFonts w:hint="eastAsia"/>
        </w:rPr>
        <w:fldChar w:fldCharType="begin"/>
      </w:r>
      <w:r>
        <w:rPr>
          <w:rFonts w:hint="eastAsia"/>
        </w:rPr>
        <w:instrText xml:space="preserve"> HYPERLINK \l _Toc12016 </w:instrText>
      </w:r>
      <w:r>
        <w:rPr>
          <w:rFonts w:hint="eastAsia"/>
        </w:rPr>
        <w:fldChar w:fldCharType="separate"/>
      </w:r>
      <w:r>
        <w:t xml:space="preserve">图21 </w:t>
      </w:r>
      <w:r>
        <w:rPr>
          <w:rFonts w:hint="eastAsia"/>
          <w:lang w:val="en-US" w:eastAsia="zh-CN"/>
        </w:rPr>
        <w:t xml:space="preserve"> </w:t>
      </w:r>
      <w:r>
        <w:t>哈萨克斯坦职业学院师生代表到</w:t>
      </w:r>
      <w:r>
        <w:rPr>
          <w:rFonts w:hint="eastAsia"/>
        </w:rPr>
        <w:t>重庆市九龙坡职业教育中心</w:t>
      </w:r>
      <w:r>
        <w:t>交流学习</w:t>
      </w:r>
      <w:r>
        <w:tab/>
      </w:r>
      <w:r>
        <w:fldChar w:fldCharType="begin"/>
      </w:r>
      <w:r>
        <w:instrText xml:space="preserve"> PAGEREF _Toc12016 \h </w:instrText>
      </w:r>
      <w:r>
        <w:fldChar w:fldCharType="separate"/>
      </w:r>
      <w:r>
        <w:t>45</w:t>
      </w:r>
      <w:r>
        <w:fldChar w:fldCharType="end"/>
      </w:r>
      <w:r>
        <w:rPr>
          <w:rFonts w:hint="eastAsia"/>
        </w:rPr>
        <w:fldChar w:fldCharType="end"/>
      </w:r>
    </w:p>
    <w:p w14:paraId="7262540E">
      <w:pPr>
        <w:pStyle w:val="16"/>
      </w:pPr>
      <w:r>
        <w:rPr>
          <w:rFonts w:hint="eastAsia"/>
        </w:rPr>
        <w:fldChar w:fldCharType="begin"/>
      </w:r>
      <w:r>
        <w:rPr>
          <w:rFonts w:hint="eastAsia"/>
        </w:rPr>
        <w:instrText xml:space="preserve"> HYPERLINK \l _Toc31216 </w:instrText>
      </w:r>
      <w:r>
        <w:rPr>
          <w:rFonts w:hint="eastAsia"/>
        </w:rPr>
        <w:fldChar w:fldCharType="separate"/>
      </w:r>
      <w:r>
        <w:t xml:space="preserve">图22 </w:t>
      </w:r>
      <w:r>
        <w:rPr>
          <w:rFonts w:hint="eastAsia"/>
          <w:lang w:val="en-US" w:eastAsia="zh-CN"/>
        </w:rPr>
        <w:t xml:space="preserve"> </w:t>
      </w:r>
      <w:r>
        <w:rPr>
          <w:rFonts w:hint="eastAsia"/>
        </w:rPr>
        <w:t>重庆市聚英技工学校合作共建小米AIOT工程师产业学院</w:t>
      </w:r>
      <w:r>
        <w:tab/>
      </w:r>
      <w:r>
        <w:fldChar w:fldCharType="begin"/>
      </w:r>
      <w:r>
        <w:instrText xml:space="preserve"> PAGEREF _Toc31216 \h </w:instrText>
      </w:r>
      <w:r>
        <w:fldChar w:fldCharType="separate"/>
      </w:r>
      <w:r>
        <w:t>48</w:t>
      </w:r>
      <w:r>
        <w:fldChar w:fldCharType="end"/>
      </w:r>
      <w:r>
        <w:rPr>
          <w:rFonts w:hint="eastAsia"/>
        </w:rPr>
        <w:fldChar w:fldCharType="end"/>
      </w:r>
    </w:p>
    <w:p w14:paraId="36FB1F53">
      <w:pPr>
        <w:pStyle w:val="16"/>
      </w:pPr>
      <w:r>
        <w:rPr>
          <w:rFonts w:hint="eastAsia"/>
        </w:rPr>
        <w:fldChar w:fldCharType="begin"/>
      </w:r>
      <w:r>
        <w:rPr>
          <w:rFonts w:hint="eastAsia"/>
        </w:rPr>
        <w:instrText xml:space="preserve"> HYPERLINK \l _Toc20793 </w:instrText>
      </w:r>
      <w:r>
        <w:rPr>
          <w:rFonts w:hint="eastAsia"/>
        </w:rPr>
        <w:fldChar w:fldCharType="separate"/>
      </w:r>
      <w:r>
        <w:rPr>
          <w:szCs w:val="21"/>
        </w:rPr>
        <w:t>图</w:t>
      </w:r>
      <w:r>
        <w:t xml:space="preserve">23 </w:t>
      </w:r>
      <w:r>
        <w:rPr>
          <w:rFonts w:hint="eastAsia"/>
          <w:szCs w:val="21"/>
          <w:lang w:val="en-US" w:eastAsia="zh-CN"/>
        </w:rPr>
        <w:t xml:space="preserve"> </w:t>
      </w:r>
      <w:r>
        <w:rPr>
          <w:szCs w:val="21"/>
        </w:rPr>
        <w:t>重庆市九龙坡职业教育中心党建双创五大工程</w:t>
      </w:r>
      <w:r>
        <w:rPr>
          <w:rFonts w:hint="eastAsia"/>
          <w:szCs w:val="21"/>
          <w:lang w:eastAsia="zh-CN"/>
        </w:rPr>
        <w:t>图示</w:t>
      </w:r>
      <w:r>
        <w:tab/>
      </w:r>
      <w:r>
        <w:fldChar w:fldCharType="begin"/>
      </w:r>
      <w:r>
        <w:instrText xml:space="preserve"> PAGEREF _Toc20793 \h </w:instrText>
      </w:r>
      <w:r>
        <w:fldChar w:fldCharType="separate"/>
      </w:r>
      <w:r>
        <w:t>52</w:t>
      </w:r>
      <w:r>
        <w:fldChar w:fldCharType="end"/>
      </w:r>
      <w:r>
        <w:rPr>
          <w:rFonts w:hint="eastAsia"/>
        </w:rPr>
        <w:fldChar w:fldCharType="end"/>
      </w:r>
    </w:p>
    <w:p w14:paraId="2E40BA3E">
      <w:pPr>
        <w:pStyle w:val="16"/>
      </w:pPr>
      <w:r>
        <w:rPr>
          <w:rFonts w:hint="eastAsia"/>
        </w:rPr>
        <w:fldChar w:fldCharType="begin"/>
      </w:r>
      <w:r>
        <w:rPr>
          <w:rFonts w:hint="eastAsia"/>
        </w:rPr>
        <w:instrText xml:space="preserve"> HYPERLINK \l _Toc18957 </w:instrText>
      </w:r>
      <w:r>
        <w:rPr>
          <w:rFonts w:hint="eastAsia"/>
        </w:rPr>
        <w:fldChar w:fldCharType="separate"/>
      </w:r>
      <w:r>
        <w:rPr>
          <w:szCs w:val="21"/>
        </w:rPr>
        <w:t>图</w:t>
      </w:r>
      <w:r>
        <w:t xml:space="preserve">24 </w:t>
      </w:r>
      <w:r>
        <w:rPr>
          <w:rFonts w:hint="eastAsia"/>
          <w:szCs w:val="21"/>
          <w:lang w:val="en-US" w:eastAsia="zh-CN"/>
        </w:rPr>
        <w:t xml:space="preserve"> </w:t>
      </w:r>
      <w:r>
        <w:rPr>
          <w:rFonts w:hint="eastAsia"/>
          <w:szCs w:val="21"/>
        </w:rPr>
        <w:t>重庆市九龙坡职业教育中心</w:t>
      </w:r>
      <w:r>
        <w:rPr>
          <w:rFonts w:hint="eastAsia"/>
          <w:szCs w:val="21"/>
          <w:lang w:eastAsia="zh-CN"/>
        </w:rPr>
        <w:t>“</w:t>
      </w:r>
      <w:r>
        <w:rPr>
          <w:szCs w:val="21"/>
        </w:rPr>
        <w:t>一核三治</w:t>
      </w:r>
      <w:r>
        <w:rPr>
          <w:rFonts w:hint="eastAsia"/>
          <w:szCs w:val="21"/>
          <w:lang w:eastAsia="zh-CN"/>
        </w:rPr>
        <w:t>”</w:t>
      </w:r>
      <w:r>
        <w:rPr>
          <w:szCs w:val="21"/>
        </w:rPr>
        <w:t>治理模式</w:t>
      </w:r>
      <w:r>
        <w:rPr>
          <w:rFonts w:hint="eastAsia"/>
          <w:szCs w:val="21"/>
          <w:lang w:eastAsia="zh-CN"/>
        </w:rPr>
        <w:t>图示</w:t>
      </w:r>
      <w:r>
        <w:tab/>
      </w:r>
      <w:r>
        <w:fldChar w:fldCharType="begin"/>
      </w:r>
      <w:r>
        <w:instrText xml:space="preserve"> PAGEREF _Toc18957 \h </w:instrText>
      </w:r>
      <w:r>
        <w:fldChar w:fldCharType="separate"/>
      </w:r>
      <w:r>
        <w:t>54</w:t>
      </w:r>
      <w:r>
        <w:fldChar w:fldCharType="end"/>
      </w:r>
      <w:r>
        <w:rPr>
          <w:rFonts w:hint="eastAsia"/>
        </w:rPr>
        <w:fldChar w:fldCharType="end"/>
      </w:r>
    </w:p>
    <w:p w14:paraId="4B72506F">
      <w:pPr>
        <w:ind w:firstLine="480" w:firstLineChars="200"/>
        <w:sectPr>
          <w:pgSz w:w="11905" w:h="16838"/>
          <w:pgMar w:top="1701" w:right="1701" w:bottom="1701" w:left="1701" w:header="1134" w:footer="1134" w:gutter="0"/>
          <w:cols w:space="0" w:num="1"/>
          <w:docGrid w:type="lines" w:linePitch="327" w:charSpace="0"/>
        </w:sectPr>
      </w:pPr>
      <w:r>
        <w:rPr>
          <w:rFonts w:hint="eastAsia"/>
        </w:rPr>
        <w:fldChar w:fldCharType="end"/>
      </w:r>
    </w:p>
    <w:p w14:paraId="7B848112">
      <w:pPr>
        <w:pStyle w:val="2"/>
        <w:spacing w:before="654" w:after="654"/>
        <w:jc w:val="center"/>
        <w:rPr>
          <w:lang w:eastAsia="zh-CN"/>
        </w:rPr>
      </w:pPr>
      <w:bookmarkStart w:id="0" w:name="bookmark221"/>
      <w:bookmarkEnd w:id="0"/>
      <w:bookmarkStart w:id="1" w:name="_Toc24798"/>
      <w:r>
        <w:rPr>
          <w:lang w:eastAsia="zh-CN"/>
        </w:rPr>
        <w:t>前    言</w:t>
      </w:r>
      <w:bookmarkEnd w:id="1"/>
    </w:p>
    <w:p w14:paraId="25588C12">
      <w:pPr>
        <w:ind w:firstLine="480" w:firstLineChars="200"/>
        <w:rPr>
          <w:lang w:eastAsia="zh-CN"/>
        </w:rPr>
      </w:pPr>
      <w:r>
        <w:rPr>
          <w:rFonts w:hint="eastAsia"/>
          <w:lang w:eastAsia="zh-CN"/>
        </w:rPr>
        <w:t>根据</w:t>
      </w:r>
      <w:r>
        <w:rPr>
          <w:lang w:eastAsia="zh-CN"/>
        </w:rPr>
        <w:t>《教育部职业教育与成人教育司关于做好中国职业教育质量报告（202</w:t>
      </w:r>
      <w:r>
        <w:rPr>
          <w:rFonts w:hint="eastAsia"/>
          <w:lang w:eastAsia="zh-CN"/>
        </w:rPr>
        <w:t>5</w:t>
      </w:r>
      <w:r>
        <w:rPr>
          <w:lang w:eastAsia="zh-CN"/>
        </w:rPr>
        <w:t>年度）编制、发布和报送工作的通知》《重庆市教育委员会关于做好202</w:t>
      </w:r>
      <w:r>
        <w:rPr>
          <w:rFonts w:hint="eastAsia"/>
          <w:lang w:eastAsia="zh-CN"/>
        </w:rPr>
        <w:t>5</w:t>
      </w:r>
      <w:r>
        <w:rPr>
          <w:lang w:eastAsia="zh-CN"/>
        </w:rPr>
        <w:t>年职业教育质量</w:t>
      </w:r>
      <w:r>
        <w:rPr>
          <w:rFonts w:hint="eastAsia"/>
          <w:lang w:eastAsia="zh-CN"/>
        </w:rPr>
        <w:t>年度</w:t>
      </w:r>
      <w:r>
        <w:rPr>
          <w:lang w:eastAsia="zh-CN"/>
        </w:rPr>
        <w:t>报告编制、发布和报送工作的通知》的</w:t>
      </w:r>
      <w:r>
        <w:rPr>
          <w:rFonts w:hint="eastAsia"/>
          <w:lang w:eastAsia="zh-CN"/>
        </w:rPr>
        <w:t>文件</w:t>
      </w:r>
      <w:r>
        <w:rPr>
          <w:lang w:eastAsia="zh-CN"/>
        </w:rPr>
        <w:t>要求，</w:t>
      </w:r>
      <w:r>
        <w:rPr>
          <w:rFonts w:hint="eastAsia"/>
          <w:lang w:eastAsia="zh-CN"/>
        </w:rPr>
        <w:t>职业教育质量年度报告的编制发布，旨在全面展示中等职业教育发展情况，为进一步推动职业教育改革发展提供参考和借鉴。</w:t>
      </w:r>
    </w:p>
    <w:p w14:paraId="5102642E">
      <w:pPr>
        <w:ind w:firstLine="480" w:firstLineChars="200"/>
        <w:rPr>
          <w:lang w:eastAsia="zh-CN"/>
        </w:rPr>
      </w:pPr>
      <w:r>
        <w:rPr>
          <w:rFonts w:hint="eastAsia"/>
          <w:lang w:eastAsia="zh-CN"/>
        </w:rPr>
        <w:t>本</w:t>
      </w:r>
      <w:r>
        <w:rPr>
          <w:lang w:eastAsia="zh-CN"/>
        </w:rPr>
        <w:t>报告</w:t>
      </w:r>
      <w:r>
        <w:rPr>
          <w:rFonts w:hint="eastAsia"/>
          <w:lang w:eastAsia="zh-CN"/>
        </w:rPr>
        <w:t>分为</w:t>
      </w:r>
      <w:r>
        <w:rPr>
          <w:lang w:eastAsia="zh-CN"/>
        </w:rPr>
        <w:t>学校概况、人才培养、服务贡献、文化传承、国际合作、产教融合、发展保障、面临挑战</w:t>
      </w:r>
      <w:r>
        <w:rPr>
          <w:rFonts w:hint="eastAsia"/>
          <w:lang w:eastAsia="zh-CN"/>
        </w:rPr>
        <w:t>八个部分</w:t>
      </w:r>
      <w:r>
        <w:rPr>
          <w:lang w:eastAsia="zh-CN"/>
        </w:rPr>
        <w:t>，用翔实数据和典型案例，</w:t>
      </w:r>
      <w:r>
        <w:rPr>
          <w:rFonts w:hint="eastAsia"/>
          <w:lang w:eastAsia="zh-CN"/>
        </w:rPr>
        <w:t>展示了九龙坡</w:t>
      </w:r>
      <w:r>
        <w:rPr>
          <w:lang w:eastAsia="zh-CN"/>
        </w:rPr>
        <w:t>区</w:t>
      </w:r>
      <w:r>
        <w:rPr>
          <w:rFonts w:hint="eastAsia"/>
          <w:lang w:eastAsia="zh-CN"/>
        </w:rPr>
        <w:t>2025年度</w:t>
      </w:r>
      <w:r>
        <w:rPr>
          <w:lang w:eastAsia="zh-CN"/>
        </w:rPr>
        <w:t>中等</w:t>
      </w:r>
      <w:r>
        <w:rPr>
          <w:rFonts w:hint="eastAsia"/>
          <w:lang w:eastAsia="zh-CN"/>
        </w:rPr>
        <w:t>职业教育的整体质量与发展状态，希望通过这份报告，引起</w:t>
      </w:r>
      <w:r>
        <w:rPr>
          <w:lang w:eastAsia="zh-CN"/>
        </w:rPr>
        <w:t>社会各界对中等职业教育的关注与支持，共同推动中等职业教育</w:t>
      </w:r>
      <w:r>
        <w:rPr>
          <w:rFonts w:hint="eastAsia"/>
          <w:lang w:eastAsia="zh-CN"/>
        </w:rPr>
        <w:t>高质量</w:t>
      </w:r>
      <w:r>
        <w:rPr>
          <w:lang w:eastAsia="zh-CN"/>
        </w:rPr>
        <w:t>发展。</w:t>
      </w:r>
    </w:p>
    <w:p w14:paraId="63CA2A27">
      <w:pPr>
        <w:ind w:firstLine="480" w:firstLineChars="200"/>
        <w:rPr>
          <w:lang w:eastAsia="zh-CN"/>
        </w:rPr>
      </w:pPr>
    </w:p>
    <w:p w14:paraId="5DBFF428">
      <w:pPr>
        <w:ind w:firstLine="480" w:firstLineChars="200"/>
        <w:rPr>
          <w:lang w:eastAsia="zh-CN"/>
        </w:rPr>
        <w:sectPr>
          <w:headerReference r:id="rId11" w:type="default"/>
          <w:footerReference r:id="rId13" w:type="default"/>
          <w:headerReference r:id="rId12" w:type="even"/>
          <w:footerReference r:id="rId14" w:type="even"/>
          <w:type w:val="oddPage"/>
          <w:pgSz w:w="11905" w:h="16838"/>
          <w:pgMar w:top="1701" w:right="1701" w:bottom="1701" w:left="1701" w:header="1134" w:footer="1134" w:gutter="0"/>
          <w:pgNumType w:start="1"/>
          <w:cols w:space="0" w:num="1"/>
          <w:docGrid w:type="lines" w:linePitch="327" w:charSpace="0"/>
        </w:sectPr>
      </w:pPr>
    </w:p>
    <w:p w14:paraId="28068224">
      <w:pPr>
        <w:pStyle w:val="2"/>
        <w:spacing w:before="654" w:after="654"/>
        <w:rPr>
          <w:lang w:eastAsia="zh-CN"/>
        </w:rPr>
      </w:pPr>
      <w:bookmarkStart w:id="2" w:name="_Toc20446"/>
      <w:r>
        <w:rPr>
          <w:lang w:eastAsia="zh-CN"/>
        </w:rPr>
        <w:t>1</w:t>
      </w:r>
      <w:r>
        <w:rPr>
          <w:rFonts w:hint="eastAsia"/>
          <w:lang w:eastAsia="zh-CN"/>
        </w:rPr>
        <w:t xml:space="preserve"> </w:t>
      </w:r>
      <w:r>
        <w:rPr>
          <w:lang w:eastAsia="zh-CN"/>
        </w:rPr>
        <w:t>学校概况</w:t>
      </w:r>
      <w:bookmarkEnd w:id="2"/>
    </w:p>
    <w:p w14:paraId="1CBB703A">
      <w:pPr>
        <w:pStyle w:val="3"/>
        <w:spacing w:before="327" w:after="327"/>
      </w:pPr>
      <w:bookmarkStart w:id="3" w:name="_Toc24922"/>
      <w:r>
        <w:t xml:space="preserve">1.1 </w:t>
      </w:r>
      <w:r>
        <w:rPr>
          <w:rFonts w:hint="eastAsia" w:ascii="方正黑体_GBK" w:hAnsi="方正黑体_GBK" w:eastAsia="方正黑体_GBK" w:cs="方正黑体_GBK"/>
        </w:rPr>
        <w:t>基本情况</w:t>
      </w:r>
      <w:bookmarkEnd w:id="3"/>
    </w:p>
    <w:p w14:paraId="5DCD300B">
      <w:pPr>
        <w:ind w:firstLine="480" w:firstLineChars="200"/>
        <w:rPr>
          <w:lang w:eastAsia="zh-CN"/>
        </w:rPr>
      </w:pPr>
      <w:r>
        <w:rPr>
          <w:rFonts w:hint="eastAsia"/>
          <w:lang w:eastAsia="zh-CN"/>
        </w:rPr>
        <w:t>九龙坡区现有中职学校</w:t>
      </w:r>
      <w:r>
        <w:rPr>
          <w:lang w:eastAsia="zh-CN"/>
        </w:rPr>
        <w:t>6</w:t>
      </w:r>
      <w:r>
        <w:rPr>
          <w:rFonts w:hint="eastAsia"/>
          <w:lang w:eastAsia="zh-CN"/>
        </w:rPr>
        <w:t>所（公办3所，民办3所），区教委主管的中职学校3所，区人力社保局主管的技工学校3所。区内中职学校整体办学水平较高，现有国家级示范中职学校</w:t>
      </w:r>
      <w:r>
        <w:rPr>
          <w:lang w:eastAsia="zh-CN"/>
        </w:rPr>
        <w:t>1</w:t>
      </w:r>
      <w:r>
        <w:rPr>
          <w:rFonts w:hint="eastAsia"/>
          <w:lang w:eastAsia="zh-CN"/>
        </w:rPr>
        <w:t>所、国家级重点中职学校2所、市级高水平中职学校1所、市级“双优”中职学校2所。</w:t>
      </w:r>
    </w:p>
    <w:p w14:paraId="23B90112">
      <w:pPr>
        <w:pStyle w:val="7"/>
      </w:pPr>
      <w:r>
        <w:t>表</w:t>
      </w:r>
      <w:r>
        <w:fldChar w:fldCharType="begin"/>
      </w:r>
      <w:r>
        <w:instrText xml:space="preserve"> SEQ 表 \* ARABIC </w:instrText>
      </w:r>
      <w:r>
        <w:fldChar w:fldCharType="separate"/>
      </w:r>
      <w:r>
        <w:t>1</w:t>
      </w:r>
      <w:r>
        <w:fldChar w:fldCharType="end"/>
      </w:r>
      <w:bookmarkStart w:id="4" w:name="_Toc26654"/>
      <w:r>
        <w:t xml:space="preserve">  2024-2025学年中职学校基本信息一览表</w:t>
      </w:r>
      <w:bookmarkEnd w:id="4"/>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4"/>
        <w:gridCol w:w="1214"/>
        <w:gridCol w:w="1259"/>
        <w:gridCol w:w="3469"/>
      </w:tblGrid>
      <w:tr w14:paraId="2507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91" w:type="pct"/>
            <w:shd w:val="clear" w:color="auto" w:fill="DBE3F4" w:themeFill="accent1" w:themeFillTint="32"/>
            <w:vAlign w:val="center"/>
          </w:tcPr>
          <w:p w14:paraId="0B6AD8AC">
            <w:pPr>
              <w:jc w:val="center"/>
              <w:rPr>
                <w:bCs/>
                <w:color w:val="08090C"/>
                <w:sz w:val="20"/>
                <w:szCs w:val="20"/>
                <w:lang w:eastAsia="zh-CN"/>
              </w:rPr>
            </w:pPr>
            <w:r>
              <w:rPr>
                <w:rFonts w:hint="eastAsia"/>
                <w:bCs/>
                <w:color w:val="08090C"/>
                <w:sz w:val="20"/>
                <w:szCs w:val="20"/>
                <w:lang w:eastAsia="zh-CN"/>
              </w:rPr>
              <w:t>学校名称</w:t>
            </w:r>
          </w:p>
        </w:tc>
        <w:tc>
          <w:tcPr>
            <w:tcW w:w="696" w:type="pct"/>
            <w:shd w:val="clear" w:color="auto" w:fill="DBE3F4" w:themeFill="accent1" w:themeFillTint="32"/>
            <w:vAlign w:val="center"/>
          </w:tcPr>
          <w:p w14:paraId="1D06FCC1">
            <w:pPr>
              <w:jc w:val="center"/>
              <w:rPr>
                <w:bCs/>
                <w:color w:val="08090C"/>
                <w:sz w:val="20"/>
                <w:szCs w:val="20"/>
                <w:lang w:eastAsia="zh-CN"/>
              </w:rPr>
            </w:pPr>
            <w:r>
              <w:rPr>
                <w:rFonts w:hint="eastAsia"/>
                <w:bCs/>
                <w:color w:val="08090C"/>
                <w:sz w:val="20"/>
                <w:szCs w:val="20"/>
                <w:lang w:eastAsia="zh-CN"/>
              </w:rPr>
              <w:t>办学性质</w:t>
            </w:r>
          </w:p>
        </w:tc>
        <w:tc>
          <w:tcPr>
            <w:tcW w:w="722" w:type="pct"/>
            <w:shd w:val="clear" w:color="auto" w:fill="DBE3F4" w:themeFill="accent1" w:themeFillTint="32"/>
            <w:vAlign w:val="center"/>
          </w:tcPr>
          <w:p w14:paraId="301B296B">
            <w:pPr>
              <w:jc w:val="center"/>
              <w:rPr>
                <w:bCs/>
                <w:color w:val="08090C"/>
                <w:sz w:val="20"/>
                <w:szCs w:val="20"/>
                <w:lang w:eastAsia="zh-CN"/>
              </w:rPr>
            </w:pPr>
            <w:r>
              <w:rPr>
                <w:rFonts w:hint="eastAsia"/>
                <w:bCs/>
                <w:color w:val="08090C"/>
                <w:sz w:val="20"/>
                <w:szCs w:val="20"/>
                <w:lang w:eastAsia="zh-CN"/>
              </w:rPr>
              <w:t>主管单位</w:t>
            </w:r>
          </w:p>
        </w:tc>
        <w:tc>
          <w:tcPr>
            <w:tcW w:w="1989" w:type="pct"/>
            <w:shd w:val="clear" w:color="auto" w:fill="DBE3F4" w:themeFill="accent1" w:themeFillTint="32"/>
            <w:vAlign w:val="center"/>
          </w:tcPr>
          <w:p w14:paraId="1D10B548">
            <w:pPr>
              <w:jc w:val="center"/>
              <w:rPr>
                <w:bCs/>
                <w:color w:val="08090C"/>
                <w:sz w:val="20"/>
                <w:szCs w:val="20"/>
                <w:lang w:eastAsia="zh-CN"/>
              </w:rPr>
            </w:pPr>
            <w:r>
              <w:rPr>
                <w:rFonts w:hint="eastAsia"/>
                <w:bCs/>
                <w:color w:val="08090C"/>
                <w:sz w:val="20"/>
                <w:szCs w:val="20"/>
                <w:lang w:eastAsia="zh-CN"/>
              </w:rPr>
              <w:t>办学水平</w:t>
            </w:r>
          </w:p>
        </w:tc>
      </w:tr>
      <w:tr w14:paraId="285A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91" w:type="pct"/>
            <w:shd w:val="clear" w:color="auto" w:fill="FFFFFF"/>
            <w:vAlign w:val="center"/>
          </w:tcPr>
          <w:p w14:paraId="2292F7AC">
            <w:pPr>
              <w:jc w:val="center"/>
              <w:rPr>
                <w:bCs/>
                <w:sz w:val="20"/>
                <w:szCs w:val="20"/>
                <w:lang w:eastAsia="zh-CN"/>
              </w:rPr>
            </w:pPr>
            <w:r>
              <w:rPr>
                <w:rFonts w:hint="eastAsia"/>
                <w:bCs/>
                <w:sz w:val="20"/>
                <w:szCs w:val="20"/>
                <w:lang w:eastAsia="zh-CN"/>
              </w:rPr>
              <w:t>重庆市九龙坡职业教育中心</w:t>
            </w:r>
          </w:p>
        </w:tc>
        <w:tc>
          <w:tcPr>
            <w:tcW w:w="696" w:type="pct"/>
            <w:shd w:val="clear" w:color="auto" w:fill="FFFFFF"/>
            <w:vAlign w:val="center"/>
          </w:tcPr>
          <w:p w14:paraId="7B344045">
            <w:pPr>
              <w:jc w:val="center"/>
              <w:rPr>
                <w:bCs/>
                <w:sz w:val="20"/>
                <w:szCs w:val="20"/>
                <w:lang w:eastAsia="zh-CN"/>
              </w:rPr>
            </w:pPr>
            <w:r>
              <w:rPr>
                <w:rFonts w:hint="eastAsia"/>
                <w:bCs/>
                <w:sz w:val="20"/>
                <w:szCs w:val="20"/>
                <w:lang w:eastAsia="zh-CN"/>
              </w:rPr>
              <w:t>公办</w:t>
            </w:r>
          </w:p>
        </w:tc>
        <w:tc>
          <w:tcPr>
            <w:tcW w:w="722" w:type="pct"/>
            <w:vMerge w:val="restart"/>
            <w:shd w:val="clear" w:color="auto" w:fill="FFFFFF"/>
            <w:vAlign w:val="center"/>
          </w:tcPr>
          <w:p w14:paraId="1E929F83">
            <w:pPr>
              <w:jc w:val="center"/>
              <w:rPr>
                <w:bCs/>
                <w:sz w:val="20"/>
                <w:szCs w:val="20"/>
                <w:lang w:eastAsia="zh-CN"/>
              </w:rPr>
            </w:pPr>
            <w:r>
              <w:rPr>
                <w:rFonts w:hint="eastAsia"/>
                <w:bCs/>
                <w:sz w:val="20"/>
                <w:szCs w:val="20"/>
                <w:lang w:eastAsia="zh-CN"/>
              </w:rPr>
              <w:t>区教委</w:t>
            </w:r>
          </w:p>
        </w:tc>
        <w:tc>
          <w:tcPr>
            <w:tcW w:w="1989" w:type="pct"/>
            <w:shd w:val="clear" w:color="auto" w:fill="FFFFFF"/>
            <w:vAlign w:val="center"/>
          </w:tcPr>
          <w:p w14:paraId="79FE3596">
            <w:pPr>
              <w:jc w:val="center"/>
              <w:rPr>
                <w:bCs/>
                <w:sz w:val="20"/>
                <w:szCs w:val="20"/>
                <w:lang w:eastAsia="zh-CN"/>
              </w:rPr>
            </w:pPr>
            <w:r>
              <w:rPr>
                <w:rFonts w:hint="eastAsia"/>
                <w:bCs/>
                <w:sz w:val="20"/>
                <w:szCs w:val="20"/>
                <w:lang w:eastAsia="zh-CN"/>
              </w:rPr>
              <w:t>国家级示范、国家重点、市级高水平、市级“双优”</w:t>
            </w:r>
          </w:p>
        </w:tc>
      </w:tr>
      <w:tr w14:paraId="03F8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shd w:val="clear" w:color="auto" w:fill="FFFFFF"/>
            <w:vAlign w:val="center"/>
          </w:tcPr>
          <w:p w14:paraId="3827F825">
            <w:pPr>
              <w:jc w:val="center"/>
              <w:rPr>
                <w:bCs/>
                <w:sz w:val="20"/>
                <w:szCs w:val="20"/>
                <w:lang w:eastAsia="zh-CN"/>
              </w:rPr>
            </w:pPr>
            <w:r>
              <w:rPr>
                <w:rFonts w:hint="eastAsia"/>
                <w:bCs/>
                <w:sz w:val="20"/>
                <w:szCs w:val="20"/>
                <w:lang w:eastAsia="zh-CN"/>
              </w:rPr>
              <w:t>重庆市工艺美术学校</w:t>
            </w:r>
          </w:p>
        </w:tc>
        <w:tc>
          <w:tcPr>
            <w:tcW w:w="696" w:type="pct"/>
            <w:shd w:val="clear" w:color="auto" w:fill="FFFFFF"/>
            <w:vAlign w:val="center"/>
          </w:tcPr>
          <w:p w14:paraId="70676BD2">
            <w:pPr>
              <w:jc w:val="center"/>
              <w:rPr>
                <w:bCs/>
                <w:sz w:val="20"/>
                <w:szCs w:val="20"/>
                <w:lang w:eastAsia="zh-CN"/>
              </w:rPr>
            </w:pPr>
            <w:r>
              <w:rPr>
                <w:rFonts w:hint="eastAsia"/>
                <w:bCs/>
                <w:sz w:val="20"/>
                <w:szCs w:val="20"/>
                <w:lang w:eastAsia="zh-CN"/>
              </w:rPr>
              <w:t>公办</w:t>
            </w:r>
          </w:p>
        </w:tc>
        <w:tc>
          <w:tcPr>
            <w:tcW w:w="722" w:type="pct"/>
            <w:vMerge w:val="continue"/>
            <w:shd w:val="clear" w:color="auto" w:fill="FFFFFF"/>
            <w:vAlign w:val="center"/>
          </w:tcPr>
          <w:p w14:paraId="4AA042F6">
            <w:pPr>
              <w:jc w:val="center"/>
              <w:rPr>
                <w:bCs/>
                <w:sz w:val="20"/>
                <w:szCs w:val="20"/>
                <w:lang w:eastAsia="zh-CN"/>
              </w:rPr>
            </w:pPr>
          </w:p>
        </w:tc>
        <w:tc>
          <w:tcPr>
            <w:tcW w:w="1989" w:type="pct"/>
            <w:shd w:val="clear" w:color="auto" w:fill="FFFFFF"/>
            <w:vAlign w:val="center"/>
          </w:tcPr>
          <w:p w14:paraId="0135B1F6">
            <w:pPr>
              <w:jc w:val="center"/>
              <w:rPr>
                <w:bCs/>
                <w:sz w:val="20"/>
                <w:szCs w:val="20"/>
                <w:lang w:eastAsia="zh-CN"/>
              </w:rPr>
            </w:pPr>
            <w:r>
              <w:rPr>
                <w:rFonts w:hint="eastAsia"/>
                <w:bCs/>
                <w:sz w:val="20"/>
                <w:szCs w:val="20"/>
                <w:lang w:eastAsia="zh-CN"/>
              </w:rPr>
              <w:t>国家重点、市级示范、市级“双优”</w:t>
            </w:r>
          </w:p>
        </w:tc>
      </w:tr>
      <w:tr w14:paraId="79EB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shd w:val="clear" w:color="auto" w:fill="FFFFFF"/>
            <w:vAlign w:val="center"/>
          </w:tcPr>
          <w:p w14:paraId="7B1BF364">
            <w:pPr>
              <w:jc w:val="center"/>
              <w:rPr>
                <w:bCs/>
                <w:sz w:val="20"/>
                <w:szCs w:val="20"/>
                <w:lang w:eastAsia="zh-CN"/>
              </w:rPr>
            </w:pPr>
            <w:r>
              <w:rPr>
                <w:rFonts w:hint="eastAsia"/>
                <w:bCs/>
                <w:sz w:val="20"/>
                <w:szCs w:val="20"/>
                <w:lang w:eastAsia="zh-CN"/>
              </w:rPr>
              <w:t>重庆舞蹈学校</w:t>
            </w:r>
          </w:p>
        </w:tc>
        <w:tc>
          <w:tcPr>
            <w:tcW w:w="696" w:type="pct"/>
            <w:shd w:val="clear" w:color="auto" w:fill="FFFFFF"/>
            <w:vAlign w:val="center"/>
          </w:tcPr>
          <w:p w14:paraId="7A554728">
            <w:pPr>
              <w:jc w:val="center"/>
              <w:rPr>
                <w:bCs/>
                <w:sz w:val="20"/>
                <w:szCs w:val="20"/>
                <w:lang w:eastAsia="zh-CN"/>
              </w:rPr>
            </w:pPr>
            <w:r>
              <w:rPr>
                <w:rFonts w:hint="eastAsia"/>
                <w:bCs/>
                <w:sz w:val="20"/>
                <w:szCs w:val="20"/>
                <w:lang w:eastAsia="zh-CN"/>
              </w:rPr>
              <w:t>民办</w:t>
            </w:r>
          </w:p>
        </w:tc>
        <w:tc>
          <w:tcPr>
            <w:tcW w:w="722" w:type="pct"/>
            <w:vMerge w:val="continue"/>
            <w:shd w:val="clear" w:color="auto" w:fill="FFFFFF"/>
            <w:vAlign w:val="center"/>
          </w:tcPr>
          <w:p w14:paraId="3497C5D7">
            <w:pPr>
              <w:jc w:val="center"/>
              <w:rPr>
                <w:bCs/>
                <w:sz w:val="20"/>
                <w:szCs w:val="20"/>
                <w:lang w:eastAsia="zh-CN"/>
              </w:rPr>
            </w:pPr>
          </w:p>
        </w:tc>
        <w:tc>
          <w:tcPr>
            <w:tcW w:w="1989" w:type="pct"/>
            <w:shd w:val="clear" w:color="auto" w:fill="FFFFFF"/>
            <w:vAlign w:val="center"/>
          </w:tcPr>
          <w:p w14:paraId="3D8D89C5">
            <w:pPr>
              <w:jc w:val="center"/>
              <w:rPr>
                <w:bCs/>
                <w:sz w:val="20"/>
                <w:szCs w:val="20"/>
                <w:lang w:eastAsia="zh-CN"/>
              </w:rPr>
            </w:pPr>
            <w:r>
              <w:rPr>
                <w:rFonts w:hint="eastAsia"/>
                <w:bCs/>
                <w:sz w:val="20"/>
                <w:szCs w:val="20"/>
                <w:lang w:eastAsia="zh-CN"/>
              </w:rPr>
              <w:t>市级重点</w:t>
            </w:r>
          </w:p>
        </w:tc>
      </w:tr>
      <w:tr w14:paraId="3AD6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shd w:val="clear" w:color="auto" w:fill="FFFFFF"/>
            <w:vAlign w:val="center"/>
          </w:tcPr>
          <w:p w14:paraId="4B792B9E">
            <w:pPr>
              <w:jc w:val="center"/>
              <w:rPr>
                <w:bCs/>
                <w:sz w:val="20"/>
                <w:szCs w:val="20"/>
                <w:lang w:eastAsia="zh-CN"/>
              </w:rPr>
            </w:pPr>
            <w:r>
              <w:rPr>
                <w:rFonts w:hint="eastAsia"/>
                <w:bCs/>
                <w:sz w:val="20"/>
                <w:szCs w:val="20"/>
                <w:lang w:eastAsia="zh-CN"/>
              </w:rPr>
              <w:t>重庆建筑高级技工学校</w:t>
            </w:r>
          </w:p>
        </w:tc>
        <w:tc>
          <w:tcPr>
            <w:tcW w:w="696" w:type="pct"/>
            <w:shd w:val="clear" w:color="auto" w:fill="FFFFFF"/>
            <w:vAlign w:val="center"/>
          </w:tcPr>
          <w:p w14:paraId="028B3647">
            <w:pPr>
              <w:jc w:val="center"/>
              <w:rPr>
                <w:bCs/>
                <w:sz w:val="20"/>
                <w:szCs w:val="20"/>
                <w:lang w:eastAsia="zh-CN"/>
              </w:rPr>
            </w:pPr>
            <w:r>
              <w:rPr>
                <w:rFonts w:hint="eastAsia"/>
                <w:bCs/>
                <w:sz w:val="20"/>
                <w:szCs w:val="20"/>
                <w:lang w:eastAsia="zh-CN"/>
              </w:rPr>
              <w:t>公办</w:t>
            </w:r>
          </w:p>
        </w:tc>
        <w:tc>
          <w:tcPr>
            <w:tcW w:w="722" w:type="pct"/>
            <w:vMerge w:val="restart"/>
            <w:shd w:val="clear" w:color="auto" w:fill="FFFFFF"/>
            <w:vAlign w:val="center"/>
          </w:tcPr>
          <w:p w14:paraId="31ADE828">
            <w:pPr>
              <w:jc w:val="center"/>
              <w:rPr>
                <w:bCs/>
                <w:sz w:val="20"/>
                <w:szCs w:val="20"/>
                <w:lang w:eastAsia="zh-CN"/>
              </w:rPr>
            </w:pPr>
            <w:r>
              <w:rPr>
                <w:rFonts w:hint="eastAsia"/>
                <w:bCs/>
                <w:sz w:val="20"/>
                <w:szCs w:val="20"/>
                <w:lang w:eastAsia="zh-CN"/>
              </w:rPr>
              <w:t>区人力</w:t>
            </w:r>
            <w:r>
              <w:rPr>
                <w:rFonts w:hint="eastAsia"/>
                <w:bCs/>
                <w:sz w:val="20"/>
                <w:szCs w:val="20"/>
                <w:lang w:val="en-US" w:eastAsia="zh-CN"/>
              </w:rPr>
              <w:t xml:space="preserve">   </w:t>
            </w:r>
            <w:r>
              <w:rPr>
                <w:rFonts w:hint="eastAsia"/>
                <w:bCs/>
                <w:sz w:val="20"/>
                <w:szCs w:val="20"/>
                <w:lang w:eastAsia="zh-CN"/>
              </w:rPr>
              <w:t>社保局</w:t>
            </w:r>
          </w:p>
        </w:tc>
        <w:tc>
          <w:tcPr>
            <w:tcW w:w="1989" w:type="pct"/>
            <w:shd w:val="clear" w:color="auto" w:fill="FFFFFF"/>
            <w:vAlign w:val="center"/>
          </w:tcPr>
          <w:p w14:paraId="77B0205F">
            <w:pPr>
              <w:jc w:val="center"/>
              <w:rPr>
                <w:bCs/>
                <w:sz w:val="20"/>
                <w:szCs w:val="20"/>
                <w:lang w:eastAsia="zh-CN"/>
              </w:rPr>
            </w:pPr>
            <w:r>
              <w:rPr>
                <w:rFonts w:hint="eastAsia"/>
                <w:bCs/>
                <w:sz w:val="20"/>
                <w:szCs w:val="20"/>
                <w:lang w:eastAsia="zh-CN"/>
              </w:rPr>
              <w:t>市级示范、市级“双优”</w:t>
            </w:r>
          </w:p>
        </w:tc>
      </w:tr>
      <w:tr w14:paraId="54F1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shd w:val="clear" w:color="auto" w:fill="FFFFFF"/>
            <w:vAlign w:val="center"/>
          </w:tcPr>
          <w:p w14:paraId="5C5792D6">
            <w:pPr>
              <w:jc w:val="center"/>
              <w:rPr>
                <w:bCs/>
                <w:sz w:val="20"/>
                <w:szCs w:val="20"/>
                <w:lang w:eastAsia="zh-CN"/>
              </w:rPr>
            </w:pPr>
            <w:r>
              <w:rPr>
                <w:rFonts w:hint="eastAsia"/>
                <w:bCs/>
                <w:sz w:val="20"/>
                <w:szCs w:val="20"/>
                <w:lang w:eastAsia="zh-CN"/>
              </w:rPr>
              <w:t>重庆市聚英技工学校</w:t>
            </w:r>
          </w:p>
        </w:tc>
        <w:tc>
          <w:tcPr>
            <w:tcW w:w="696" w:type="pct"/>
            <w:shd w:val="clear" w:color="auto" w:fill="FFFFFF"/>
            <w:vAlign w:val="center"/>
          </w:tcPr>
          <w:p w14:paraId="26A8F1C3">
            <w:pPr>
              <w:jc w:val="center"/>
              <w:rPr>
                <w:bCs/>
                <w:sz w:val="20"/>
                <w:szCs w:val="20"/>
                <w:lang w:eastAsia="zh-CN"/>
              </w:rPr>
            </w:pPr>
            <w:r>
              <w:rPr>
                <w:rFonts w:hint="eastAsia"/>
                <w:bCs/>
                <w:sz w:val="20"/>
                <w:szCs w:val="20"/>
                <w:lang w:eastAsia="zh-CN"/>
              </w:rPr>
              <w:t>民办</w:t>
            </w:r>
          </w:p>
        </w:tc>
        <w:tc>
          <w:tcPr>
            <w:tcW w:w="722" w:type="pct"/>
            <w:vMerge w:val="continue"/>
            <w:shd w:val="clear" w:color="auto" w:fill="FFFFFF"/>
            <w:vAlign w:val="center"/>
          </w:tcPr>
          <w:p w14:paraId="3A4F8D66">
            <w:pPr>
              <w:jc w:val="center"/>
              <w:rPr>
                <w:bCs/>
                <w:sz w:val="20"/>
                <w:szCs w:val="20"/>
                <w:lang w:eastAsia="zh-CN"/>
              </w:rPr>
            </w:pPr>
          </w:p>
        </w:tc>
        <w:tc>
          <w:tcPr>
            <w:tcW w:w="1989" w:type="pct"/>
            <w:shd w:val="clear" w:color="auto" w:fill="FFFFFF"/>
            <w:vAlign w:val="center"/>
          </w:tcPr>
          <w:p w14:paraId="18F04771">
            <w:pPr>
              <w:jc w:val="center"/>
              <w:rPr>
                <w:bCs/>
                <w:sz w:val="20"/>
                <w:szCs w:val="20"/>
                <w:lang w:eastAsia="zh-CN"/>
              </w:rPr>
            </w:pPr>
            <w:r>
              <w:rPr>
                <w:rFonts w:hint="eastAsia"/>
                <w:bCs/>
                <w:sz w:val="20"/>
                <w:szCs w:val="20"/>
                <w:lang w:eastAsia="zh-CN"/>
              </w:rPr>
              <w:t>市级重点</w:t>
            </w:r>
          </w:p>
        </w:tc>
      </w:tr>
      <w:tr w14:paraId="5ECE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shd w:val="clear" w:color="auto" w:fill="FFFFFF"/>
            <w:vAlign w:val="center"/>
          </w:tcPr>
          <w:p w14:paraId="4E28D886">
            <w:pPr>
              <w:jc w:val="center"/>
              <w:rPr>
                <w:bCs/>
                <w:sz w:val="20"/>
                <w:szCs w:val="20"/>
                <w:lang w:eastAsia="zh-CN"/>
              </w:rPr>
            </w:pPr>
            <w:r>
              <w:rPr>
                <w:rFonts w:hint="eastAsia"/>
                <w:bCs/>
                <w:sz w:val="20"/>
                <w:szCs w:val="20"/>
                <w:lang w:eastAsia="zh-CN"/>
              </w:rPr>
              <w:t>重庆文理技工学校</w:t>
            </w:r>
          </w:p>
        </w:tc>
        <w:tc>
          <w:tcPr>
            <w:tcW w:w="696" w:type="pct"/>
            <w:shd w:val="clear" w:color="auto" w:fill="FFFFFF"/>
            <w:vAlign w:val="center"/>
          </w:tcPr>
          <w:p w14:paraId="100767B9">
            <w:pPr>
              <w:jc w:val="center"/>
              <w:rPr>
                <w:bCs/>
                <w:sz w:val="20"/>
                <w:szCs w:val="20"/>
                <w:lang w:eastAsia="zh-CN"/>
              </w:rPr>
            </w:pPr>
            <w:r>
              <w:rPr>
                <w:rFonts w:hint="eastAsia"/>
                <w:bCs/>
                <w:sz w:val="20"/>
                <w:szCs w:val="20"/>
                <w:lang w:eastAsia="zh-CN"/>
              </w:rPr>
              <w:t>民办</w:t>
            </w:r>
          </w:p>
        </w:tc>
        <w:tc>
          <w:tcPr>
            <w:tcW w:w="722" w:type="pct"/>
            <w:vMerge w:val="continue"/>
            <w:shd w:val="clear" w:color="auto" w:fill="FFFFFF"/>
            <w:vAlign w:val="center"/>
          </w:tcPr>
          <w:p w14:paraId="0722CBEC">
            <w:pPr>
              <w:jc w:val="center"/>
              <w:rPr>
                <w:bCs/>
                <w:sz w:val="20"/>
                <w:szCs w:val="20"/>
                <w:lang w:eastAsia="zh-CN"/>
              </w:rPr>
            </w:pPr>
          </w:p>
        </w:tc>
        <w:tc>
          <w:tcPr>
            <w:tcW w:w="1989" w:type="pct"/>
            <w:shd w:val="clear" w:color="auto" w:fill="FFFFFF"/>
            <w:vAlign w:val="center"/>
          </w:tcPr>
          <w:p w14:paraId="5CF5DA8C">
            <w:pPr>
              <w:jc w:val="center"/>
              <w:rPr>
                <w:bCs/>
                <w:sz w:val="20"/>
                <w:szCs w:val="20"/>
                <w:lang w:eastAsia="zh-CN"/>
              </w:rPr>
            </w:pPr>
            <w:r>
              <w:rPr>
                <w:rFonts w:hint="eastAsia"/>
                <w:bCs/>
                <w:sz w:val="20"/>
                <w:szCs w:val="20"/>
                <w:lang w:eastAsia="zh-CN"/>
              </w:rPr>
              <w:t>达标</w:t>
            </w:r>
          </w:p>
        </w:tc>
      </w:tr>
    </w:tbl>
    <w:p w14:paraId="25CBFA30">
      <w:pPr>
        <w:pStyle w:val="3"/>
        <w:spacing w:before="327" w:after="327"/>
      </w:pPr>
      <w:bookmarkStart w:id="5" w:name="_Toc5728"/>
      <w:r>
        <w:t>1.</w:t>
      </w:r>
      <w:r>
        <w:rPr>
          <w:rFonts w:hint="eastAsia"/>
        </w:rPr>
        <w:t xml:space="preserve">2 </w:t>
      </w:r>
      <w:r>
        <w:rPr>
          <w:rFonts w:hint="eastAsia" w:ascii="方正黑体_GBK" w:hAnsi="方正黑体_GBK" w:eastAsia="方正黑体_GBK" w:cs="方正黑体_GBK"/>
        </w:rPr>
        <w:t>办学条件</w:t>
      </w:r>
      <w:bookmarkEnd w:id="5"/>
    </w:p>
    <w:p w14:paraId="1D49B8A4">
      <w:pPr>
        <w:ind w:firstLine="480" w:firstLineChars="200"/>
        <w:rPr>
          <w:lang w:eastAsia="zh-CN"/>
        </w:rPr>
      </w:pPr>
      <w:r>
        <w:rPr>
          <w:lang w:eastAsia="zh-CN"/>
        </w:rPr>
        <w:t>202</w:t>
      </w:r>
      <w:r>
        <w:rPr>
          <w:rFonts w:hint="eastAsia"/>
          <w:lang w:eastAsia="zh-CN"/>
        </w:rPr>
        <w:t>5年，九龙坡区中职学校总占地面积</w:t>
      </w:r>
      <w:r>
        <w:rPr>
          <w:lang w:eastAsia="zh-CN"/>
        </w:rPr>
        <w:t>530047.14</w:t>
      </w:r>
      <w:r>
        <w:rPr>
          <w:rFonts w:hint="eastAsia"/>
          <w:lang w:eastAsia="zh-CN"/>
        </w:rPr>
        <w:t>平方米，生均校园面积58.51平方米，校舍建筑总面积360736.22平方米，生均建筑面积39.82平方米，教学、实习仪器设备总值16146.01万元，生均仪器设备值1.78万元。详见下表：</w:t>
      </w:r>
    </w:p>
    <w:p w14:paraId="303D1DB5">
      <w:pPr>
        <w:pStyle w:val="7"/>
      </w:pPr>
      <w:bookmarkStart w:id="6" w:name="bookmark213"/>
      <w:bookmarkEnd w:id="6"/>
      <w:r>
        <w:t>表</w:t>
      </w:r>
      <w:r>
        <w:fldChar w:fldCharType="begin"/>
      </w:r>
      <w:r>
        <w:instrText xml:space="preserve"> SEQ 表 \* ARABIC </w:instrText>
      </w:r>
      <w:r>
        <w:fldChar w:fldCharType="separate"/>
      </w:r>
      <w:r>
        <w:t>2</w:t>
      </w:r>
      <w:r>
        <w:fldChar w:fldCharType="end"/>
      </w:r>
      <w:bookmarkStart w:id="7" w:name="_Toc13664"/>
      <w:r>
        <w:t xml:space="preserve">  学校占地及建筑面积一览表（单位：</w:t>
      </w:r>
      <w:r>
        <w:rPr>
          <w:rFonts w:hint="eastAsia"/>
        </w:rPr>
        <w:t>m</w:t>
      </w:r>
      <w:r>
        <w:rPr>
          <w:rFonts w:hint="eastAsia"/>
          <w:vertAlign w:val="superscript"/>
        </w:rPr>
        <w:t>2</w:t>
      </w:r>
      <w:r>
        <w:t>）</w:t>
      </w:r>
      <w:bookmarkEnd w:id="7"/>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26"/>
        <w:gridCol w:w="1363"/>
        <w:gridCol w:w="1317"/>
        <w:gridCol w:w="1572"/>
        <w:gridCol w:w="1732"/>
      </w:tblGrid>
      <w:tr w14:paraId="2DD6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blHeader/>
          <w:jc w:val="center"/>
        </w:trPr>
        <w:tc>
          <w:tcPr>
            <w:tcW w:w="1483" w:type="pct"/>
            <w:shd w:val="clear" w:color="auto" w:fill="DBE3F4" w:themeFill="accent1" w:themeFillTint="32"/>
            <w:vAlign w:val="center"/>
          </w:tcPr>
          <w:p w14:paraId="33A97016">
            <w:pPr>
              <w:jc w:val="center"/>
              <w:rPr>
                <w:bCs/>
                <w:color w:val="08090C"/>
                <w:sz w:val="20"/>
                <w:szCs w:val="20"/>
                <w:lang w:eastAsia="zh-CN"/>
              </w:rPr>
            </w:pPr>
            <w:r>
              <w:rPr>
                <w:rFonts w:hint="eastAsia"/>
                <w:bCs/>
                <w:color w:val="08090C"/>
                <w:sz w:val="20"/>
                <w:szCs w:val="20"/>
                <w:lang w:eastAsia="zh-CN"/>
              </w:rPr>
              <w:t>学校</w:t>
            </w:r>
          </w:p>
        </w:tc>
        <w:tc>
          <w:tcPr>
            <w:tcW w:w="800" w:type="pct"/>
            <w:shd w:val="clear" w:color="auto" w:fill="DBE3F4" w:themeFill="accent1" w:themeFillTint="32"/>
            <w:vAlign w:val="center"/>
          </w:tcPr>
          <w:p w14:paraId="063DD2D7">
            <w:pPr>
              <w:jc w:val="center"/>
              <w:rPr>
                <w:bCs/>
                <w:color w:val="08090C"/>
                <w:sz w:val="20"/>
                <w:szCs w:val="20"/>
                <w:lang w:eastAsia="zh-CN"/>
              </w:rPr>
            </w:pPr>
            <w:r>
              <w:rPr>
                <w:rFonts w:hint="eastAsia"/>
                <w:bCs/>
                <w:color w:val="08090C"/>
                <w:sz w:val="20"/>
                <w:szCs w:val="20"/>
                <w:lang w:eastAsia="zh-CN"/>
              </w:rPr>
              <w:t>学校占地面积</w:t>
            </w:r>
          </w:p>
        </w:tc>
        <w:tc>
          <w:tcPr>
            <w:tcW w:w="773" w:type="pct"/>
            <w:shd w:val="clear" w:color="auto" w:fill="DBE3F4" w:themeFill="accent1" w:themeFillTint="32"/>
            <w:vAlign w:val="center"/>
          </w:tcPr>
          <w:p w14:paraId="0CCE233A">
            <w:pPr>
              <w:jc w:val="center"/>
              <w:rPr>
                <w:bCs/>
                <w:color w:val="08090C"/>
                <w:sz w:val="20"/>
                <w:szCs w:val="20"/>
                <w:lang w:eastAsia="zh-CN"/>
              </w:rPr>
            </w:pPr>
            <w:r>
              <w:rPr>
                <w:rFonts w:hint="eastAsia"/>
                <w:bCs/>
                <w:color w:val="08090C"/>
                <w:sz w:val="20"/>
                <w:szCs w:val="20"/>
                <w:lang w:eastAsia="zh-CN"/>
              </w:rPr>
              <w:t>生均占地面积</w:t>
            </w:r>
          </w:p>
        </w:tc>
        <w:tc>
          <w:tcPr>
            <w:tcW w:w="923" w:type="pct"/>
            <w:shd w:val="clear" w:color="auto" w:fill="DBE3F4" w:themeFill="accent1" w:themeFillTint="32"/>
            <w:vAlign w:val="center"/>
          </w:tcPr>
          <w:p w14:paraId="5B2A267C">
            <w:pPr>
              <w:jc w:val="center"/>
              <w:rPr>
                <w:bCs/>
                <w:color w:val="08090C"/>
                <w:sz w:val="20"/>
                <w:szCs w:val="20"/>
                <w:lang w:eastAsia="zh-CN"/>
              </w:rPr>
            </w:pPr>
            <w:r>
              <w:rPr>
                <w:rFonts w:hint="eastAsia"/>
                <w:bCs/>
                <w:color w:val="08090C"/>
                <w:sz w:val="20"/>
                <w:szCs w:val="20"/>
                <w:lang w:eastAsia="zh-CN"/>
              </w:rPr>
              <w:t>校舍建筑总面积</w:t>
            </w:r>
          </w:p>
        </w:tc>
        <w:tc>
          <w:tcPr>
            <w:tcW w:w="1017" w:type="pct"/>
            <w:shd w:val="clear" w:color="auto" w:fill="DBE3F4" w:themeFill="accent1" w:themeFillTint="32"/>
            <w:vAlign w:val="center"/>
          </w:tcPr>
          <w:p w14:paraId="7B1348A5">
            <w:pPr>
              <w:jc w:val="center"/>
              <w:rPr>
                <w:bCs/>
                <w:color w:val="08090C"/>
                <w:sz w:val="20"/>
                <w:szCs w:val="20"/>
                <w:lang w:eastAsia="zh-CN"/>
              </w:rPr>
            </w:pPr>
            <w:r>
              <w:rPr>
                <w:rFonts w:hint="eastAsia"/>
                <w:bCs/>
                <w:color w:val="08090C"/>
                <w:sz w:val="20"/>
                <w:szCs w:val="20"/>
                <w:lang w:eastAsia="zh-CN"/>
              </w:rPr>
              <w:t>生均校舍建筑面积</w:t>
            </w:r>
          </w:p>
        </w:tc>
      </w:tr>
      <w:tr w14:paraId="7FD1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jc w:val="center"/>
        </w:trPr>
        <w:tc>
          <w:tcPr>
            <w:tcW w:w="1483" w:type="pct"/>
            <w:shd w:val="clear" w:color="auto" w:fill="FFFFFF"/>
            <w:vAlign w:val="center"/>
          </w:tcPr>
          <w:p w14:paraId="296EE304">
            <w:pPr>
              <w:jc w:val="center"/>
              <w:rPr>
                <w:bCs/>
                <w:sz w:val="20"/>
                <w:szCs w:val="20"/>
                <w:lang w:eastAsia="zh-CN"/>
              </w:rPr>
            </w:pPr>
            <w:r>
              <w:rPr>
                <w:rFonts w:hint="eastAsia"/>
                <w:bCs/>
                <w:sz w:val="20"/>
                <w:szCs w:val="20"/>
                <w:lang w:eastAsia="zh-CN"/>
              </w:rPr>
              <w:t>重庆市九龙坡职业教育中心</w:t>
            </w:r>
          </w:p>
        </w:tc>
        <w:tc>
          <w:tcPr>
            <w:tcW w:w="800" w:type="pct"/>
            <w:shd w:val="clear" w:color="auto" w:fill="FFFFFF"/>
            <w:vAlign w:val="center"/>
          </w:tcPr>
          <w:p w14:paraId="1E07D3BE">
            <w:pPr>
              <w:jc w:val="center"/>
              <w:rPr>
                <w:bCs/>
                <w:sz w:val="20"/>
                <w:szCs w:val="20"/>
                <w:lang w:eastAsia="zh-CN"/>
              </w:rPr>
            </w:pPr>
            <w:r>
              <w:rPr>
                <w:rFonts w:hint="eastAsia"/>
                <w:bCs/>
                <w:sz w:val="20"/>
                <w:szCs w:val="20"/>
                <w:lang w:eastAsia="zh-CN"/>
              </w:rPr>
              <w:t>227238.2</w:t>
            </w:r>
          </w:p>
        </w:tc>
        <w:tc>
          <w:tcPr>
            <w:tcW w:w="773" w:type="pct"/>
            <w:shd w:val="clear" w:color="auto" w:fill="FFFFFF"/>
            <w:vAlign w:val="center"/>
          </w:tcPr>
          <w:p w14:paraId="2D52D7D9">
            <w:pPr>
              <w:jc w:val="center"/>
              <w:rPr>
                <w:bCs/>
                <w:sz w:val="20"/>
                <w:szCs w:val="20"/>
                <w:lang w:eastAsia="zh-CN"/>
              </w:rPr>
            </w:pPr>
            <w:r>
              <w:rPr>
                <w:rFonts w:hint="eastAsia"/>
                <w:bCs/>
                <w:sz w:val="20"/>
                <w:szCs w:val="20"/>
                <w:lang w:eastAsia="zh-CN"/>
              </w:rPr>
              <w:t>48.85</w:t>
            </w:r>
          </w:p>
        </w:tc>
        <w:tc>
          <w:tcPr>
            <w:tcW w:w="923" w:type="pct"/>
            <w:shd w:val="clear" w:color="auto" w:fill="FFFFFF"/>
            <w:vAlign w:val="center"/>
          </w:tcPr>
          <w:p w14:paraId="5E2F5FAB">
            <w:pPr>
              <w:jc w:val="center"/>
              <w:rPr>
                <w:bCs/>
                <w:sz w:val="20"/>
                <w:szCs w:val="20"/>
                <w:lang w:eastAsia="zh-CN"/>
              </w:rPr>
            </w:pPr>
            <w:r>
              <w:rPr>
                <w:rFonts w:hint="eastAsia"/>
                <w:bCs/>
                <w:sz w:val="20"/>
                <w:szCs w:val="20"/>
                <w:lang w:eastAsia="zh-CN"/>
              </w:rPr>
              <w:t>96363</w:t>
            </w:r>
          </w:p>
        </w:tc>
        <w:tc>
          <w:tcPr>
            <w:tcW w:w="1017" w:type="pct"/>
            <w:shd w:val="clear" w:color="auto" w:fill="FFFFFF"/>
            <w:vAlign w:val="center"/>
          </w:tcPr>
          <w:p w14:paraId="5A761A08">
            <w:pPr>
              <w:jc w:val="center"/>
              <w:rPr>
                <w:bCs/>
                <w:sz w:val="20"/>
                <w:szCs w:val="20"/>
                <w:lang w:eastAsia="zh-CN"/>
              </w:rPr>
            </w:pPr>
            <w:r>
              <w:rPr>
                <w:rFonts w:hint="eastAsia"/>
                <w:bCs/>
                <w:sz w:val="20"/>
                <w:szCs w:val="20"/>
                <w:lang w:eastAsia="zh-CN"/>
              </w:rPr>
              <w:t>20.04</w:t>
            </w:r>
          </w:p>
        </w:tc>
      </w:tr>
      <w:tr w14:paraId="5A10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483" w:type="pct"/>
            <w:shd w:val="clear" w:color="auto" w:fill="FFFFFF"/>
            <w:vAlign w:val="center"/>
          </w:tcPr>
          <w:p w14:paraId="247C459A">
            <w:pPr>
              <w:jc w:val="center"/>
              <w:rPr>
                <w:bCs/>
                <w:sz w:val="20"/>
                <w:szCs w:val="20"/>
                <w:lang w:eastAsia="zh-CN"/>
              </w:rPr>
            </w:pPr>
            <w:r>
              <w:rPr>
                <w:rFonts w:hint="eastAsia"/>
                <w:bCs/>
                <w:sz w:val="20"/>
                <w:szCs w:val="20"/>
                <w:lang w:eastAsia="zh-CN"/>
              </w:rPr>
              <w:t>重庆市工艺美术学校</w:t>
            </w:r>
          </w:p>
        </w:tc>
        <w:tc>
          <w:tcPr>
            <w:tcW w:w="800" w:type="pct"/>
            <w:shd w:val="clear" w:color="auto" w:fill="FFFFFF"/>
            <w:vAlign w:val="center"/>
          </w:tcPr>
          <w:p w14:paraId="4E86EB27">
            <w:pPr>
              <w:jc w:val="center"/>
              <w:rPr>
                <w:bCs/>
                <w:sz w:val="20"/>
                <w:szCs w:val="20"/>
                <w:lang w:eastAsia="zh-CN"/>
              </w:rPr>
            </w:pPr>
            <w:r>
              <w:rPr>
                <w:rFonts w:hint="eastAsia"/>
                <w:bCs/>
                <w:sz w:val="20"/>
                <w:szCs w:val="20"/>
                <w:lang w:eastAsia="zh-CN"/>
              </w:rPr>
              <w:t>70258.5</w:t>
            </w:r>
          </w:p>
        </w:tc>
        <w:tc>
          <w:tcPr>
            <w:tcW w:w="773" w:type="pct"/>
            <w:shd w:val="clear" w:color="auto" w:fill="FFFFFF"/>
            <w:vAlign w:val="center"/>
          </w:tcPr>
          <w:p w14:paraId="28F81894">
            <w:pPr>
              <w:jc w:val="center"/>
              <w:rPr>
                <w:bCs/>
                <w:sz w:val="20"/>
                <w:szCs w:val="20"/>
                <w:lang w:eastAsia="zh-CN"/>
              </w:rPr>
            </w:pPr>
            <w:r>
              <w:rPr>
                <w:rFonts w:hint="eastAsia"/>
                <w:bCs/>
                <w:sz w:val="20"/>
                <w:szCs w:val="20"/>
                <w:lang w:eastAsia="zh-CN"/>
              </w:rPr>
              <w:t>33.05</w:t>
            </w:r>
          </w:p>
        </w:tc>
        <w:tc>
          <w:tcPr>
            <w:tcW w:w="923" w:type="pct"/>
            <w:shd w:val="clear" w:color="auto" w:fill="FFFFFF"/>
            <w:vAlign w:val="center"/>
          </w:tcPr>
          <w:p w14:paraId="50D39E56">
            <w:pPr>
              <w:jc w:val="center"/>
              <w:rPr>
                <w:bCs/>
                <w:sz w:val="20"/>
                <w:szCs w:val="20"/>
                <w:lang w:eastAsia="zh-CN"/>
              </w:rPr>
            </w:pPr>
            <w:r>
              <w:rPr>
                <w:rFonts w:hint="eastAsia"/>
                <w:bCs/>
                <w:sz w:val="20"/>
                <w:szCs w:val="20"/>
                <w:lang w:eastAsia="zh-CN"/>
              </w:rPr>
              <w:t>75049.74</w:t>
            </w:r>
          </w:p>
        </w:tc>
        <w:tc>
          <w:tcPr>
            <w:tcW w:w="1017" w:type="pct"/>
            <w:shd w:val="clear" w:color="auto" w:fill="FFFFFF"/>
            <w:vAlign w:val="center"/>
          </w:tcPr>
          <w:p w14:paraId="616E2866">
            <w:pPr>
              <w:jc w:val="center"/>
              <w:rPr>
                <w:bCs/>
                <w:sz w:val="20"/>
                <w:szCs w:val="20"/>
                <w:lang w:eastAsia="zh-CN"/>
              </w:rPr>
            </w:pPr>
            <w:r>
              <w:rPr>
                <w:rFonts w:hint="eastAsia"/>
                <w:bCs/>
                <w:sz w:val="20"/>
                <w:szCs w:val="20"/>
                <w:lang w:eastAsia="zh-CN"/>
              </w:rPr>
              <w:t>35.30</w:t>
            </w:r>
          </w:p>
        </w:tc>
      </w:tr>
      <w:tr w14:paraId="0DA5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483" w:type="pct"/>
            <w:shd w:val="clear" w:color="auto" w:fill="FFFFFF"/>
            <w:vAlign w:val="center"/>
          </w:tcPr>
          <w:p w14:paraId="5066F799">
            <w:pPr>
              <w:jc w:val="center"/>
              <w:rPr>
                <w:bCs/>
                <w:sz w:val="20"/>
                <w:szCs w:val="20"/>
                <w:lang w:eastAsia="zh-CN"/>
              </w:rPr>
            </w:pPr>
            <w:r>
              <w:rPr>
                <w:rFonts w:hint="eastAsia"/>
                <w:bCs/>
                <w:sz w:val="20"/>
                <w:szCs w:val="20"/>
                <w:lang w:eastAsia="zh-CN"/>
              </w:rPr>
              <w:t>重庆舞蹈学校</w:t>
            </w:r>
          </w:p>
        </w:tc>
        <w:tc>
          <w:tcPr>
            <w:tcW w:w="800" w:type="pct"/>
            <w:shd w:val="clear" w:color="auto" w:fill="FFFFFF"/>
            <w:vAlign w:val="center"/>
          </w:tcPr>
          <w:p w14:paraId="19359169">
            <w:pPr>
              <w:jc w:val="center"/>
              <w:rPr>
                <w:bCs/>
                <w:sz w:val="20"/>
                <w:szCs w:val="20"/>
                <w:lang w:eastAsia="zh-CN"/>
              </w:rPr>
            </w:pPr>
            <w:r>
              <w:rPr>
                <w:rFonts w:hint="eastAsia"/>
                <w:bCs/>
                <w:sz w:val="20"/>
                <w:szCs w:val="20"/>
                <w:lang w:eastAsia="zh-CN"/>
              </w:rPr>
              <w:t>27066</w:t>
            </w:r>
          </w:p>
        </w:tc>
        <w:tc>
          <w:tcPr>
            <w:tcW w:w="773" w:type="pct"/>
            <w:shd w:val="clear" w:color="auto" w:fill="FFFFFF"/>
            <w:vAlign w:val="center"/>
          </w:tcPr>
          <w:p w14:paraId="3718210B">
            <w:pPr>
              <w:jc w:val="center"/>
              <w:rPr>
                <w:bCs/>
                <w:sz w:val="20"/>
                <w:szCs w:val="20"/>
                <w:lang w:eastAsia="zh-CN"/>
              </w:rPr>
            </w:pPr>
            <w:r>
              <w:rPr>
                <w:rFonts w:hint="eastAsia"/>
                <w:bCs/>
                <w:sz w:val="20"/>
                <w:szCs w:val="20"/>
                <w:lang w:eastAsia="zh-CN"/>
              </w:rPr>
              <w:t>25.95</w:t>
            </w:r>
          </w:p>
        </w:tc>
        <w:tc>
          <w:tcPr>
            <w:tcW w:w="923" w:type="pct"/>
            <w:shd w:val="clear" w:color="auto" w:fill="FFFFFF"/>
            <w:vAlign w:val="center"/>
          </w:tcPr>
          <w:p w14:paraId="33B869CE">
            <w:pPr>
              <w:jc w:val="center"/>
              <w:rPr>
                <w:bCs/>
                <w:sz w:val="20"/>
                <w:szCs w:val="20"/>
                <w:lang w:eastAsia="zh-CN"/>
              </w:rPr>
            </w:pPr>
            <w:r>
              <w:rPr>
                <w:rFonts w:hint="eastAsia"/>
                <w:bCs/>
                <w:sz w:val="20"/>
                <w:szCs w:val="20"/>
                <w:lang w:eastAsia="zh-CN"/>
              </w:rPr>
              <w:t>24541</w:t>
            </w:r>
          </w:p>
        </w:tc>
        <w:tc>
          <w:tcPr>
            <w:tcW w:w="1017" w:type="pct"/>
            <w:shd w:val="clear" w:color="auto" w:fill="FFFFFF"/>
            <w:vAlign w:val="center"/>
          </w:tcPr>
          <w:p w14:paraId="44BFD043">
            <w:pPr>
              <w:jc w:val="center"/>
              <w:rPr>
                <w:bCs/>
                <w:sz w:val="20"/>
                <w:szCs w:val="20"/>
                <w:lang w:eastAsia="zh-CN"/>
              </w:rPr>
            </w:pPr>
            <w:r>
              <w:rPr>
                <w:rFonts w:hint="eastAsia"/>
                <w:bCs/>
                <w:sz w:val="20"/>
                <w:szCs w:val="20"/>
                <w:lang w:eastAsia="zh-CN"/>
              </w:rPr>
              <w:t>23.53</w:t>
            </w:r>
          </w:p>
        </w:tc>
      </w:tr>
      <w:tr w14:paraId="429F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483" w:type="pct"/>
            <w:shd w:val="clear" w:color="auto" w:fill="FFFFFF"/>
            <w:vAlign w:val="center"/>
          </w:tcPr>
          <w:p w14:paraId="20F94848">
            <w:pPr>
              <w:jc w:val="center"/>
              <w:rPr>
                <w:bCs/>
                <w:sz w:val="20"/>
                <w:szCs w:val="20"/>
                <w:lang w:eastAsia="zh-CN"/>
              </w:rPr>
            </w:pPr>
            <w:r>
              <w:rPr>
                <w:rFonts w:hint="eastAsia"/>
                <w:bCs/>
                <w:sz w:val="20"/>
                <w:szCs w:val="20"/>
                <w:lang w:eastAsia="zh-CN"/>
              </w:rPr>
              <w:t>重庆建筑高级技工学校</w:t>
            </w:r>
          </w:p>
        </w:tc>
        <w:tc>
          <w:tcPr>
            <w:tcW w:w="800" w:type="pct"/>
            <w:shd w:val="clear" w:color="auto" w:fill="FFFFFF"/>
            <w:vAlign w:val="center"/>
          </w:tcPr>
          <w:p w14:paraId="1656A3B0">
            <w:pPr>
              <w:jc w:val="center"/>
              <w:rPr>
                <w:bCs/>
                <w:sz w:val="20"/>
                <w:szCs w:val="20"/>
                <w:lang w:eastAsia="zh-CN"/>
              </w:rPr>
            </w:pPr>
            <w:r>
              <w:rPr>
                <w:rFonts w:hint="eastAsia"/>
                <w:bCs/>
                <w:sz w:val="20"/>
                <w:szCs w:val="20"/>
                <w:lang w:eastAsia="zh-CN"/>
              </w:rPr>
              <w:t>106106.44</w:t>
            </w:r>
          </w:p>
        </w:tc>
        <w:tc>
          <w:tcPr>
            <w:tcW w:w="773" w:type="pct"/>
            <w:shd w:val="clear" w:color="auto" w:fill="FFFFFF"/>
            <w:vAlign w:val="center"/>
          </w:tcPr>
          <w:p w14:paraId="14D24CE4">
            <w:pPr>
              <w:jc w:val="center"/>
              <w:rPr>
                <w:bCs/>
                <w:sz w:val="20"/>
                <w:szCs w:val="20"/>
                <w:lang w:eastAsia="zh-CN"/>
              </w:rPr>
            </w:pPr>
            <w:r>
              <w:rPr>
                <w:rFonts w:hint="eastAsia"/>
                <w:bCs/>
                <w:sz w:val="20"/>
                <w:szCs w:val="20"/>
                <w:lang w:eastAsia="zh-CN"/>
              </w:rPr>
              <w:t>174.8</w:t>
            </w:r>
          </w:p>
        </w:tc>
        <w:tc>
          <w:tcPr>
            <w:tcW w:w="923" w:type="pct"/>
            <w:shd w:val="clear" w:color="auto" w:fill="FFFFFF"/>
            <w:vAlign w:val="center"/>
          </w:tcPr>
          <w:p w14:paraId="62DC71E9">
            <w:pPr>
              <w:jc w:val="center"/>
              <w:rPr>
                <w:bCs/>
                <w:sz w:val="20"/>
                <w:szCs w:val="20"/>
                <w:lang w:eastAsia="zh-CN"/>
              </w:rPr>
            </w:pPr>
            <w:r>
              <w:rPr>
                <w:rFonts w:hint="eastAsia"/>
                <w:bCs/>
                <w:sz w:val="20"/>
                <w:szCs w:val="20"/>
                <w:lang w:eastAsia="zh-CN"/>
              </w:rPr>
              <w:t>83709.48</w:t>
            </w:r>
          </w:p>
        </w:tc>
        <w:tc>
          <w:tcPr>
            <w:tcW w:w="1017" w:type="pct"/>
            <w:shd w:val="clear" w:color="auto" w:fill="FFFFFF"/>
            <w:vAlign w:val="center"/>
          </w:tcPr>
          <w:p w14:paraId="3E0AE27E">
            <w:pPr>
              <w:jc w:val="center"/>
              <w:rPr>
                <w:bCs/>
                <w:sz w:val="20"/>
                <w:szCs w:val="20"/>
                <w:lang w:eastAsia="zh-CN"/>
              </w:rPr>
            </w:pPr>
            <w:r>
              <w:rPr>
                <w:rFonts w:hint="eastAsia"/>
                <w:bCs/>
                <w:sz w:val="20"/>
                <w:szCs w:val="20"/>
                <w:lang w:eastAsia="zh-CN"/>
              </w:rPr>
              <w:t>137.9</w:t>
            </w:r>
          </w:p>
        </w:tc>
      </w:tr>
      <w:tr w14:paraId="705E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483" w:type="pct"/>
            <w:shd w:val="clear" w:color="auto" w:fill="FFFFFF"/>
            <w:vAlign w:val="center"/>
          </w:tcPr>
          <w:p w14:paraId="08EF786B">
            <w:pPr>
              <w:jc w:val="center"/>
              <w:rPr>
                <w:bCs/>
                <w:sz w:val="20"/>
                <w:szCs w:val="20"/>
                <w:lang w:eastAsia="zh-CN"/>
              </w:rPr>
            </w:pPr>
            <w:r>
              <w:rPr>
                <w:rFonts w:hint="eastAsia"/>
                <w:bCs/>
                <w:sz w:val="20"/>
                <w:szCs w:val="20"/>
                <w:lang w:eastAsia="zh-CN"/>
              </w:rPr>
              <w:t>重庆市聚英技工学校</w:t>
            </w:r>
          </w:p>
        </w:tc>
        <w:tc>
          <w:tcPr>
            <w:tcW w:w="800" w:type="pct"/>
            <w:shd w:val="clear" w:color="auto" w:fill="FFFFFF"/>
            <w:vAlign w:val="center"/>
          </w:tcPr>
          <w:p w14:paraId="65EB510C">
            <w:pPr>
              <w:jc w:val="center"/>
              <w:rPr>
                <w:bCs/>
                <w:sz w:val="20"/>
                <w:szCs w:val="20"/>
                <w:lang w:eastAsia="zh-CN"/>
              </w:rPr>
            </w:pPr>
            <w:r>
              <w:rPr>
                <w:rFonts w:hint="eastAsia"/>
                <w:bCs/>
                <w:sz w:val="20"/>
                <w:szCs w:val="20"/>
                <w:lang w:eastAsia="zh-CN"/>
              </w:rPr>
              <w:t>68478</w:t>
            </w:r>
          </w:p>
        </w:tc>
        <w:tc>
          <w:tcPr>
            <w:tcW w:w="773" w:type="pct"/>
            <w:shd w:val="clear" w:color="auto" w:fill="FFFFFF"/>
            <w:vAlign w:val="center"/>
          </w:tcPr>
          <w:p w14:paraId="0F9131B3">
            <w:pPr>
              <w:jc w:val="center"/>
              <w:rPr>
                <w:bCs/>
                <w:sz w:val="20"/>
                <w:szCs w:val="20"/>
                <w:lang w:eastAsia="zh-CN"/>
              </w:rPr>
            </w:pPr>
            <w:r>
              <w:rPr>
                <w:rFonts w:hint="eastAsia"/>
                <w:bCs/>
                <w:sz w:val="20"/>
                <w:szCs w:val="20"/>
                <w:lang w:eastAsia="zh-CN"/>
              </w:rPr>
              <w:t>91</w:t>
            </w:r>
          </w:p>
        </w:tc>
        <w:tc>
          <w:tcPr>
            <w:tcW w:w="923" w:type="pct"/>
            <w:shd w:val="clear" w:color="auto" w:fill="FFFFFF"/>
            <w:vAlign w:val="center"/>
          </w:tcPr>
          <w:p w14:paraId="502C4890">
            <w:pPr>
              <w:jc w:val="center"/>
              <w:rPr>
                <w:bCs/>
                <w:sz w:val="20"/>
                <w:szCs w:val="20"/>
                <w:lang w:eastAsia="zh-CN"/>
              </w:rPr>
            </w:pPr>
            <w:r>
              <w:rPr>
                <w:rFonts w:hint="eastAsia"/>
                <w:bCs/>
                <w:sz w:val="20"/>
                <w:szCs w:val="20"/>
                <w:lang w:eastAsia="zh-CN"/>
              </w:rPr>
              <w:t>56390</w:t>
            </w:r>
          </w:p>
        </w:tc>
        <w:tc>
          <w:tcPr>
            <w:tcW w:w="1017" w:type="pct"/>
            <w:shd w:val="clear" w:color="auto" w:fill="FFFFFF"/>
            <w:vAlign w:val="center"/>
          </w:tcPr>
          <w:p w14:paraId="4DE8A06B">
            <w:pPr>
              <w:jc w:val="center"/>
              <w:rPr>
                <w:bCs/>
                <w:sz w:val="20"/>
                <w:szCs w:val="20"/>
                <w:lang w:eastAsia="zh-CN"/>
              </w:rPr>
            </w:pPr>
            <w:r>
              <w:rPr>
                <w:rFonts w:hint="eastAsia"/>
                <w:bCs/>
                <w:sz w:val="20"/>
                <w:szCs w:val="20"/>
                <w:lang w:eastAsia="zh-CN"/>
              </w:rPr>
              <w:t>75</w:t>
            </w:r>
          </w:p>
        </w:tc>
      </w:tr>
      <w:tr w14:paraId="6C0C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483" w:type="pct"/>
            <w:shd w:val="clear" w:color="auto" w:fill="FFFFFF"/>
            <w:vAlign w:val="center"/>
          </w:tcPr>
          <w:p w14:paraId="0614E785">
            <w:pPr>
              <w:jc w:val="center"/>
              <w:rPr>
                <w:bCs/>
                <w:sz w:val="20"/>
                <w:szCs w:val="20"/>
                <w:lang w:eastAsia="zh-CN"/>
              </w:rPr>
            </w:pPr>
            <w:r>
              <w:rPr>
                <w:rFonts w:hint="eastAsia"/>
                <w:bCs/>
                <w:sz w:val="20"/>
                <w:szCs w:val="20"/>
                <w:lang w:eastAsia="zh-CN"/>
              </w:rPr>
              <w:t>重庆文理技工学校</w:t>
            </w:r>
          </w:p>
        </w:tc>
        <w:tc>
          <w:tcPr>
            <w:tcW w:w="800" w:type="pct"/>
            <w:shd w:val="clear" w:color="auto" w:fill="FFFFFF"/>
            <w:vAlign w:val="center"/>
          </w:tcPr>
          <w:p w14:paraId="6B028E4A">
            <w:pPr>
              <w:jc w:val="center"/>
              <w:rPr>
                <w:bCs/>
                <w:sz w:val="20"/>
                <w:szCs w:val="20"/>
                <w:lang w:eastAsia="zh-CN"/>
              </w:rPr>
            </w:pPr>
            <w:r>
              <w:rPr>
                <w:rFonts w:hint="eastAsia"/>
                <w:bCs/>
                <w:sz w:val="20"/>
                <w:szCs w:val="20"/>
                <w:lang w:eastAsia="zh-CN"/>
              </w:rPr>
              <w:t>30900</w:t>
            </w:r>
          </w:p>
        </w:tc>
        <w:tc>
          <w:tcPr>
            <w:tcW w:w="773" w:type="pct"/>
            <w:shd w:val="clear" w:color="auto" w:fill="FFFFFF"/>
            <w:vAlign w:val="center"/>
          </w:tcPr>
          <w:p w14:paraId="5C1996D4">
            <w:pPr>
              <w:jc w:val="center"/>
              <w:rPr>
                <w:bCs/>
                <w:sz w:val="20"/>
                <w:szCs w:val="20"/>
                <w:lang w:eastAsia="zh-CN"/>
              </w:rPr>
            </w:pPr>
            <w:r>
              <w:rPr>
                <w:rFonts w:hint="eastAsia"/>
                <w:bCs/>
                <w:sz w:val="20"/>
                <w:szCs w:val="20"/>
                <w:lang w:eastAsia="zh-CN"/>
              </w:rPr>
              <w:t>56.07</w:t>
            </w:r>
          </w:p>
        </w:tc>
        <w:tc>
          <w:tcPr>
            <w:tcW w:w="923" w:type="pct"/>
            <w:shd w:val="clear" w:color="auto" w:fill="FFFFFF"/>
            <w:vAlign w:val="center"/>
          </w:tcPr>
          <w:p w14:paraId="5CBC3D39">
            <w:pPr>
              <w:jc w:val="center"/>
              <w:rPr>
                <w:bCs/>
                <w:sz w:val="20"/>
                <w:szCs w:val="20"/>
                <w:lang w:eastAsia="zh-CN"/>
              </w:rPr>
            </w:pPr>
            <w:r>
              <w:rPr>
                <w:rFonts w:hint="eastAsia"/>
                <w:bCs/>
                <w:sz w:val="20"/>
                <w:szCs w:val="20"/>
                <w:lang w:eastAsia="zh-CN"/>
              </w:rPr>
              <w:t>24683</w:t>
            </w:r>
          </w:p>
        </w:tc>
        <w:tc>
          <w:tcPr>
            <w:tcW w:w="1017" w:type="pct"/>
            <w:shd w:val="clear" w:color="auto" w:fill="FFFFFF"/>
            <w:vAlign w:val="center"/>
          </w:tcPr>
          <w:p w14:paraId="3C85975D">
            <w:pPr>
              <w:jc w:val="center"/>
              <w:rPr>
                <w:bCs/>
                <w:sz w:val="20"/>
                <w:szCs w:val="20"/>
                <w:lang w:eastAsia="zh-CN"/>
              </w:rPr>
            </w:pPr>
            <w:r>
              <w:rPr>
                <w:rFonts w:hint="eastAsia"/>
                <w:bCs/>
                <w:sz w:val="20"/>
                <w:szCs w:val="20"/>
                <w:lang w:eastAsia="zh-CN"/>
              </w:rPr>
              <w:t>44.79</w:t>
            </w:r>
          </w:p>
        </w:tc>
      </w:tr>
      <w:tr w14:paraId="2298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1483" w:type="pct"/>
            <w:shd w:val="clear" w:color="auto" w:fill="FFFFFF"/>
            <w:vAlign w:val="center"/>
          </w:tcPr>
          <w:p w14:paraId="39AD3B79">
            <w:pPr>
              <w:jc w:val="center"/>
              <w:rPr>
                <w:bCs/>
                <w:sz w:val="20"/>
                <w:szCs w:val="20"/>
                <w:lang w:eastAsia="zh-CN"/>
              </w:rPr>
            </w:pPr>
            <w:r>
              <w:rPr>
                <w:rFonts w:hint="eastAsia"/>
                <w:bCs/>
                <w:sz w:val="20"/>
                <w:szCs w:val="20"/>
                <w:lang w:eastAsia="zh-CN"/>
              </w:rPr>
              <w:t>合计</w:t>
            </w:r>
          </w:p>
        </w:tc>
        <w:tc>
          <w:tcPr>
            <w:tcW w:w="800" w:type="pct"/>
            <w:shd w:val="clear" w:color="auto" w:fill="FFFFFF"/>
            <w:vAlign w:val="center"/>
          </w:tcPr>
          <w:p w14:paraId="45CF69E6">
            <w:pPr>
              <w:jc w:val="center"/>
              <w:rPr>
                <w:bCs/>
                <w:sz w:val="20"/>
                <w:szCs w:val="20"/>
                <w:lang w:eastAsia="zh-CN"/>
              </w:rPr>
            </w:pPr>
            <w:r>
              <w:rPr>
                <w:rFonts w:hint="eastAsia"/>
                <w:bCs/>
                <w:sz w:val="20"/>
                <w:szCs w:val="20"/>
                <w:lang w:eastAsia="zh-CN"/>
              </w:rPr>
              <w:t>530047.14</w:t>
            </w:r>
          </w:p>
        </w:tc>
        <w:tc>
          <w:tcPr>
            <w:tcW w:w="773" w:type="pct"/>
            <w:shd w:val="clear" w:color="auto" w:fill="FFFFFF"/>
            <w:vAlign w:val="center"/>
          </w:tcPr>
          <w:p w14:paraId="411E6755">
            <w:pPr>
              <w:jc w:val="center"/>
              <w:rPr>
                <w:bCs/>
                <w:sz w:val="20"/>
                <w:szCs w:val="20"/>
                <w:lang w:eastAsia="zh-CN"/>
              </w:rPr>
            </w:pPr>
            <w:r>
              <w:rPr>
                <w:rFonts w:hint="eastAsia"/>
                <w:bCs/>
                <w:sz w:val="20"/>
                <w:szCs w:val="20"/>
                <w:lang w:eastAsia="zh-CN"/>
              </w:rPr>
              <w:t>58.51</w:t>
            </w:r>
          </w:p>
        </w:tc>
        <w:tc>
          <w:tcPr>
            <w:tcW w:w="923" w:type="pct"/>
            <w:shd w:val="clear" w:color="auto" w:fill="FFFFFF"/>
            <w:vAlign w:val="center"/>
          </w:tcPr>
          <w:p w14:paraId="466F0C5C">
            <w:pPr>
              <w:jc w:val="center"/>
              <w:rPr>
                <w:bCs/>
                <w:sz w:val="20"/>
                <w:szCs w:val="20"/>
                <w:lang w:eastAsia="zh-CN"/>
              </w:rPr>
            </w:pPr>
            <w:r>
              <w:rPr>
                <w:rFonts w:hint="eastAsia"/>
                <w:bCs/>
                <w:sz w:val="20"/>
                <w:szCs w:val="20"/>
                <w:lang w:eastAsia="zh-CN"/>
              </w:rPr>
              <w:t>360736.22</w:t>
            </w:r>
          </w:p>
        </w:tc>
        <w:tc>
          <w:tcPr>
            <w:tcW w:w="1017" w:type="pct"/>
            <w:shd w:val="clear" w:color="auto" w:fill="FFFFFF"/>
            <w:vAlign w:val="center"/>
          </w:tcPr>
          <w:p w14:paraId="2D39EF27">
            <w:pPr>
              <w:jc w:val="center"/>
              <w:rPr>
                <w:bCs/>
                <w:sz w:val="20"/>
                <w:szCs w:val="20"/>
                <w:lang w:eastAsia="zh-CN"/>
              </w:rPr>
            </w:pPr>
            <w:r>
              <w:rPr>
                <w:rFonts w:hint="eastAsia"/>
                <w:bCs/>
                <w:sz w:val="20"/>
                <w:szCs w:val="20"/>
                <w:lang w:eastAsia="zh-CN"/>
              </w:rPr>
              <w:t>39.82</w:t>
            </w:r>
          </w:p>
        </w:tc>
      </w:tr>
    </w:tbl>
    <w:p w14:paraId="4EAC80FC">
      <w:pPr>
        <w:pStyle w:val="7"/>
      </w:pPr>
      <w:bookmarkStart w:id="8" w:name="bookmark214"/>
      <w:bookmarkEnd w:id="8"/>
      <w:r>
        <w:t>表</w:t>
      </w:r>
      <w:r>
        <w:fldChar w:fldCharType="begin"/>
      </w:r>
      <w:r>
        <w:instrText xml:space="preserve"> SEQ 表 \* ARABIC </w:instrText>
      </w:r>
      <w:r>
        <w:fldChar w:fldCharType="separate"/>
      </w:r>
      <w:r>
        <w:t>3</w:t>
      </w:r>
      <w:r>
        <w:fldChar w:fldCharType="end"/>
      </w:r>
      <w:bookmarkStart w:id="9" w:name="_Toc31569"/>
      <w:r>
        <w:rPr>
          <w:rFonts w:hint="eastAsia"/>
        </w:rPr>
        <w:t xml:space="preserve">  学校仪器设备情况一览表（单位：万元）</w:t>
      </w:r>
      <w:bookmarkEnd w:id="9"/>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68"/>
        <w:gridCol w:w="2053"/>
        <w:gridCol w:w="2390"/>
      </w:tblGrid>
      <w:tr w14:paraId="5945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blHeader/>
          <w:jc w:val="center"/>
        </w:trPr>
        <w:tc>
          <w:tcPr>
            <w:tcW w:w="2389" w:type="pct"/>
            <w:shd w:val="clear" w:color="auto" w:fill="DBE3F4" w:themeFill="accent1" w:themeFillTint="32"/>
            <w:vAlign w:val="center"/>
          </w:tcPr>
          <w:p w14:paraId="4ADD3450">
            <w:pPr>
              <w:jc w:val="center"/>
              <w:rPr>
                <w:bCs/>
                <w:color w:val="08090C"/>
                <w:sz w:val="20"/>
                <w:szCs w:val="20"/>
                <w:lang w:eastAsia="zh-CN"/>
              </w:rPr>
            </w:pPr>
            <w:r>
              <w:rPr>
                <w:rFonts w:hint="eastAsia"/>
                <w:bCs/>
                <w:color w:val="08090C"/>
                <w:sz w:val="20"/>
                <w:szCs w:val="20"/>
                <w:lang w:eastAsia="zh-CN"/>
              </w:rPr>
              <w:t>学校</w:t>
            </w:r>
          </w:p>
        </w:tc>
        <w:tc>
          <w:tcPr>
            <w:tcW w:w="1206" w:type="pct"/>
            <w:shd w:val="clear" w:color="auto" w:fill="DBE3F4" w:themeFill="accent1" w:themeFillTint="32"/>
            <w:vAlign w:val="center"/>
          </w:tcPr>
          <w:p w14:paraId="232CC911">
            <w:pPr>
              <w:jc w:val="center"/>
              <w:rPr>
                <w:bCs/>
                <w:color w:val="08090C"/>
                <w:sz w:val="20"/>
                <w:szCs w:val="20"/>
                <w:lang w:eastAsia="zh-CN"/>
              </w:rPr>
            </w:pPr>
            <w:r>
              <w:rPr>
                <w:rFonts w:hint="eastAsia"/>
                <w:bCs/>
                <w:color w:val="08090C"/>
                <w:sz w:val="20"/>
                <w:szCs w:val="20"/>
                <w:lang w:eastAsia="zh-CN"/>
              </w:rPr>
              <w:t>仪器设备总值</w:t>
            </w:r>
          </w:p>
        </w:tc>
        <w:tc>
          <w:tcPr>
            <w:tcW w:w="1404" w:type="pct"/>
            <w:shd w:val="clear" w:color="auto" w:fill="DBE3F4" w:themeFill="accent1" w:themeFillTint="32"/>
            <w:vAlign w:val="center"/>
          </w:tcPr>
          <w:p w14:paraId="082A4927">
            <w:pPr>
              <w:jc w:val="center"/>
              <w:rPr>
                <w:bCs/>
                <w:color w:val="08090C"/>
                <w:sz w:val="20"/>
                <w:szCs w:val="20"/>
                <w:lang w:eastAsia="zh-CN"/>
              </w:rPr>
            </w:pPr>
            <w:r>
              <w:rPr>
                <w:rFonts w:hint="eastAsia"/>
                <w:bCs/>
                <w:color w:val="08090C"/>
                <w:sz w:val="20"/>
                <w:szCs w:val="20"/>
                <w:lang w:eastAsia="zh-CN"/>
              </w:rPr>
              <w:t>生均仪器设备值</w:t>
            </w:r>
          </w:p>
        </w:tc>
      </w:tr>
      <w:tr w14:paraId="7F61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389" w:type="pct"/>
            <w:shd w:val="clear" w:color="auto" w:fill="FFFFFF"/>
            <w:vAlign w:val="center"/>
          </w:tcPr>
          <w:p w14:paraId="47CD906F">
            <w:pPr>
              <w:jc w:val="center"/>
              <w:rPr>
                <w:bCs/>
                <w:sz w:val="20"/>
                <w:szCs w:val="20"/>
                <w:lang w:eastAsia="zh-CN"/>
              </w:rPr>
            </w:pPr>
            <w:r>
              <w:rPr>
                <w:rFonts w:hint="eastAsia"/>
                <w:bCs/>
                <w:sz w:val="20"/>
                <w:szCs w:val="20"/>
                <w:lang w:eastAsia="zh-CN"/>
              </w:rPr>
              <w:t>重庆市九龙坡职业教育中心</w:t>
            </w:r>
          </w:p>
        </w:tc>
        <w:tc>
          <w:tcPr>
            <w:tcW w:w="1206" w:type="pct"/>
            <w:shd w:val="clear" w:color="auto" w:fill="FFFFFF"/>
            <w:vAlign w:val="center"/>
          </w:tcPr>
          <w:p w14:paraId="342AD707">
            <w:pPr>
              <w:jc w:val="center"/>
              <w:rPr>
                <w:bCs/>
                <w:sz w:val="20"/>
                <w:szCs w:val="20"/>
                <w:lang w:eastAsia="zh-CN"/>
              </w:rPr>
            </w:pPr>
            <w:r>
              <w:rPr>
                <w:rFonts w:hint="eastAsia"/>
                <w:bCs/>
                <w:sz w:val="20"/>
                <w:szCs w:val="20"/>
                <w:lang w:eastAsia="zh-CN"/>
              </w:rPr>
              <w:t>7758.8</w:t>
            </w:r>
          </w:p>
        </w:tc>
        <w:tc>
          <w:tcPr>
            <w:tcW w:w="1404" w:type="pct"/>
            <w:shd w:val="clear" w:color="auto" w:fill="FFFFFF"/>
            <w:vAlign w:val="center"/>
          </w:tcPr>
          <w:p w14:paraId="6A88062D">
            <w:pPr>
              <w:jc w:val="center"/>
              <w:rPr>
                <w:bCs/>
                <w:sz w:val="20"/>
                <w:szCs w:val="20"/>
                <w:lang w:eastAsia="zh-CN"/>
              </w:rPr>
            </w:pPr>
            <w:r>
              <w:rPr>
                <w:rFonts w:hint="eastAsia"/>
                <w:bCs/>
                <w:sz w:val="20"/>
                <w:szCs w:val="20"/>
                <w:lang w:eastAsia="zh-CN"/>
              </w:rPr>
              <w:t>1.61</w:t>
            </w:r>
          </w:p>
        </w:tc>
      </w:tr>
      <w:tr w14:paraId="38BC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389" w:type="pct"/>
            <w:shd w:val="clear" w:color="auto" w:fill="FFFFFF"/>
            <w:vAlign w:val="center"/>
          </w:tcPr>
          <w:p w14:paraId="675B75D2">
            <w:pPr>
              <w:jc w:val="center"/>
              <w:rPr>
                <w:bCs/>
                <w:sz w:val="20"/>
                <w:szCs w:val="20"/>
                <w:lang w:eastAsia="zh-CN"/>
              </w:rPr>
            </w:pPr>
            <w:r>
              <w:rPr>
                <w:rFonts w:hint="eastAsia"/>
                <w:bCs/>
                <w:sz w:val="20"/>
                <w:szCs w:val="20"/>
                <w:lang w:eastAsia="zh-CN"/>
              </w:rPr>
              <w:t>重庆市工艺美术学校</w:t>
            </w:r>
          </w:p>
        </w:tc>
        <w:tc>
          <w:tcPr>
            <w:tcW w:w="1206" w:type="pct"/>
            <w:shd w:val="clear" w:color="auto" w:fill="FFFFFF"/>
            <w:vAlign w:val="center"/>
          </w:tcPr>
          <w:p w14:paraId="3AC3DF91">
            <w:pPr>
              <w:jc w:val="center"/>
              <w:rPr>
                <w:bCs/>
                <w:sz w:val="20"/>
                <w:szCs w:val="20"/>
                <w:lang w:eastAsia="zh-CN"/>
              </w:rPr>
            </w:pPr>
            <w:r>
              <w:rPr>
                <w:rFonts w:hint="eastAsia"/>
                <w:bCs/>
                <w:sz w:val="20"/>
                <w:szCs w:val="20"/>
                <w:lang w:eastAsia="zh-CN"/>
              </w:rPr>
              <w:t>1585.29</w:t>
            </w:r>
          </w:p>
        </w:tc>
        <w:tc>
          <w:tcPr>
            <w:tcW w:w="1404" w:type="pct"/>
            <w:shd w:val="clear" w:color="auto" w:fill="FFFFFF"/>
            <w:vAlign w:val="center"/>
          </w:tcPr>
          <w:p w14:paraId="07649532">
            <w:pPr>
              <w:jc w:val="center"/>
              <w:rPr>
                <w:bCs/>
                <w:sz w:val="20"/>
                <w:szCs w:val="20"/>
                <w:lang w:eastAsia="zh-CN"/>
              </w:rPr>
            </w:pPr>
            <w:r>
              <w:rPr>
                <w:rFonts w:hint="eastAsia"/>
                <w:bCs/>
                <w:sz w:val="20"/>
                <w:szCs w:val="20"/>
                <w:lang w:eastAsia="zh-CN"/>
              </w:rPr>
              <w:t>0.75</w:t>
            </w:r>
          </w:p>
        </w:tc>
      </w:tr>
      <w:tr w14:paraId="5017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89" w:type="pct"/>
            <w:shd w:val="clear" w:color="auto" w:fill="FFFFFF"/>
            <w:vAlign w:val="center"/>
          </w:tcPr>
          <w:p w14:paraId="2CA124E8">
            <w:pPr>
              <w:jc w:val="center"/>
              <w:rPr>
                <w:bCs/>
                <w:sz w:val="20"/>
                <w:szCs w:val="20"/>
                <w:lang w:eastAsia="zh-CN"/>
              </w:rPr>
            </w:pPr>
            <w:r>
              <w:rPr>
                <w:rFonts w:hint="eastAsia"/>
                <w:bCs/>
                <w:sz w:val="20"/>
                <w:szCs w:val="20"/>
                <w:lang w:eastAsia="zh-CN"/>
              </w:rPr>
              <w:t>重庆舞蹈学校</w:t>
            </w:r>
          </w:p>
        </w:tc>
        <w:tc>
          <w:tcPr>
            <w:tcW w:w="1206" w:type="pct"/>
            <w:shd w:val="clear" w:color="auto" w:fill="FFFFFF"/>
            <w:vAlign w:val="center"/>
          </w:tcPr>
          <w:p w14:paraId="3D119AE5">
            <w:pPr>
              <w:jc w:val="center"/>
              <w:rPr>
                <w:bCs/>
                <w:sz w:val="20"/>
                <w:szCs w:val="20"/>
                <w:lang w:eastAsia="zh-CN"/>
              </w:rPr>
            </w:pPr>
            <w:r>
              <w:rPr>
                <w:rFonts w:hint="eastAsia"/>
                <w:bCs/>
                <w:sz w:val="20"/>
                <w:szCs w:val="20"/>
                <w:lang w:eastAsia="zh-CN"/>
              </w:rPr>
              <w:t>196</w:t>
            </w:r>
          </w:p>
        </w:tc>
        <w:tc>
          <w:tcPr>
            <w:tcW w:w="1404" w:type="pct"/>
            <w:shd w:val="clear" w:color="auto" w:fill="FFFFFF"/>
            <w:vAlign w:val="center"/>
          </w:tcPr>
          <w:p w14:paraId="67700906">
            <w:pPr>
              <w:jc w:val="center"/>
              <w:rPr>
                <w:bCs/>
                <w:sz w:val="20"/>
                <w:szCs w:val="20"/>
                <w:lang w:eastAsia="zh-CN"/>
              </w:rPr>
            </w:pPr>
            <w:r>
              <w:rPr>
                <w:rFonts w:hint="eastAsia"/>
                <w:bCs/>
                <w:sz w:val="20"/>
                <w:szCs w:val="20"/>
                <w:lang w:eastAsia="zh-CN"/>
              </w:rPr>
              <w:t>0.36</w:t>
            </w:r>
          </w:p>
        </w:tc>
      </w:tr>
      <w:tr w14:paraId="3640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89" w:type="pct"/>
            <w:shd w:val="clear" w:color="auto" w:fill="FFFFFF"/>
            <w:vAlign w:val="center"/>
          </w:tcPr>
          <w:p w14:paraId="1FD1CF5A">
            <w:pPr>
              <w:jc w:val="center"/>
              <w:rPr>
                <w:bCs/>
                <w:sz w:val="20"/>
                <w:szCs w:val="20"/>
                <w:lang w:eastAsia="zh-CN"/>
              </w:rPr>
            </w:pPr>
            <w:r>
              <w:rPr>
                <w:rFonts w:hint="eastAsia"/>
                <w:bCs/>
                <w:sz w:val="20"/>
                <w:szCs w:val="20"/>
                <w:lang w:eastAsia="zh-CN"/>
              </w:rPr>
              <w:t>重庆建筑高级技工学校</w:t>
            </w:r>
          </w:p>
        </w:tc>
        <w:tc>
          <w:tcPr>
            <w:tcW w:w="1206" w:type="pct"/>
            <w:shd w:val="clear" w:color="auto" w:fill="FFFFFF"/>
            <w:vAlign w:val="center"/>
          </w:tcPr>
          <w:p w14:paraId="4F0C669E">
            <w:pPr>
              <w:jc w:val="center"/>
              <w:rPr>
                <w:bCs/>
                <w:sz w:val="20"/>
                <w:szCs w:val="20"/>
                <w:lang w:eastAsia="zh-CN"/>
              </w:rPr>
            </w:pPr>
            <w:r>
              <w:rPr>
                <w:rFonts w:hint="eastAsia"/>
                <w:bCs/>
                <w:sz w:val="20"/>
                <w:szCs w:val="20"/>
                <w:lang w:eastAsia="zh-CN"/>
              </w:rPr>
              <w:t>5,210.52</w:t>
            </w:r>
          </w:p>
        </w:tc>
        <w:tc>
          <w:tcPr>
            <w:tcW w:w="1404" w:type="pct"/>
            <w:shd w:val="clear" w:color="auto" w:fill="FFFFFF"/>
            <w:vAlign w:val="center"/>
          </w:tcPr>
          <w:p w14:paraId="29C99AB5">
            <w:pPr>
              <w:jc w:val="center"/>
              <w:rPr>
                <w:bCs/>
                <w:sz w:val="20"/>
                <w:szCs w:val="20"/>
                <w:lang w:eastAsia="zh-CN"/>
              </w:rPr>
            </w:pPr>
            <w:r>
              <w:rPr>
                <w:rFonts w:hint="eastAsia"/>
                <w:bCs/>
                <w:sz w:val="20"/>
                <w:szCs w:val="20"/>
                <w:lang w:eastAsia="zh-CN"/>
              </w:rPr>
              <w:t>8.58</w:t>
            </w:r>
          </w:p>
        </w:tc>
      </w:tr>
      <w:tr w14:paraId="2835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89" w:type="pct"/>
            <w:shd w:val="clear" w:color="auto" w:fill="FFFFFF"/>
            <w:vAlign w:val="center"/>
          </w:tcPr>
          <w:p w14:paraId="73DFF4C9">
            <w:pPr>
              <w:jc w:val="center"/>
              <w:rPr>
                <w:bCs/>
                <w:sz w:val="20"/>
                <w:szCs w:val="20"/>
                <w:lang w:eastAsia="zh-CN"/>
              </w:rPr>
            </w:pPr>
            <w:r>
              <w:rPr>
                <w:rFonts w:hint="eastAsia"/>
                <w:bCs/>
                <w:sz w:val="20"/>
                <w:szCs w:val="20"/>
                <w:lang w:eastAsia="zh-CN"/>
              </w:rPr>
              <w:t>重庆市聚英技工学校</w:t>
            </w:r>
          </w:p>
        </w:tc>
        <w:tc>
          <w:tcPr>
            <w:tcW w:w="1206" w:type="pct"/>
            <w:shd w:val="clear" w:color="auto" w:fill="FFFFFF"/>
            <w:vAlign w:val="center"/>
          </w:tcPr>
          <w:p w14:paraId="71BEAC97">
            <w:pPr>
              <w:jc w:val="center"/>
              <w:rPr>
                <w:bCs/>
                <w:sz w:val="20"/>
                <w:szCs w:val="20"/>
                <w:lang w:eastAsia="zh-CN"/>
              </w:rPr>
            </w:pPr>
            <w:r>
              <w:rPr>
                <w:rFonts w:hint="eastAsia"/>
                <w:bCs/>
                <w:sz w:val="20"/>
                <w:szCs w:val="20"/>
                <w:lang w:eastAsia="zh-CN"/>
              </w:rPr>
              <w:t>1030.4</w:t>
            </w:r>
          </w:p>
        </w:tc>
        <w:tc>
          <w:tcPr>
            <w:tcW w:w="1404" w:type="pct"/>
            <w:shd w:val="clear" w:color="auto" w:fill="FFFFFF"/>
            <w:vAlign w:val="center"/>
          </w:tcPr>
          <w:p w14:paraId="3AF01A83">
            <w:pPr>
              <w:jc w:val="center"/>
              <w:rPr>
                <w:bCs/>
                <w:sz w:val="20"/>
                <w:szCs w:val="20"/>
                <w:lang w:eastAsia="zh-CN"/>
              </w:rPr>
            </w:pPr>
            <w:r>
              <w:rPr>
                <w:rFonts w:hint="eastAsia"/>
                <w:bCs/>
                <w:sz w:val="20"/>
                <w:szCs w:val="20"/>
                <w:lang w:eastAsia="zh-CN"/>
              </w:rPr>
              <w:t>1.37</w:t>
            </w:r>
          </w:p>
        </w:tc>
      </w:tr>
      <w:tr w14:paraId="3B3B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89" w:type="pct"/>
            <w:shd w:val="clear" w:color="auto" w:fill="FFFFFF"/>
            <w:vAlign w:val="center"/>
          </w:tcPr>
          <w:p w14:paraId="35A9403E">
            <w:pPr>
              <w:jc w:val="center"/>
              <w:rPr>
                <w:bCs/>
                <w:sz w:val="20"/>
                <w:szCs w:val="20"/>
                <w:lang w:eastAsia="zh-CN"/>
              </w:rPr>
            </w:pPr>
            <w:r>
              <w:rPr>
                <w:rFonts w:hint="eastAsia"/>
                <w:bCs/>
                <w:sz w:val="20"/>
                <w:szCs w:val="20"/>
                <w:lang w:eastAsia="zh-CN"/>
              </w:rPr>
              <w:t>重庆文理技工学校</w:t>
            </w:r>
          </w:p>
        </w:tc>
        <w:tc>
          <w:tcPr>
            <w:tcW w:w="1206" w:type="pct"/>
            <w:shd w:val="clear" w:color="auto" w:fill="FFFFFF"/>
            <w:vAlign w:val="center"/>
          </w:tcPr>
          <w:p w14:paraId="391247E4">
            <w:pPr>
              <w:jc w:val="center"/>
              <w:rPr>
                <w:bCs/>
                <w:sz w:val="20"/>
                <w:szCs w:val="20"/>
                <w:lang w:eastAsia="zh-CN"/>
              </w:rPr>
            </w:pPr>
            <w:r>
              <w:rPr>
                <w:rFonts w:hint="eastAsia"/>
                <w:bCs/>
                <w:sz w:val="20"/>
                <w:szCs w:val="20"/>
                <w:lang w:eastAsia="zh-CN"/>
              </w:rPr>
              <w:t>365</w:t>
            </w:r>
          </w:p>
        </w:tc>
        <w:tc>
          <w:tcPr>
            <w:tcW w:w="1404" w:type="pct"/>
            <w:shd w:val="clear" w:color="auto" w:fill="FFFFFF"/>
            <w:vAlign w:val="center"/>
          </w:tcPr>
          <w:p w14:paraId="0D5CC69B">
            <w:pPr>
              <w:jc w:val="center"/>
              <w:rPr>
                <w:bCs/>
                <w:sz w:val="20"/>
                <w:szCs w:val="20"/>
                <w:lang w:eastAsia="zh-CN"/>
              </w:rPr>
            </w:pPr>
            <w:r>
              <w:rPr>
                <w:rFonts w:hint="eastAsia"/>
                <w:bCs/>
                <w:sz w:val="20"/>
                <w:szCs w:val="20"/>
                <w:lang w:eastAsia="zh-CN"/>
              </w:rPr>
              <w:t>0.54</w:t>
            </w:r>
          </w:p>
        </w:tc>
      </w:tr>
      <w:tr w14:paraId="3DAE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389" w:type="pct"/>
            <w:shd w:val="clear" w:color="auto" w:fill="FFFFFF"/>
            <w:vAlign w:val="center"/>
          </w:tcPr>
          <w:p w14:paraId="0151CC5F">
            <w:pPr>
              <w:jc w:val="center"/>
              <w:rPr>
                <w:bCs/>
                <w:sz w:val="20"/>
                <w:szCs w:val="20"/>
                <w:lang w:eastAsia="zh-CN"/>
              </w:rPr>
            </w:pPr>
            <w:r>
              <w:rPr>
                <w:rFonts w:hint="eastAsia"/>
                <w:bCs/>
                <w:sz w:val="20"/>
                <w:szCs w:val="20"/>
                <w:lang w:eastAsia="zh-CN"/>
              </w:rPr>
              <w:t>合计</w:t>
            </w:r>
          </w:p>
        </w:tc>
        <w:tc>
          <w:tcPr>
            <w:tcW w:w="1206" w:type="pct"/>
            <w:shd w:val="clear" w:color="auto" w:fill="FFFFFF"/>
            <w:vAlign w:val="center"/>
          </w:tcPr>
          <w:p w14:paraId="3A19F968">
            <w:pPr>
              <w:jc w:val="center"/>
              <w:rPr>
                <w:bCs/>
                <w:sz w:val="20"/>
                <w:szCs w:val="20"/>
                <w:lang w:eastAsia="zh-CN"/>
              </w:rPr>
            </w:pPr>
            <w:r>
              <w:rPr>
                <w:rFonts w:hint="eastAsia"/>
                <w:bCs/>
                <w:sz w:val="20"/>
                <w:szCs w:val="20"/>
                <w:lang w:eastAsia="zh-CN"/>
              </w:rPr>
              <w:t>16146.01</w:t>
            </w:r>
          </w:p>
        </w:tc>
        <w:tc>
          <w:tcPr>
            <w:tcW w:w="1404" w:type="pct"/>
            <w:shd w:val="clear" w:color="auto" w:fill="FFFFFF"/>
            <w:vAlign w:val="center"/>
          </w:tcPr>
          <w:p w14:paraId="1181DAA9">
            <w:pPr>
              <w:jc w:val="center"/>
              <w:rPr>
                <w:bCs/>
                <w:sz w:val="20"/>
                <w:szCs w:val="20"/>
                <w:lang w:eastAsia="zh-CN"/>
              </w:rPr>
            </w:pPr>
            <w:r>
              <w:rPr>
                <w:rFonts w:hint="eastAsia"/>
                <w:bCs/>
                <w:sz w:val="20"/>
                <w:szCs w:val="20"/>
                <w:lang w:eastAsia="zh-CN"/>
              </w:rPr>
              <w:t>1.78</w:t>
            </w:r>
          </w:p>
        </w:tc>
      </w:tr>
    </w:tbl>
    <w:p w14:paraId="5F5E3978">
      <w:pPr>
        <w:pStyle w:val="3"/>
        <w:spacing w:before="327" w:after="327"/>
      </w:pPr>
      <w:bookmarkStart w:id="10" w:name="bookmark150"/>
      <w:bookmarkEnd w:id="10"/>
      <w:bookmarkStart w:id="11" w:name="_Toc27662"/>
      <w:r>
        <w:t>1.</w:t>
      </w:r>
      <w:r>
        <w:rPr>
          <w:rFonts w:hint="eastAsia"/>
        </w:rPr>
        <w:t xml:space="preserve">3 </w:t>
      </w:r>
      <w:r>
        <w:rPr>
          <w:rFonts w:hint="eastAsia" w:ascii="方正黑体_GBK" w:hAnsi="方正黑体_GBK" w:eastAsia="方正黑体_GBK" w:cs="方正黑体_GBK"/>
        </w:rPr>
        <w:t>专业设置</w:t>
      </w:r>
      <w:bookmarkEnd w:id="11"/>
    </w:p>
    <w:p w14:paraId="3CCF8902">
      <w:pPr>
        <w:ind w:firstLine="480" w:firstLineChars="200"/>
        <w:rPr>
          <w:lang w:eastAsia="zh-CN"/>
        </w:rPr>
      </w:pPr>
      <w:r>
        <w:rPr>
          <w:lang w:eastAsia="zh-CN"/>
        </w:rPr>
        <w:t>九龙坡区中职学校主动服务地方经济社会发展，精准对接产</w:t>
      </w:r>
      <w:r>
        <w:rPr>
          <w:rFonts w:hint="eastAsia"/>
          <w:lang w:eastAsia="zh-CN"/>
        </w:rPr>
        <w:t>业升级和技术变革需求，健全专业设置预警与专业结果动态调整机制。根据区域产业发展和学校办学实际，设置新专业，撤并淘汰供给过剩、就业率低、职业岗位消失的专业，形成紧密对接产业链、创新链的专业体系。2025年，全区中职学校共开设41个专业，涵盖装备制造类、医药卫生类、教育与体育类、新闻传播类、财经商贸类、公共管理与服务类、旅游类、文化艺术类、机械类、电子与信息类、交通运输类、土木建筑类等12个专业大类，新增</w:t>
      </w:r>
      <w:r>
        <w:rPr>
          <w:rFonts w:hint="eastAsia"/>
          <w:highlight w:val="none"/>
          <w:lang w:eastAsia="zh-CN"/>
        </w:rPr>
        <w:t>智能网联汽车技术、智慧健康养老服务、老年人服务与管理</w:t>
      </w:r>
      <w:r>
        <w:rPr>
          <w:rFonts w:hint="eastAsia"/>
          <w:lang w:eastAsia="zh-CN"/>
        </w:rPr>
        <w:t>等</w:t>
      </w:r>
      <w:r>
        <w:rPr>
          <w:rFonts w:hint="eastAsia"/>
          <w:lang w:val="en-US" w:eastAsia="zh-CN"/>
        </w:rPr>
        <w:t>3</w:t>
      </w:r>
      <w:r>
        <w:rPr>
          <w:rFonts w:hint="eastAsia"/>
          <w:lang w:eastAsia="zh-CN"/>
        </w:rPr>
        <w:t>个专业，相关学校结合学校办学实际停办幼儿保育、航空服务、休闲体育服务与管理等专业。</w:t>
      </w:r>
    </w:p>
    <w:p w14:paraId="00C7F875">
      <w:pPr>
        <w:ind w:firstLine="480" w:firstLineChars="200"/>
        <w:rPr>
          <w:lang w:eastAsia="zh-CN"/>
        </w:rPr>
      </w:pPr>
      <w:r>
        <w:rPr>
          <w:rFonts w:hint="eastAsia"/>
          <w:lang w:eastAsia="zh-CN"/>
        </w:rPr>
        <w:t>九龙坡区持续优化专业结构布局，全区中职学校专业设置各具特色。重庆市九龙坡职业教育中心</w:t>
      </w:r>
      <w:r>
        <w:rPr>
          <w:lang w:eastAsia="zh-CN"/>
        </w:rPr>
        <w:t>现有专业体系突出智能制造、现代商务、现代服务、轨道交通四大技术特色，精准对接区域智能制造产业链、电子信息产业链等七大重点产业链。</w:t>
      </w:r>
      <w:r>
        <w:rPr>
          <w:rFonts w:hint="eastAsia"/>
          <w:lang w:eastAsia="zh-CN"/>
        </w:rPr>
        <w:t>重庆市工艺美术学校</w:t>
      </w:r>
      <w:r>
        <w:rPr>
          <w:lang w:eastAsia="zh-CN"/>
        </w:rPr>
        <w:t>开设专业</w:t>
      </w:r>
      <w:r>
        <w:rPr>
          <w:rFonts w:hint="eastAsia"/>
          <w:lang w:eastAsia="zh-CN"/>
        </w:rPr>
        <w:t>精准对接</w:t>
      </w:r>
      <w:r>
        <w:rPr>
          <w:lang w:eastAsia="zh-CN"/>
        </w:rPr>
        <w:t>第三产业，其中文化艺术类专业6个，占全校专业总数的50%以上，与</w:t>
      </w:r>
      <w:r>
        <w:rPr>
          <w:rFonts w:hint="eastAsia"/>
          <w:lang w:eastAsia="zh-CN"/>
        </w:rPr>
        <w:t>“</w:t>
      </w:r>
      <w:r>
        <w:rPr>
          <w:lang w:eastAsia="zh-CN"/>
        </w:rPr>
        <w:t>设计</w:t>
      </w:r>
      <w:r>
        <w:rPr>
          <w:rFonts w:hint="eastAsia"/>
          <w:lang w:eastAsia="zh-CN"/>
        </w:rPr>
        <w:t>”“</w:t>
      </w:r>
      <w:r>
        <w:rPr>
          <w:lang w:eastAsia="zh-CN"/>
        </w:rPr>
        <w:t>艺术</w:t>
      </w:r>
      <w:r>
        <w:rPr>
          <w:rFonts w:hint="eastAsia"/>
          <w:lang w:eastAsia="zh-CN"/>
        </w:rPr>
        <w:t>”</w:t>
      </w:r>
      <w:r>
        <w:rPr>
          <w:lang w:eastAsia="zh-CN"/>
        </w:rPr>
        <w:t>相关专业达8个，占全校专业总数一半以上，形成</w:t>
      </w:r>
      <w:r>
        <w:rPr>
          <w:rFonts w:hint="eastAsia"/>
          <w:lang w:eastAsia="zh-CN"/>
        </w:rPr>
        <w:t>了</w:t>
      </w:r>
      <w:r>
        <w:rPr>
          <w:lang w:eastAsia="zh-CN"/>
        </w:rPr>
        <w:t>以</w:t>
      </w:r>
      <w:r>
        <w:rPr>
          <w:rFonts w:hint="eastAsia"/>
          <w:lang w:eastAsia="zh-CN"/>
        </w:rPr>
        <w:t>“</w:t>
      </w:r>
      <w:r>
        <w:rPr>
          <w:lang w:eastAsia="zh-CN"/>
        </w:rPr>
        <w:t>艺术设计</w:t>
      </w:r>
      <w:r>
        <w:rPr>
          <w:rFonts w:hint="eastAsia"/>
          <w:lang w:eastAsia="zh-CN"/>
        </w:rPr>
        <w:t>”</w:t>
      </w:r>
      <w:r>
        <w:rPr>
          <w:lang w:eastAsia="zh-CN"/>
        </w:rPr>
        <w:t>专业为核心和特色的专业体系。重庆建筑高级技工学校立足</w:t>
      </w:r>
      <w:r>
        <w:rPr>
          <w:rFonts w:hint="eastAsia"/>
          <w:lang w:eastAsia="zh-CN"/>
        </w:rPr>
        <w:t>“</w:t>
      </w:r>
      <w:r>
        <w:rPr>
          <w:lang w:eastAsia="zh-CN"/>
        </w:rPr>
        <w:t>建筑</w:t>
      </w:r>
      <w:r>
        <w:rPr>
          <w:rFonts w:hint="eastAsia"/>
          <w:lang w:eastAsia="zh-CN"/>
        </w:rPr>
        <w:t>”</w:t>
      </w:r>
      <w:r>
        <w:rPr>
          <w:lang w:eastAsia="zh-CN"/>
        </w:rPr>
        <w:t>办学核心，布局建筑施工、工程造价、古建筑修缮与仿建等建筑类专业，覆盖中级工至预备技师全层次培养。</w:t>
      </w:r>
    </w:p>
    <w:p w14:paraId="1293551B">
      <w:pPr>
        <w:pStyle w:val="3"/>
        <w:spacing w:before="327" w:after="327"/>
      </w:pPr>
      <w:bookmarkStart w:id="12" w:name="bookmark6"/>
      <w:bookmarkEnd w:id="12"/>
      <w:bookmarkStart w:id="13" w:name="_Toc14643"/>
      <w:r>
        <w:t>1.</w:t>
      </w:r>
      <w:r>
        <w:rPr>
          <w:rFonts w:hint="eastAsia"/>
        </w:rPr>
        <w:t xml:space="preserve">4 </w:t>
      </w:r>
      <w:r>
        <w:rPr>
          <w:rFonts w:hint="eastAsia" w:ascii="方正黑体_GBK" w:hAnsi="方正黑体_GBK" w:eastAsia="方正黑体_GBK" w:cs="方正黑体_GBK"/>
        </w:rPr>
        <w:t>师资队伍</w:t>
      </w:r>
      <w:bookmarkEnd w:id="13"/>
    </w:p>
    <w:p w14:paraId="3934B3EB">
      <w:pPr>
        <w:ind w:firstLine="480" w:firstLineChars="200"/>
        <w:rPr>
          <w:lang w:eastAsia="zh-CN"/>
        </w:rPr>
      </w:pPr>
      <w:r>
        <w:rPr>
          <w:lang w:eastAsia="zh-CN"/>
        </w:rPr>
        <w:t>2025</w:t>
      </w:r>
      <w:r>
        <w:rPr>
          <w:rFonts w:hint="eastAsia"/>
          <w:lang w:eastAsia="zh-CN"/>
        </w:rPr>
        <w:t>年，全区中职学校共有教职员工975人，其中，专任教师632人，占64.82%；兼职教师73人，占7.49%。校内专任教师中具有硕士及以上学历72人，占7.38%，具有高级职称教师170人，占17.44%；双师型教师338人，占34.67%。</w:t>
      </w:r>
    </w:p>
    <w:p w14:paraId="35E70BCF">
      <w:pPr>
        <w:pStyle w:val="7"/>
      </w:pPr>
      <w:bookmarkStart w:id="14" w:name="bookmark232"/>
      <w:bookmarkEnd w:id="14"/>
      <w:r>
        <w:t>表</w:t>
      </w:r>
      <w:r>
        <w:fldChar w:fldCharType="begin"/>
      </w:r>
      <w:r>
        <w:instrText xml:space="preserve"> SEQ 表 \* ARABIC </w:instrText>
      </w:r>
      <w:r>
        <w:fldChar w:fldCharType="separate"/>
      </w:r>
      <w:r>
        <w:t>4</w:t>
      </w:r>
      <w:r>
        <w:fldChar w:fldCharType="end"/>
      </w:r>
      <w:bookmarkStart w:id="15" w:name="_Toc8947"/>
      <w:r>
        <w:rPr>
          <w:rFonts w:hint="eastAsia"/>
        </w:rPr>
        <w:t xml:space="preserve">  近三年中职学校师资队伍基本情况一览表</w:t>
      </w:r>
      <w:bookmarkEnd w:id="15"/>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275"/>
        <w:gridCol w:w="1045"/>
        <w:gridCol w:w="1137"/>
        <w:gridCol w:w="1043"/>
        <w:gridCol w:w="1137"/>
        <w:gridCol w:w="1191"/>
        <w:gridCol w:w="1021"/>
      </w:tblGrid>
      <w:tr w14:paraId="1C4D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99" w:type="pct"/>
            <w:vMerge w:val="restart"/>
            <w:shd w:val="clear" w:color="auto" w:fill="DBE3F4" w:themeFill="accent1" w:themeFillTint="32"/>
            <w:vAlign w:val="center"/>
          </w:tcPr>
          <w:p w14:paraId="7BBCE6A7">
            <w:pPr>
              <w:jc w:val="center"/>
              <w:rPr>
                <w:color w:val="08090C"/>
                <w:sz w:val="20"/>
                <w:szCs w:val="20"/>
                <w:lang w:eastAsia="zh-CN"/>
              </w:rPr>
            </w:pPr>
            <w:r>
              <w:rPr>
                <w:rFonts w:hint="eastAsia"/>
                <w:color w:val="08090C"/>
                <w:sz w:val="20"/>
                <w:szCs w:val="20"/>
                <w:lang w:eastAsia="zh-CN"/>
              </w:rPr>
              <w:t>年度</w:t>
            </w:r>
          </w:p>
        </w:tc>
        <w:tc>
          <w:tcPr>
            <w:tcW w:w="731" w:type="pct"/>
            <w:vMerge w:val="restart"/>
            <w:shd w:val="clear" w:color="auto" w:fill="DBE3F4" w:themeFill="accent1" w:themeFillTint="32"/>
            <w:vAlign w:val="center"/>
          </w:tcPr>
          <w:p w14:paraId="18E9886F">
            <w:pPr>
              <w:jc w:val="center"/>
              <w:rPr>
                <w:color w:val="08090C"/>
                <w:sz w:val="20"/>
                <w:szCs w:val="20"/>
                <w:lang w:eastAsia="zh-CN"/>
              </w:rPr>
            </w:pPr>
            <w:r>
              <w:rPr>
                <w:rFonts w:hint="eastAsia"/>
                <w:color w:val="08090C"/>
                <w:sz w:val="20"/>
                <w:szCs w:val="20"/>
                <w:lang w:eastAsia="zh-CN"/>
              </w:rPr>
              <w:t>教职工总数</w:t>
            </w:r>
          </w:p>
        </w:tc>
        <w:tc>
          <w:tcPr>
            <w:tcW w:w="1250" w:type="pct"/>
            <w:gridSpan w:val="2"/>
            <w:shd w:val="clear" w:color="auto" w:fill="DBE3F4" w:themeFill="accent1" w:themeFillTint="32"/>
            <w:vAlign w:val="center"/>
          </w:tcPr>
          <w:p w14:paraId="5223D63A">
            <w:pPr>
              <w:jc w:val="center"/>
              <w:rPr>
                <w:color w:val="08090C"/>
                <w:sz w:val="20"/>
                <w:szCs w:val="20"/>
              </w:rPr>
            </w:pPr>
            <w:r>
              <w:rPr>
                <w:rFonts w:hint="eastAsia"/>
                <w:color w:val="08090C"/>
                <w:sz w:val="20"/>
                <w:szCs w:val="20"/>
                <w:lang w:eastAsia="zh-CN"/>
              </w:rPr>
              <w:t>专任教师</w:t>
            </w:r>
          </w:p>
        </w:tc>
        <w:tc>
          <w:tcPr>
            <w:tcW w:w="1250" w:type="pct"/>
            <w:gridSpan w:val="2"/>
            <w:shd w:val="clear" w:color="auto" w:fill="DBE3F4" w:themeFill="accent1" w:themeFillTint="32"/>
            <w:vAlign w:val="center"/>
          </w:tcPr>
          <w:p w14:paraId="43DE48FC">
            <w:pPr>
              <w:jc w:val="center"/>
              <w:rPr>
                <w:color w:val="08090C"/>
                <w:sz w:val="20"/>
                <w:szCs w:val="20"/>
                <w:lang w:eastAsia="zh-CN"/>
              </w:rPr>
            </w:pPr>
            <w:r>
              <w:rPr>
                <w:rFonts w:hint="eastAsia"/>
                <w:color w:val="08090C"/>
                <w:sz w:val="20"/>
                <w:szCs w:val="20"/>
                <w:lang w:eastAsia="zh-CN"/>
              </w:rPr>
              <w:t>兼职教师</w:t>
            </w:r>
          </w:p>
        </w:tc>
        <w:tc>
          <w:tcPr>
            <w:tcW w:w="1267" w:type="pct"/>
            <w:gridSpan w:val="2"/>
            <w:shd w:val="clear" w:color="auto" w:fill="DBE3F4" w:themeFill="accent1" w:themeFillTint="32"/>
            <w:vAlign w:val="center"/>
          </w:tcPr>
          <w:p w14:paraId="41A2C430">
            <w:pPr>
              <w:jc w:val="center"/>
              <w:rPr>
                <w:color w:val="08090C"/>
                <w:sz w:val="20"/>
                <w:szCs w:val="20"/>
                <w:lang w:eastAsia="zh-CN"/>
              </w:rPr>
            </w:pPr>
            <w:r>
              <w:rPr>
                <w:rFonts w:hint="eastAsia"/>
                <w:color w:val="08090C"/>
                <w:sz w:val="20"/>
                <w:szCs w:val="20"/>
                <w:lang w:eastAsia="zh-CN"/>
              </w:rPr>
              <w:t>双师型教师</w:t>
            </w:r>
          </w:p>
        </w:tc>
      </w:tr>
      <w:tr w14:paraId="5EE3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continue"/>
            <w:shd w:val="clear" w:color="auto" w:fill="FFFFFF"/>
            <w:vAlign w:val="center"/>
          </w:tcPr>
          <w:p w14:paraId="59D2005A">
            <w:pPr>
              <w:jc w:val="center"/>
              <w:rPr>
                <w:sz w:val="20"/>
                <w:szCs w:val="20"/>
              </w:rPr>
            </w:pPr>
          </w:p>
        </w:tc>
        <w:tc>
          <w:tcPr>
            <w:tcW w:w="731" w:type="pct"/>
            <w:vMerge w:val="continue"/>
            <w:shd w:val="clear" w:color="auto" w:fill="FFFFFF"/>
            <w:vAlign w:val="center"/>
          </w:tcPr>
          <w:p w14:paraId="68646B4A">
            <w:pPr>
              <w:jc w:val="center"/>
              <w:rPr>
                <w:sz w:val="20"/>
                <w:szCs w:val="20"/>
                <w:lang w:eastAsia="zh-CN"/>
              </w:rPr>
            </w:pPr>
          </w:p>
        </w:tc>
        <w:tc>
          <w:tcPr>
            <w:tcW w:w="598" w:type="pct"/>
            <w:shd w:val="clear" w:color="auto" w:fill="DAE3F5"/>
            <w:vAlign w:val="center"/>
          </w:tcPr>
          <w:p w14:paraId="6F74D39E">
            <w:pPr>
              <w:jc w:val="center"/>
              <w:rPr>
                <w:sz w:val="20"/>
                <w:szCs w:val="20"/>
                <w:lang w:eastAsia="zh-CN"/>
              </w:rPr>
            </w:pPr>
            <w:r>
              <w:rPr>
                <w:rFonts w:hint="eastAsia"/>
                <w:sz w:val="20"/>
                <w:szCs w:val="20"/>
                <w:lang w:eastAsia="zh-CN"/>
              </w:rPr>
              <w:t>数量</w:t>
            </w:r>
          </w:p>
        </w:tc>
        <w:tc>
          <w:tcPr>
            <w:tcW w:w="651" w:type="pct"/>
            <w:shd w:val="clear" w:color="auto" w:fill="DAE3F5"/>
            <w:vAlign w:val="center"/>
          </w:tcPr>
          <w:p w14:paraId="6FE73727">
            <w:pPr>
              <w:jc w:val="center"/>
              <w:rPr>
                <w:sz w:val="20"/>
                <w:szCs w:val="20"/>
                <w:lang w:eastAsia="zh-CN"/>
              </w:rPr>
            </w:pPr>
            <w:r>
              <w:rPr>
                <w:rFonts w:hint="eastAsia"/>
                <w:sz w:val="20"/>
                <w:szCs w:val="20"/>
                <w:lang w:eastAsia="zh-CN"/>
              </w:rPr>
              <w:t>比例</w:t>
            </w:r>
          </w:p>
        </w:tc>
        <w:tc>
          <w:tcPr>
            <w:tcW w:w="598" w:type="pct"/>
            <w:shd w:val="clear" w:color="auto" w:fill="DAE3F5"/>
            <w:vAlign w:val="center"/>
          </w:tcPr>
          <w:p w14:paraId="143BBC98">
            <w:pPr>
              <w:jc w:val="center"/>
              <w:rPr>
                <w:sz w:val="20"/>
                <w:szCs w:val="20"/>
                <w:lang w:eastAsia="zh-CN"/>
              </w:rPr>
            </w:pPr>
            <w:r>
              <w:rPr>
                <w:rFonts w:hint="eastAsia"/>
                <w:sz w:val="20"/>
                <w:szCs w:val="20"/>
                <w:lang w:eastAsia="zh-CN"/>
              </w:rPr>
              <w:t>数量</w:t>
            </w:r>
          </w:p>
        </w:tc>
        <w:tc>
          <w:tcPr>
            <w:tcW w:w="651" w:type="pct"/>
            <w:shd w:val="clear" w:color="auto" w:fill="DAE3F5"/>
            <w:vAlign w:val="center"/>
          </w:tcPr>
          <w:p w14:paraId="52BEDC93">
            <w:pPr>
              <w:jc w:val="center"/>
              <w:rPr>
                <w:sz w:val="20"/>
                <w:szCs w:val="20"/>
                <w:lang w:eastAsia="zh-CN"/>
              </w:rPr>
            </w:pPr>
            <w:r>
              <w:rPr>
                <w:rFonts w:hint="eastAsia"/>
                <w:sz w:val="20"/>
                <w:szCs w:val="20"/>
                <w:lang w:eastAsia="zh-CN"/>
              </w:rPr>
              <w:t>比例</w:t>
            </w:r>
          </w:p>
        </w:tc>
        <w:tc>
          <w:tcPr>
            <w:tcW w:w="682" w:type="pct"/>
            <w:shd w:val="clear" w:color="auto" w:fill="DAE3F5"/>
            <w:vAlign w:val="center"/>
          </w:tcPr>
          <w:p w14:paraId="7F20C692">
            <w:pPr>
              <w:jc w:val="center"/>
              <w:rPr>
                <w:sz w:val="20"/>
                <w:szCs w:val="20"/>
                <w:lang w:eastAsia="zh-CN"/>
              </w:rPr>
            </w:pPr>
            <w:r>
              <w:rPr>
                <w:rFonts w:hint="eastAsia"/>
                <w:sz w:val="20"/>
                <w:szCs w:val="20"/>
                <w:lang w:eastAsia="zh-CN"/>
              </w:rPr>
              <w:t>数量</w:t>
            </w:r>
          </w:p>
        </w:tc>
        <w:tc>
          <w:tcPr>
            <w:tcW w:w="584" w:type="pct"/>
            <w:shd w:val="clear" w:color="auto" w:fill="DAE3F5"/>
            <w:vAlign w:val="center"/>
          </w:tcPr>
          <w:p w14:paraId="276EC0B5">
            <w:pPr>
              <w:jc w:val="center"/>
              <w:rPr>
                <w:sz w:val="20"/>
                <w:szCs w:val="20"/>
                <w:lang w:eastAsia="zh-CN"/>
              </w:rPr>
            </w:pPr>
            <w:r>
              <w:rPr>
                <w:rFonts w:hint="eastAsia"/>
                <w:sz w:val="20"/>
                <w:szCs w:val="20"/>
                <w:lang w:eastAsia="zh-CN"/>
              </w:rPr>
              <w:t>比例</w:t>
            </w:r>
          </w:p>
        </w:tc>
      </w:tr>
      <w:tr w14:paraId="4404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shd w:val="clear" w:color="auto" w:fill="FFFFFF"/>
            <w:vAlign w:val="center"/>
          </w:tcPr>
          <w:p w14:paraId="5EBEABA2">
            <w:pPr>
              <w:jc w:val="center"/>
              <w:rPr>
                <w:sz w:val="20"/>
                <w:szCs w:val="20"/>
                <w:lang w:eastAsia="zh-CN"/>
              </w:rPr>
            </w:pPr>
            <w:r>
              <w:rPr>
                <w:sz w:val="20"/>
                <w:szCs w:val="20"/>
                <w:lang w:eastAsia="zh-CN"/>
              </w:rPr>
              <w:t>202</w:t>
            </w:r>
            <w:r>
              <w:rPr>
                <w:rFonts w:hint="eastAsia"/>
                <w:sz w:val="20"/>
                <w:szCs w:val="20"/>
                <w:lang w:eastAsia="zh-CN"/>
              </w:rPr>
              <w:t>3</w:t>
            </w:r>
          </w:p>
        </w:tc>
        <w:tc>
          <w:tcPr>
            <w:tcW w:w="731" w:type="pct"/>
            <w:shd w:val="clear" w:color="auto" w:fill="FFFFFF"/>
            <w:vAlign w:val="center"/>
          </w:tcPr>
          <w:p w14:paraId="53CB5A5D">
            <w:pPr>
              <w:jc w:val="center"/>
              <w:rPr>
                <w:sz w:val="20"/>
                <w:szCs w:val="20"/>
                <w:lang w:eastAsia="zh-CN"/>
              </w:rPr>
            </w:pPr>
            <w:r>
              <w:rPr>
                <w:rFonts w:hint="eastAsia"/>
                <w:sz w:val="20"/>
                <w:szCs w:val="20"/>
                <w:lang w:eastAsia="zh-CN"/>
              </w:rPr>
              <w:t>904</w:t>
            </w:r>
          </w:p>
        </w:tc>
        <w:tc>
          <w:tcPr>
            <w:tcW w:w="598" w:type="pct"/>
            <w:shd w:val="clear" w:color="auto" w:fill="FFFFFF"/>
            <w:vAlign w:val="center"/>
          </w:tcPr>
          <w:p w14:paraId="3B568CEF">
            <w:pPr>
              <w:jc w:val="center"/>
              <w:rPr>
                <w:sz w:val="20"/>
                <w:szCs w:val="20"/>
                <w:lang w:eastAsia="zh-CN"/>
              </w:rPr>
            </w:pPr>
            <w:r>
              <w:rPr>
                <w:rFonts w:hint="eastAsia"/>
                <w:sz w:val="20"/>
                <w:szCs w:val="20"/>
                <w:lang w:eastAsia="zh-CN"/>
              </w:rPr>
              <w:t>592</w:t>
            </w:r>
          </w:p>
        </w:tc>
        <w:tc>
          <w:tcPr>
            <w:tcW w:w="651" w:type="pct"/>
            <w:shd w:val="clear" w:color="auto" w:fill="FFFFFF"/>
            <w:vAlign w:val="center"/>
          </w:tcPr>
          <w:p w14:paraId="02697CED">
            <w:pPr>
              <w:jc w:val="center"/>
              <w:rPr>
                <w:sz w:val="20"/>
                <w:szCs w:val="20"/>
                <w:lang w:eastAsia="zh-CN"/>
              </w:rPr>
            </w:pPr>
            <w:r>
              <w:rPr>
                <w:rFonts w:hint="eastAsia"/>
                <w:sz w:val="20"/>
                <w:szCs w:val="20"/>
                <w:lang w:eastAsia="zh-CN"/>
              </w:rPr>
              <w:t>65.49%</w:t>
            </w:r>
          </w:p>
        </w:tc>
        <w:tc>
          <w:tcPr>
            <w:tcW w:w="598" w:type="pct"/>
            <w:shd w:val="clear" w:color="auto" w:fill="FFFFFF"/>
            <w:vAlign w:val="center"/>
          </w:tcPr>
          <w:p w14:paraId="23EA4A3E">
            <w:pPr>
              <w:jc w:val="center"/>
              <w:rPr>
                <w:sz w:val="20"/>
                <w:szCs w:val="20"/>
                <w:lang w:eastAsia="zh-CN"/>
              </w:rPr>
            </w:pPr>
            <w:r>
              <w:rPr>
                <w:rFonts w:hint="eastAsia"/>
                <w:sz w:val="20"/>
                <w:szCs w:val="20"/>
                <w:lang w:eastAsia="zh-CN"/>
              </w:rPr>
              <w:t>101</w:t>
            </w:r>
          </w:p>
        </w:tc>
        <w:tc>
          <w:tcPr>
            <w:tcW w:w="651" w:type="pct"/>
            <w:shd w:val="clear" w:color="auto" w:fill="FFFFFF"/>
            <w:vAlign w:val="center"/>
          </w:tcPr>
          <w:p w14:paraId="6E2F0490">
            <w:pPr>
              <w:jc w:val="center"/>
              <w:rPr>
                <w:sz w:val="20"/>
                <w:szCs w:val="20"/>
                <w:lang w:eastAsia="zh-CN"/>
              </w:rPr>
            </w:pPr>
            <w:r>
              <w:rPr>
                <w:rFonts w:hint="eastAsia"/>
                <w:sz w:val="20"/>
                <w:szCs w:val="20"/>
                <w:lang w:eastAsia="zh-CN"/>
              </w:rPr>
              <w:t>11.17%</w:t>
            </w:r>
          </w:p>
        </w:tc>
        <w:tc>
          <w:tcPr>
            <w:tcW w:w="682" w:type="pct"/>
            <w:shd w:val="clear" w:color="auto" w:fill="FFFFFF"/>
            <w:vAlign w:val="center"/>
          </w:tcPr>
          <w:p w14:paraId="1CCF0991">
            <w:pPr>
              <w:jc w:val="center"/>
              <w:rPr>
                <w:sz w:val="20"/>
                <w:szCs w:val="20"/>
                <w:lang w:eastAsia="zh-CN"/>
              </w:rPr>
            </w:pPr>
            <w:r>
              <w:rPr>
                <w:rFonts w:hint="eastAsia"/>
                <w:sz w:val="20"/>
                <w:szCs w:val="20"/>
                <w:lang w:eastAsia="zh-CN"/>
              </w:rPr>
              <w:t>312</w:t>
            </w:r>
          </w:p>
        </w:tc>
        <w:tc>
          <w:tcPr>
            <w:tcW w:w="584" w:type="pct"/>
            <w:shd w:val="clear" w:color="auto" w:fill="FFFFFF"/>
            <w:vAlign w:val="center"/>
          </w:tcPr>
          <w:p w14:paraId="4DAEBFE4">
            <w:pPr>
              <w:jc w:val="center"/>
              <w:rPr>
                <w:sz w:val="20"/>
                <w:szCs w:val="20"/>
                <w:lang w:eastAsia="zh-CN"/>
              </w:rPr>
            </w:pPr>
            <w:r>
              <w:rPr>
                <w:rFonts w:hint="eastAsia"/>
                <w:sz w:val="20"/>
                <w:szCs w:val="20"/>
                <w:lang w:eastAsia="zh-CN"/>
              </w:rPr>
              <w:t>34.51%</w:t>
            </w:r>
          </w:p>
        </w:tc>
      </w:tr>
      <w:tr w14:paraId="4BC3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shd w:val="clear" w:color="auto" w:fill="FFFFFF"/>
            <w:vAlign w:val="center"/>
          </w:tcPr>
          <w:p w14:paraId="761E52E8">
            <w:pPr>
              <w:jc w:val="center"/>
              <w:rPr>
                <w:sz w:val="20"/>
                <w:szCs w:val="20"/>
                <w:lang w:eastAsia="zh-CN"/>
              </w:rPr>
            </w:pPr>
            <w:r>
              <w:rPr>
                <w:sz w:val="20"/>
                <w:szCs w:val="20"/>
                <w:lang w:eastAsia="zh-CN"/>
              </w:rPr>
              <w:t>202</w:t>
            </w:r>
            <w:r>
              <w:rPr>
                <w:rFonts w:hint="eastAsia"/>
                <w:sz w:val="20"/>
                <w:szCs w:val="20"/>
                <w:lang w:eastAsia="zh-CN"/>
              </w:rPr>
              <w:t>4</w:t>
            </w:r>
          </w:p>
        </w:tc>
        <w:tc>
          <w:tcPr>
            <w:tcW w:w="731" w:type="pct"/>
            <w:shd w:val="clear" w:color="auto" w:fill="FFFFFF"/>
            <w:vAlign w:val="center"/>
          </w:tcPr>
          <w:p w14:paraId="045F75D6">
            <w:pPr>
              <w:jc w:val="center"/>
              <w:rPr>
                <w:sz w:val="20"/>
                <w:szCs w:val="20"/>
                <w:lang w:eastAsia="zh-CN"/>
              </w:rPr>
            </w:pPr>
            <w:r>
              <w:rPr>
                <w:rFonts w:hint="eastAsia"/>
                <w:sz w:val="20"/>
                <w:szCs w:val="20"/>
                <w:lang w:eastAsia="zh-CN"/>
              </w:rPr>
              <w:t>1032</w:t>
            </w:r>
          </w:p>
        </w:tc>
        <w:tc>
          <w:tcPr>
            <w:tcW w:w="598" w:type="pct"/>
            <w:shd w:val="clear" w:color="auto" w:fill="FFFFFF"/>
            <w:vAlign w:val="center"/>
          </w:tcPr>
          <w:p w14:paraId="5D38476A">
            <w:pPr>
              <w:jc w:val="center"/>
              <w:rPr>
                <w:sz w:val="20"/>
                <w:szCs w:val="20"/>
                <w:lang w:eastAsia="zh-CN"/>
              </w:rPr>
            </w:pPr>
            <w:r>
              <w:rPr>
                <w:rFonts w:hint="eastAsia"/>
                <w:sz w:val="20"/>
                <w:szCs w:val="20"/>
                <w:lang w:eastAsia="zh-CN"/>
              </w:rPr>
              <w:t>615</w:t>
            </w:r>
          </w:p>
        </w:tc>
        <w:tc>
          <w:tcPr>
            <w:tcW w:w="651" w:type="pct"/>
            <w:shd w:val="clear" w:color="auto" w:fill="FFFFFF"/>
            <w:vAlign w:val="center"/>
          </w:tcPr>
          <w:p w14:paraId="5318A1F2">
            <w:pPr>
              <w:jc w:val="center"/>
              <w:rPr>
                <w:sz w:val="20"/>
                <w:szCs w:val="20"/>
                <w:lang w:eastAsia="zh-CN"/>
              </w:rPr>
            </w:pPr>
            <w:r>
              <w:rPr>
                <w:rFonts w:hint="eastAsia"/>
                <w:sz w:val="20"/>
                <w:szCs w:val="20"/>
                <w:lang w:eastAsia="zh-CN"/>
              </w:rPr>
              <w:t>59.59%</w:t>
            </w:r>
          </w:p>
        </w:tc>
        <w:tc>
          <w:tcPr>
            <w:tcW w:w="598" w:type="pct"/>
            <w:shd w:val="clear" w:color="auto" w:fill="FFFFFF"/>
            <w:vAlign w:val="center"/>
          </w:tcPr>
          <w:p w14:paraId="7309A517">
            <w:pPr>
              <w:jc w:val="center"/>
              <w:rPr>
                <w:sz w:val="20"/>
                <w:szCs w:val="20"/>
                <w:lang w:eastAsia="zh-CN"/>
              </w:rPr>
            </w:pPr>
            <w:r>
              <w:rPr>
                <w:rFonts w:hint="eastAsia"/>
                <w:sz w:val="20"/>
                <w:szCs w:val="20"/>
                <w:lang w:eastAsia="zh-CN"/>
              </w:rPr>
              <w:t>110</w:t>
            </w:r>
          </w:p>
        </w:tc>
        <w:tc>
          <w:tcPr>
            <w:tcW w:w="651" w:type="pct"/>
            <w:shd w:val="clear" w:color="auto" w:fill="FFFFFF"/>
            <w:vAlign w:val="center"/>
          </w:tcPr>
          <w:p w14:paraId="540F5DF0">
            <w:pPr>
              <w:jc w:val="center"/>
              <w:rPr>
                <w:sz w:val="20"/>
                <w:szCs w:val="20"/>
                <w:lang w:eastAsia="zh-CN"/>
              </w:rPr>
            </w:pPr>
            <w:r>
              <w:rPr>
                <w:rFonts w:hint="eastAsia"/>
                <w:sz w:val="20"/>
                <w:szCs w:val="20"/>
                <w:lang w:eastAsia="zh-CN"/>
              </w:rPr>
              <w:t>10.66%</w:t>
            </w:r>
          </w:p>
        </w:tc>
        <w:tc>
          <w:tcPr>
            <w:tcW w:w="682" w:type="pct"/>
            <w:shd w:val="clear" w:color="auto" w:fill="FFFFFF"/>
            <w:vAlign w:val="center"/>
          </w:tcPr>
          <w:p w14:paraId="6C93A051">
            <w:pPr>
              <w:jc w:val="center"/>
              <w:rPr>
                <w:sz w:val="20"/>
                <w:szCs w:val="20"/>
                <w:lang w:eastAsia="zh-CN"/>
              </w:rPr>
            </w:pPr>
            <w:r>
              <w:rPr>
                <w:rFonts w:hint="eastAsia"/>
                <w:sz w:val="20"/>
                <w:szCs w:val="20"/>
                <w:lang w:eastAsia="zh-CN"/>
              </w:rPr>
              <w:t>323</w:t>
            </w:r>
          </w:p>
        </w:tc>
        <w:tc>
          <w:tcPr>
            <w:tcW w:w="584" w:type="pct"/>
            <w:shd w:val="clear" w:color="auto" w:fill="FFFFFF"/>
            <w:vAlign w:val="center"/>
          </w:tcPr>
          <w:p w14:paraId="767A4559">
            <w:pPr>
              <w:jc w:val="center"/>
              <w:rPr>
                <w:sz w:val="20"/>
                <w:szCs w:val="20"/>
                <w:lang w:eastAsia="zh-CN"/>
              </w:rPr>
            </w:pPr>
            <w:r>
              <w:rPr>
                <w:rFonts w:hint="eastAsia"/>
                <w:sz w:val="20"/>
                <w:szCs w:val="20"/>
                <w:lang w:eastAsia="zh-CN"/>
              </w:rPr>
              <w:t>31.3%</w:t>
            </w:r>
          </w:p>
        </w:tc>
      </w:tr>
      <w:tr w14:paraId="2744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shd w:val="clear" w:color="auto" w:fill="FFFFFF"/>
            <w:vAlign w:val="center"/>
          </w:tcPr>
          <w:p w14:paraId="2239C696">
            <w:pPr>
              <w:jc w:val="center"/>
              <w:rPr>
                <w:sz w:val="20"/>
                <w:szCs w:val="20"/>
                <w:lang w:eastAsia="zh-CN"/>
              </w:rPr>
            </w:pPr>
            <w:r>
              <w:rPr>
                <w:sz w:val="20"/>
                <w:szCs w:val="20"/>
                <w:lang w:eastAsia="zh-CN"/>
              </w:rPr>
              <w:t>202</w:t>
            </w:r>
            <w:r>
              <w:rPr>
                <w:rFonts w:hint="eastAsia"/>
                <w:sz w:val="20"/>
                <w:szCs w:val="20"/>
                <w:lang w:eastAsia="zh-CN"/>
              </w:rPr>
              <w:t>5</w:t>
            </w:r>
          </w:p>
        </w:tc>
        <w:tc>
          <w:tcPr>
            <w:tcW w:w="731" w:type="pct"/>
            <w:shd w:val="clear" w:color="auto" w:fill="FFFFFF"/>
            <w:vAlign w:val="center"/>
          </w:tcPr>
          <w:p w14:paraId="1D843E10">
            <w:pPr>
              <w:jc w:val="center"/>
              <w:rPr>
                <w:sz w:val="20"/>
                <w:szCs w:val="20"/>
                <w:lang w:eastAsia="zh-CN"/>
              </w:rPr>
            </w:pPr>
            <w:r>
              <w:rPr>
                <w:rFonts w:hint="eastAsia"/>
                <w:sz w:val="20"/>
                <w:szCs w:val="20"/>
                <w:lang w:eastAsia="zh-CN"/>
              </w:rPr>
              <w:t>975</w:t>
            </w:r>
          </w:p>
        </w:tc>
        <w:tc>
          <w:tcPr>
            <w:tcW w:w="598" w:type="pct"/>
            <w:shd w:val="clear" w:color="auto" w:fill="FFFFFF"/>
            <w:vAlign w:val="center"/>
          </w:tcPr>
          <w:p w14:paraId="754DAFEB">
            <w:pPr>
              <w:jc w:val="center"/>
              <w:rPr>
                <w:sz w:val="20"/>
                <w:szCs w:val="20"/>
                <w:lang w:eastAsia="zh-CN"/>
              </w:rPr>
            </w:pPr>
            <w:r>
              <w:rPr>
                <w:rFonts w:hint="eastAsia"/>
                <w:sz w:val="20"/>
                <w:szCs w:val="20"/>
                <w:lang w:eastAsia="zh-CN"/>
              </w:rPr>
              <w:t>632</w:t>
            </w:r>
          </w:p>
        </w:tc>
        <w:tc>
          <w:tcPr>
            <w:tcW w:w="651" w:type="pct"/>
            <w:shd w:val="clear" w:color="auto" w:fill="FFFFFF"/>
            <w:vAlign w:val="center"/>
          </w:tcPr>
          <w:p w14:paraId="4062CED8">
            <w:pPr>
              <w:jc w:val="center"/>
              <w:rPr>
                <w:sz w:val="20"/>
                <w:szCs w:val="20"/>
                <w:lang w:eastAsia="zh-CN"/>
              </w:rPr>
            </w:pPr>
            <w:r>
              <w:rPr>
                <w:rFonts w:hint="eastAsia"/>
                <w:sz w:val="20"/>
                <w:szCs w:val="20"/>
                <w:lang w:eastAsia="zh-CN"/>
              </w:rPr>
              <w:t>64.82%</w:t>
            </w:r>
          </w:p>
        </w:tc>
        <w:tc>
          <w:tcPr>
            <w:tcW w:w="598" w:type="pct"/>
            <w:shd w:val="clear" w:color="auto" w:fill="FFFFFF"/>
            <w:vAlign w:val="center"/>
          </w:tcPr>
          <w:p w14:paraId="29A613B4">
            <w:pPr>
              <w:jc w:val="center"/>
              <w:rPr>
                <w:sz w:val="20"/>
                <w:szCs w:val="20"/>
                <w:lang w:eastAsia="zh-CN"/>
              </w:rPr>
            </w:pPr>
            <w:r>
              <w:rPr>
                <w:rFonts w:hint="eastAsia"/>
                <w:sz w:val="20"/>
                <w:szCs w:val="20"/>
                <w:lang w:eastAsia="zh-CN"/>
              </w:rPr>
              <w:t>73</w:t>
            </w:r>
          </w:p>
        </w:tc>
        <w:tc>
          <w:tcPr>
            <w:tcW w:w="651" w:type="pct"/>
            <w:shd w:val="clear" w:color="auto" w:fill="FFFFFF"/>
            <w:vAlign w:val="center"/>
          </w:tcPr>
          <w:p w14:paraId="634EB50F">
            <w:pPr>
              <w:jc w:val="center"/>
              <w:rPr>
                <w:sz w:val="20"/>
                <w:szCs w:val="20"/>
                <w:lang w:eastAsia="zh-CN"/>
              </w:rPr>
            </w:pPr>
            <w:r>
              <w:rPr>
                <w:rFonts w:hint="eastAsia"/>
                <w:sz w:val="20"/>
                <w:szCs w:val="20"/>
                <w:lang w:eastAsia="zh-CN"/>
              </w:rPr>
              <w:t>7.49%</w:t>
            </w:r>
          </w:p>
        </w:tc>
        <w:tc>
          <w:tcPr>
            <w:tcW w:w="682" w:type="pct"/>
            <w:shd w:val="clear" w:color="auto" w:fill="FFFFFF"/>
            <w:vAlign w:val="center"/>
          </w:tcPr>
          <w:p w14:paraId="5D84E407">
            <w:pPr>
              <w:jc w:val="center"/>
              <w:rPr>
                <w:sz w:val="20"/>
                <w:szCs w:val="20"/>
                <w:lang w:eastAsia="zh-CN"/>
              </w:rPr>
            </w:pPr>
            <w:r>
              <w:rPr>
                <w:rFonts w:hint="eastAsia"/>
                <w:sz w:val="20"/>
                <w:szCs w:val="20"/>
                <w:lang w:eastAsia="zh-CN"/>
              </w:rPr>
              <w:t>338</w:t>
            </w:r>
          </w:p>
        </w:tc>
        <w:tc>
          <w:tcPr>
            <w:tcW w:w="584" w:type="pct"/>
            <w:shd w:val="clear" w:color="auto" w:fill="FFFFFF"/>
            <w:vAlign w:val="center"/>
          </w:tcPr>
          <w:p w14:paraId="4E2CC9BE">
            <w:pPr>
              <w:jc w:val="center"/>
              <w:rPr>
                <w:sz w:val="20"/>
                <w:szCs w:val="20"/>
                <w:lang w:eastAsia="zh-CN"/>
              </w:rPr>
            </w:pPr>
            <w:r>
              <w:rPr>
                <w:rFonts w:hint="eastAsia"/>
                <w:sz w:val="20"/>
                <w:szCs w:val="20"/>
                <w:lang w:eastAsia="zh-CN"/>
              </w:rPr>
              <w:t>34.67%</w:t>
            </w:r>
          </w:p>
        </w:tc>
      </w:tr>
      <w:tr w14:paraId="2024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99" w:type="pct"/>
            <w:vMerge w:val="restart"/>
            <w:shd w:val="clear" w:color="auto" w:fill="DAE3F5"/>
            <w:vAlign w:val="center"/>
          </w:tcPr>
          <w:p w14:paraId="040E0969">
            <w:pPr>
              <w:jc w:val="center"/>
              <w:rPr>
                <w:sz w:val="20"/>
                <w:szCs w:val="20"/>
                <w:lang w:eastAsia="zh-CN"/>
              </w:rPr>
            </w:pPr>
            <w:r>
              <w:rPr>
                <w:rFonts w:hint="eastAsia"/>
                <w:sz w:val="20"/>
                <w:szCs w:val="20"/>
                <w:lang w:eastAsia="zh-CN"/>
              </w:rPr>
              <w:t>年度</w:t>
            </w:r>
          </w:p>
        </w:tc>
        <w:tc>
          <w:tcPr>
            <w:tcW w:w="1982" w:type="pct"/>
            <w:gridSpan w:val="3"/>
            <w:shd w:val="clear" w:color="auto" w:fill="DAE3F5"/>
            <w:vAlign w:val="center"/>
          </w:tcPr>
          <w:p w14:paraId="298BA915">
            <w:pPr>
              <w:jc w:val="center"/>
              <w:rPr>
                <w:sz w:val="20"/>
                <w:szCs w:val="20"/>
              </w:rPr>
            </w:pPr>
            <w:r>
              <w:rPr>
                <w:rFonts w:hint="eastAsia"/>
                <w:sz w:val="20"/>
                <w:szCs w:val="20"/>
                <w:lang w:eastAsia="zh-CN"/>
              </w:rPr>
              <w:t>高级职称</w:t>
            </w:r>
          </w:p>
        </w:tc>
        <w:tc>
          <w:tcPr>
            <w:tcW w:w="2517" w:type="pct"/>
            <w:gridSpan w:val="4"/>
            <w:shd w:val="clear" w:color="auto" w:fill="DAE3F5"/>
            <w:vAlign w:val="center"/>
          </w:tcPr>
          <w:p w14:paraId="6DE25D59">
            <w:pPr>
              <w:jc w:val="center"/>
              <w:rPr>
                <w:sz w:val="20"/>
                <w:szCs w:val="20"/>
                <w:lang w:eastAsia="zh-CN"/>
              </w:rPr>
            </w:pPr>
            <w:r>
              <w:rPr>
                <w:rFonts w:hint="eastAsia"/>
                <w:sz w:val="20"/>
                <w:szCs w:val="20"/>
                <w:lang w:eastAsia="zh-CN"/>
              </w:rPr>
              <w:t>硕士及以上学历</w:t>
            </w:r>
          </w:p>
        </w:tc>
      </w:tr>
      <w:tr w14:paraId="1C18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continue"/>
            <w:shd w:val="clear" w:color="auto" w:fill="DAE3F5"/>
            <w:vAlign w:val="center"/>
          </w:tcPr>
          <w:p w14:paraId="2228BB8F">
            <w:pPr>
              <w:jc w:val="center"/>
              <w:rPr>
                <w:sz w:val="20"/>
                <w:szCs w:val="20"/>
                <w:lang w:eastAsia="zh-CN"/>
              </w:rPr>
            </w:pPr>
          </w:p>
        </w:tc>
        <w:tc>
          <w:tcPr>
            <w:tcW w:w="1330" w:type="pct"/>
            <w:gridSpan w:val="2"/>
            <w:shd w:val="clear" w:color="auto" w:fill="DAE3F5"/>
            <w:vAlign w:val="center"/>
          </w:tcPr>
          <w:p w14:paraId="0FB00E8E">
            <w:pPr>
              <w:jc w:val="center"/>
              <w:rPr>
                <w:sz w:val="20"/>
                <w:szCs w:val="20"/>
                <w:lang w:eastAsia="zh-CN"/>
              </w:rPr>
            </w:pPr>
            <w:r>
              <w:rPr>
                <w:rFonts w:hint="eastAsia"/>
                <w:sz w:val="20"/>
                <w:szCs w:val="20"/>
                <w:lang w:eastAsia="zh-CN"/>
              </w:rPr>
              <w:t>数量</w:t>
            </w:r>
          </w:p>
        </w:tc>
        <w:tc>
          <w:tcPr>
            <w:tcW w:w="651" w:type="pct"/>
            <w:shd w:val="clear" w:color="auto" w:fill="DAE3F5"/>
            <w:vAlign w:val="center"/>
          </w:tcPr>
          <w:p w14:paraId="702B1A80">
            <w:pPr>
              <w:jc w:val="center"/>
              <w:rPr>
                <w:sz w:val="20"/>
                <w:szCs w:val="20"/>
                <w:lang w:eastAsia="zh-CN"/>
              </w:rPr>
            </w:pPr>
            <w:r>
              <w:rPr>
                <w:rFonts w:hint="eastAsia"/>
                <w:sz w:val="20"/>
                <w:szCs w:val="20"/>
                <w:lang w:eastAsia="zh-CN"/>
              </w:rPr>
              <w:t>比例</w:t>
            </w:r>
          </w:p>
        </w:tc>
        <w:tc>
          <w:tcPr>
            <w:tcW w:w="1250" w:type="pct"/>
            <w:gridSpan w:val="2"/>
            <w:shd w:val="clear" w:color="auto" w:fill="DAE3F5"/>
            <w:vAlign w:val="center"/>
          </w:tcPr>
          <w:p w14:paraId="40A49431">
            <w:pPr>
              <w:jc w:val="center"/>
              <w:rPr>
                <w:sz w:val="20"/>
                <w:szCs w:val="20"/>
                <w:lang w:eastAsia="zh-CN"/>
              </w:rPr>
            </w:pPr>
            <w:r>
              <w:rPr>
                <w:rFonts w:hint="eastAsia"/>
                <w:sz w:val="20"/>
                <w:szCs w:val="20"/>
                <w:lang w:eastAsia="zh-CN"/>
              </w:rPr>
              <w:t>数量</w:t>
            </w:r>
          </w:p>
        </w:tc>
        <w:tc>
          <w:tcPr>
            <w:tcW w:w="1267" w:type="pct"/>
            <w:gridSpan w:val="2"/>
            <w:shd w:val="clear" w:color="auto" w:fill="DAE3F5"/>
            <w:vAlign w:val="center"/>
          </w:tcPr>
          <w:p w14:paraId="04D5E0AA">
            <w:pPr>
              <w:jc w:val="center"/>
              <w:rPr>
                <w:sz w:val="20"/>
                <w:szCs w:val="20"/>
                <w:lang w:eastAsia="zh-CN"/>
              </w:rPr>
            </w:pPr>
            <w:r>
              <w:rPr>
                <w:rFonts w:hint="eastAsia"/>
                <w:sz w:val="20"/>
                <w:szCs w:val="20"/>
                <w:lang w:eastAsia="zh-CN"/>
              </w:rPr>
              <w:t>比例</w:t>
            </w:r>
          </w:p>
        </w:tc>
      </w:tr>
      <w:tr w14:paraId="4325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shd w:val="clear" w:color="auto" w:fill="FFFFFF"/>
            <w:vAlign w:val="center"/>
          </w:tcPr>
          <w:p w14:paraId="7484AD40">
            <w:pPr>
              <w:jc w:val="center"/>
              <w:rPr>
                <w:sz w:val="20"/>
                <w:szCs w:val="20"/>
                <w:lang w:eastAsia="zh-CN"/>
              </w:rPr>
            </w:pPr>
            <w:r>
              <w:rPr>
                <w:rFonts w:hint="eastAsia"/>
                <w:sz w:val="20"/>
                <w:szCs w:val="20"/>
                <w:lang w:eastAsia="zh-CN"/>
              </w:rPr>
              <w:t>2023</w:t>
            </w:r>
          </w:p>
        </w:tc>
        <w:tc>
          <w:tcPr>
            <w:tcW w:w="1330" w:type="pct"/>
            <w:gridSpan w:val="2"/>
            <w:shd w:val="clear" w:color="auto" w:fill="FFFFFF"/>
            <w:vAlign w:val="center"/>
          </w:tcPr>
          <w:p w14:paraId="20F76F08">
            <w:pPr>
              <w:jc w:val="center"/>
              <w:rPr>
                <w:sz w:val="20"/>
                <w:szCs w:val="20"/>
                <w:lang w:eastAsia="zh-CN"/>
              </w:rPr>
            </w:pPr>
            <w:r>
              <w:rPr>
                <w:rFonts w:hint="eastAsia"/>
                <w:sz w:val="20"/>
                <w:szCs w:val="20"/>
                <w:lang w:eastAsia="zh-CN"/>
              </w:rPr>
              <w:t>170</w:t>
            </w:r>
          </w:p>
        </w:tc>
        <w:tc>
          <w:tcPr>
            <w:tcW w:w="651" w:type="pct"/>
            <w:shd w:val="clear" w:color="auto" w:fill="FFFFFF"/>
            <w:vAlign w:val="center"/>
          </w:tcPr>
          <w:p w14:paraId="4F6B4645">
            <w:pPr>
              <w:jc w:val="center"/>
              <w:rPr>
                <w:sz w:val="20"/>
                <w:szCs w:val="20"/>
                <w:lang w:eastAsia="zh-CN"/>
              </w:rPr>
            </w:pPr>
            <w:r>
              <w:rPr>
                <w:rFonts w:hint="eastAsia"/>
                <w:sz w:val="20"/>
                <w:szCs w:val="20"/>
                <w:lang w:eastAsia="zh-CN"/>
              </w:rPr>
              <w:t>18.81%</w:t>
            </w:r>
          </w:p>
        </w:tc>
        <w:tc>
          <w:tcPr>
            <w:tcW w:w="1250" w:type="pct"/>
            <w:gridSpan w:val="2"/>
            <w:shd w:val="clear" w:color="auto" w:fill="FFFFFF"/>
            <w:vAlign w:val="center"/>
          </w:tcPr>
          <w:p w14:paraId="6173A007">
            <w:pPr>
              <w:jc w:val="center"/>
              <w:rPr>
                <w:sz w:val="20"/>
                <w:szCs w:val="20"/>
                <w:lang w:eastAsia="zh-CN"/>
              </w:rPr>
            </w:pPr>
            <w:r>
              <w:rPr>
                <w:rFonts w:hint="eastAsia"/>
                <w:sz w:val="20"/>
                <w:szCs w:val="20"/>
                <w:lang w:eastAsia="zh-CN"/>
              </w:rPr>
              <w:t>60</w:t>
            </w:r>
          </w:p>
        </w:tc>
        <w:tc>
          <w:tcPr>
            <w:tcW w:w="1267" w:type="pct"/>
            <w:gridSpan w:val="2"/>
            <w:shd w:val="clear" w:color="auto" w:fill="FFFFFF"/>
            <w:vAlign w:val="center"/>
          </w:tcPr>
          <w:p w14:paraId="2BCF1A04">
            <w:pPr>
              <w:jc w:val="center"/>
              <w:rPr>
                <w:sz w:val="20"/>
                <w:szCs w:val="20"/>
                <w:lang w:eastAsia="zh-CN"/>
              </w:rPr>
            </w:pPr>
            <w:r>
              <w:rPr>
                <w:rFonts w:hint="eastAsia"/>
                <w:sz w:val="20"/>
                <w:szCs w:val="20"/>
                <w:lang w:eastAsia="zh-CN"/>
              </w:rPr>
              <w:t>6.64%</w:t>
            </w:r>
          </w:p>
        </w:tc>
      </w:tr>
      <w:tr w14:paraId="09EE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shd w:val="clear" w:color="auto" w:fill="FFFFFF"/>
            <w:vAlign w:val="center"/>
          </w:tcPr>
          <w:p w14:paraId="1C45492D">
            <w:pPr>
              <w:jc w:val="center"/>
              <w:rPr>
                <w:sz w:val="20"/>
                <w:szCs w:val="20"/>
                <w:lang w:eastAsia="zh-CN"/>
              </w:rPr>
            </w:pPr>
            <w:r>
              <w:rPr>
                <w:rFonts w:hint="eastAsia"/>
                <w:sz w:val="20"/>
                <w:szCs w:val="20"/>
                <w:lang w:eastAsia="zh-CN"/>
              </w:rPr>
              <w:t>2024</w:t>
            </w:r>
          </w:p>
        </w:tc>
        <w:tc>
          <w:tcPr>
            <w:tcW w:w="1330" w:type="pct"/>
            <w:gridSpan w:val="2"/>
            <w:shd w:val="clear" w:color="auto" w:fill="FFFFFF"/>
            <w:vAlign w:val="center"/>
          </w:tcPr>
          <w:p w14:paraId="291500A4">
            <w:pPr>
              <w:jc w:val="center"/>
              <w:rPr>
                <w:sz w:val="20"/>
                <w:szCs w:val="20"/>
                <w:lang w:eastAsia="zh-CN"/>
              </w:rPr>
            </w:pPr>
            <w:r>
              <w:rPr>
                <w:rFonts w:hint="eastAsia"/>
                <w:sz w:val="20"/>
                <w:szCs w:val="20"/>
                <w:lang w:eastAsia="zh-CN"/>
              </w:rPr>
              <w:t>182</w:t>
            </w:r>
          </w:p>
        </w:tc>
        <w:tc>
          <w:tcPr>
            <w:tcW w:w="651" w:type="pct"/>
            <w:shd w:val="clear" w:color="auto" w:fill="FFFFFF"/>
            <w:vAlign w:val="center"/>
          </w:tcPr>
          <w:p w14:paraId="25C65D62">
            <w:pPr>
              <w:jc w:val="center"/>
              <w:rPr>
                <w:sz w:val="20"/>
                <w:szCs w:val="20"/>
                <w:lang w:eastAsia="zh-CN"/>
              </w:rPr>
            </w:pPr>
            <w:r>
              <w:rPr>
                <w:rFonts w:hint="eastAsia"/>
                <w:sz w:val="20"/>
                <w:szCs w:val="20"/>
                <w:lang w:eastAsia="zh-CN"/>
              </w:rPr>
              <w:t>17.64%</w:t>
            </w:r>
          </w:p>
        </w:tc>
        <w:tc>
          <w:tcPr>
            <w:tcW w:w="1250" w:type="pct"/>
            <w:gridSpan w:val="2"/>
            <w:shd w:val="clear" w:color="auto" w:fill="FFFFFF"/>
            <w:vAlign w:val="center"/>
          </w:tcPr>
          <w:p w14:paraId="45F94F38">
            <w:pPr>
              <w:jc w:val="center"/>
              <w:rPr>
                <w:sz w:val="20"/>
                <w:szCs w:val="20"/>
                <w:lang w:eastAsia="zh-CN"/>
              </w:rPr>
            </w:pPr>
            <w:r>
              <w:rPr>
                <w:rFonts w:hint="eastAsia"/>
                <w:sz w:val="20"/>
                <w:szCs w:val="20"/>
                <w:lang w:eastAsia="zh-CN"/>
              </w:rPr>
              <w:t>60</w:t>
            </w:r>
          </w:p>
        </w:tc>
        <w:tc>
          <w:tcPr>
            <w:tcW w:w="1267" w:type="pct"/>
            <w:gridSpan w:val="2"/>
            <w:shd w:val="clear" w:color="auto" w:fill="FFFFFF"/>
            <w:vAlign w:val="center"/>
          </w:tcPr>
          <w:p w14:paraId="0860F04A">
            <w:pPr>
              <w:jc w:val="center"/>
              <w:rPr>
                <w:sz w:val="20"/>
                <w:szCs w:val="20"/>
                <w:lang w:eastAsia="zh-CN"/>
              </w:rPr>
            </w:pPr>
            <w:r>
              <w:rPr>
                <w:rFonts w:hint="eastAsia"/>
                <w:sz w:val="20"/>
                <w:szCs w:val="20"/>
                <w:lang w:eastAsia="zh-CN"/>
              </w:rPr>
              <w:t>5.81%</w:t>
            </w:r>
          </w:p>
        </w:tc>
      </w:tr>
      <w:tr w14:paraId="0E15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shd w:val="clear" w:color="auto" w:fill="FFFFFF"/>
            <w:vAlign w:val="center"/>
          </w:tcPr>
          <w:p w14:paraId="2DC5A717">
            <w:pPr>
              <w:jc w:val="center"/>
              <w:rPr>
                <w:sz w:val="20"/>
                <w:szCs w:val="20"/>
                <w:lang w:eastAsia="zh-CN"/>
              </w:rPr>
            </w:pPr>
            <w:r>
              <w:rPr>
                <w:rFonts w:hint="eastAsia"/>
                <w:sz w:val="20"/>
                <w:szCs w:val="20"/>
                <w:lang w:eastAsia="zh-CN"/>
              </w:rPr>
              <w:t>2025</w:t>
            </w:r>
          </w:p>
        </w:tc>
        <w:tc>
          <w:tcPr>
            <w:tcW w:w="1330" w:type="pct"/>
            <w:gridSpan w:val="2"/>
            <w:shd w:val="clear" w:color="auto" w:fill="FFFFFF"/>
            <w:vAlign w:val="center"/>
          </w:tcPr>
          <w:p w14:paraId="12A7E717">
            <w:pPr>
              <w:jc w:val="center"/>
              <w:rPr>
                <w:sz w:val="20"/>
                <w:szCs w:val="20"/>
                <w:lang w:eastAsia="zh-CN"/>
              </w:rPr>
            </w:pPr>
            <w:r>
              <w:rPr>
                <w:rFonts w:hint="eastAsia"/>
                <w:sz w:val="20"/>
                <w:szCs w:val="20"/>
                <w:lang w:eastAsia="zh-CN"/>
              </w:rPr>
              <w:t>170</w:t>
            </w:r>
          </w:p>
        </w:tc>
        <w:tc>
          <w:tcPr>
            <w:tcW w:w="651" w:type="pct"/>
            <w:shd w:val="clear" w:color="auto" w:fill="FFFFFF"/>
            <w:vAlign w:val="center"/>
          </w:tcPr>
          <w:p w14:paraId="4E5906A4">
            <w:pPr>
              <w:jc w:val="center"/>
              <w:rPr>
                <w:sz w:val="20"/>
                <w:szCs w:val="20"/>
                <w:lang w:eastAsia="zh-CN"/>
              </w:rPr>
            </w:pPr>
            <w:r>
              <w:rPr>
                <w:rFonts w:hint="eastAsia"/>
                <w:sz w:val="20"/>
                <w:szCs w:val="20"/>
                <w:lang w:eastAsia="zh-CN"/>
              </w:rPr>
              <w:t>17.44%</w:t>
            </w:r>
          </w:p>
        </w:tc>
        <w:tc>
          <w:tcPr>
            <w:tcW w:w="1250" w:type="pct"/>
            <w:gridSpan w:val="2"/>
            <w:shd w:val="clear" w:color="auto" w:fill="FFFFFF"/>
            <w:vAlign w:val="center"/>
          </w:tcPr>
          <w:p w14:paraId="48609EA4">
            <w:pPr>
              <w:jc w:val="center"/>
              <w:rPr>
                <w:sz w:val="20"/>
                <w:szCs w:val="20"/>
                <w:lang w:eastAsia="zh-CN"/>
              </w:rPr>
            </w:pPr>
            <w:r>
              <w:rPr>
                <w:rFonts w:hint="eastAsia"/>
                <w:sz w:val="20"/>
                <w:szCs w:val="20"/>
                <w:lang w:eastAsia="zh-CN"/>
              </w:rPr>
              <w:t>72</w:t>
            </w:r>
          </w:p>
        </w:tc>
        <w:tc>
          <w:tcPr>
            <w:tcW w:w="1267" w:type="pct"/>
            <w:gridSpan w:val="2"/>
            <w:shd w:val="clear" w:color="auto" w:fill="FFFFFF"/>
            <w:vAlign w:val="center"/>
          </w:tcPr>
          <w:p w14:paraId="3DB2C3FB">
            <w:pPr>
              <w:jc w:val="center"/>
              <w:rPr>
                <w:sz w:val="20"/>
                <w:szCs w:val="20"/>
                <w:lang w:eastAsia="zh-CN"/>
              </w:rPr>
            </w:pPr>
            <w:r>
              <w:rPr>
                <w:rFonts w:hint="eastAsia"/>
                <w:sz w:val="20"/>
                <w:szCs w:val="20"/>
                <w:lang w:eastAsia="zh-CN"/>
              </w:rPr>
              <w:t>7.38%</w:t>
            </w:r>
          </w:p>
        </w:tc>
      </w:tr>
    </w:tbl>
    <w:p w14:paraId="647E5568">
      <w:pPr>
        <w:pStyle w:val="3"/>
        <w:spacing w:before="327" w:after="327"/>
      </w:pPr>
      <w:bookmarkStart w:id="16" w:name="bookmark14"/>
      <w:bookmarkEnd w:id="16"/>
      <w:bookmarkStart w:id="17" w:name="_Toc8680"/>
      <w:r>
        <w:t>1.</w:t>
      </w:r>
      <w:r>
        <w:rPr>
          <w:rFonts w:hint="eastAsia"/>
        </w:rPr>
        <w:t xml:space="preserve">5 </w:t>
      </w:r>
      <w:r>
        <w:rPr>
          <w:rFonts w:hint="eastAsia" w:ascii="方正黑体_GBK" w:hAnsi="方正黑体_GBK" w:eastAsia="方正黑体_GBK" w:cs="方正黑体_GBK"/>
        </w:rPr>
        <w:t>学生规模</w:t>
      </w:r>
      <w:bookmarkEnd w:id="17"/>
    </w:p>
    <w:p w14:paraId="5D9F6AEB">
      <w:pPr>
        <w:pStyle w:val="4"/>
        <w:spacing w:before="163" w:after="163"/>
      </w:pPr>
      <w:bookmarkStart w:id="18" w:name="_Toc1872"/>
      <w:r>
        <w:t>1.</w:t>
      </w:r>
      <w:r>
        <w:rPr>
          <w:rFonts w:hint="eastAsia"/>
        </w:rPr>
        <w:t xml:space="preserve">5.1 </w:t>
      </w:r>
      <w:r>
        <w:rPr>
          <w:rFonts w:hint="eastAsia" w:ascii="方正黑体_GBK" w:hAnsi="方正黑体_GBK" w:eastAsia="方正黑体_GBK" w:cs="方正黑体_GBK"/>
        </w:rPr>
        <w:t>在校生规模</w:t>
      </w:r>
      <w:bookmarkEnd w:id="18"/>
    </w:p>
    <w:p w14:paraId="47D5A80A">
      <w:pPr>
        <w:ind w:firstLine="480" w:firstLineChars="200"/>
        <w:rPr>
          <w:lang w:eastAsia="zh-CN"/>
        </w:rPr>
      </w:pPr>
      <w:r>
        <w:rPr>
          <w:rFonts w:hint="eastAsia"/>
          <w:lang w:eastAsia="zh-CN"/>
        </w:rPr>
        <w:t>2025年，九龙坡区中职学校共有在校学生9059人。从专业大类分布来看，在校生规模位于前五的专业大类分别为：文化艺术类、交通运输类、电子与信息类、装备制造类、财经商贸类。其中，绘画、新能源汽车运用与维修、计算机应用专业倍受学生青睐，在校生数量保持相对稳定态势。</w:t>
      </w:r>
    </w:p>
    <w:p w14:paraId="6A9C6C56">
      <w:pPr>
        <w:ind w:firstLine="480" w:firstLineChars="200"/>
        <w:rPr>
          <w:lang w:eastAsia="zh-CN"/>
        </w:rPr>
      </w:pPr>
    </w:p>
    <w:p w14:paraId="0DF4FDE1">
      <w:pPr>
        <w:ind w:firstLine="480" w:firstLineChars="200"/>
        <w:rPr>
          <w:lang w:eastAsia="zh-CN"/>
        </w:rPr>
      </w:pPr>
    </w:p>
    <w:p w14:paraId="0ABC6407">
      <w:pPr>
        <w:pStyle w:val="7"/>
      </w:pPr>
      <w:r>
        <w:t>表</w:t>
      </w:r>
      <w:r>
        <w:fldChar w:fldCharType="begin"/>
      </w:r>
      <w:r>
        <w:instrText xml:space="preserve"> SEQ 表 \* ARABIC </w:instrText>
      </w:r>
      <w:r>
        <w:fldChar w:fldCharType="separate"/>
      </w:r>
      <w:r>
        <w:t>5</w:t>
      </w:r>
      <w:r>
        <w:fldChar w:fldCharType="end"/>
      </w:r>
      <w:bookmarkStart w:id="19" w:name="_Toc11302"/>
      <w:r>
        <w:rPr>
          <w:rFonts w:hint="eastAsia"/>
        </w:rPr>
        <w:t xml:space="preserve">  近三年中职学校各专业在校生规模一览表</w:t>
      </w:r>
      <w:bookmarkEnd w:id="19"/>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2182"/>
        <w:gridCol w:w="2182"/>
        <w:gridCol w:w="2184"/>
      </w:tblGrid>
      <w:tr w14:paraId="62E0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vMerge w:val="restart"/>
            <w:shd w:val="clear" w:color="auto" w:fill="DBE3F4" w:themeFill="accent1" w:themeFillTint="32"/>
            <w:vAlign w:val="center"/>
          </w:tcPr>
          <w:p w14:paraId="7856185D">
            <w:pPr>
              <w:jc w:val="center"/>
              <w:rPr>
                <w:bCs/>
                <w:color w:val="08090C"/>
                <w:sz w:val="20"/>
                <w:szCs w:val="20"/>
                <w:lang w:eastAsia="zh-CN"/>
              </w:rPr>
            </w:pPr>
            <w:r>
              <w:rPr>
                <w:rFonts w:hint="eastAsia"/>
                <w:bCs/>
                <w:color w:val="08090C"/>
                <w:sz w:val="20"/>
                <w:szCs w:val="20"/>
                <w:lang w:eastAsia="zh-CN"/>
              </w:rPr>
              <w:t>专业大类</w:t>
            </w:r>
          </w:p>
        </w:tc>
        <w:tc>
          <w:tcPr>
            <w:tcW w:w="3754" w:type="pct"/>
            <w:gridSpan w:val="3"/>
            <w:shd w:val="clear" w:color="auto" w:fill="DBE3F4" w:themeFill="accent1" w:themeFillTint="32"/>
            <w:vAlign w:val="center"/>
          </w:tcPr>
          <w:p w14:paraId="19F18DFD">
            <w:pPr>
              <w:jc w:val="center"/>
              <w:rPr>
                <w:bCs/>
                <w:color w:val="08090C"/>
                <w:sz w:val="20"/>
                <w:szCs w:val="20"/>
                <w:lang w:eastAsia="zh-CN"/>
              </w:rPr>
            </w:pPr>
            <w:r>
              <w:rPr>
                <w:rFonts w:hint="eastAsia"/>
                <w:bCs/>
                <w:color w:val="08090C"/>
                <w:sz w:val="20"/>
                <w:szCs w:val="20"/>
                <w:lang w:eastAsia="zh-CN"/>
              </w:rPr>
              <w:t>在校生人数</w:t>
            </w:r>
          </w:p>
        </w:tc>
      </w:tr>
      <w:tr w14:paraId="0883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vMerge w:val="continue"/>
            <w:shd w:val="clear" w:color="auto" w:fill="FFFFFF"/>
            <w:vAlign w:val="center"/>
          </w:tcPr>
          <w:p w14:paraId="6AE8B375">
            <w:pPr>
              <w:jc w:val="center"/>
              <w:rPr>
                <w:bCs/>
                <w:sz w:val="20"/>
                <w:szCs w:val="20"/>
                <w:lang w:eastAsia="zh-CN"/>
              </w:rPr>
            </w:pPr>
          </w:p>
        </w:tc>
        <w:tc>
          <w:tcPr>
            <w:tcW w:w="1251" w:type="pct"/>
            <w:shd w:val="clear" w:color="auto" w:fill="DAE3F5"/>
            <w:vAlign w:val="center"/>
          </w:tcPr>
          <w:p w14:paraId="7C39752E">
            <w:pPr>
              <w:jc w:val="center"/>
              <w:rPr>
                <w:bCs/>
                <w:sz w:val="20"/>
                <w:szCs w:val="20"/>
                <w:lang w:eastAsia="zh-CN"/>
              </w:rPr>
            </w:pPr>
            <w:r>
              <w:rPr>
                <w:rFonts w:hint="eastAsia"/>
                <w:bCs/>
                <w:sz w:val="20"/>
                <w:szCs w:val="20"/>
                <w:lang w:eastAsia="zh-CN"/>
              </w:rPr>
              <w:t>2023年</w:t>
            </w:r>
          </w:p>
        </w:tc>
        <w:tc>
          <w:tcPr>
            <w:tcW w:w="1251" w:type="pct"/>
            <w:shd w:val="clear" w:color="auto" w:fill="DAE3F5"/>
            <w:vAlign w:val="center"/>
          </w:tcPr>
          <w:p w14:paraId="43515248">
            <w:pPr>
              <w:jc w:val="center"/>
              <w:rPr>
                <w:bCs/>
                <w:sz w:val="20"/>
                <w:szCs w:val="20"/>
                <w:lang w:eastAsia="zh-CN"/>
              </w:rPr>
            </w:pPr>
            <w:r>
              <w:rPr>
                <w:rFonts w:hint="eastAsia"/>
                <w:bCs/>
                <w:sz w:val="20"/>
                <w:szCs w:val="20"/>
                <w:lang w:eastAsia="zh-CN"/>
              </w:rPr>
              <w:t>2024年</w:t>
            </w:r>
          </w:p>
        </w:tc>
        <w:tc>
          <w:tcPr>
            <w:tcW w:w="1252" w:type="pct"/>
            <w:shd w:val="clear" w:color="auto" w:fill="DAE3F5"/>
            <w:vAlign w:val="center"/>
          </w:tcPr>
          <w:p w14:paraId="21CE75A4">
            <w:pPr>
              <w:jc w:val="center"/>
              <w:rPr>
                <w:bCs/>
                <w:sz w:val="20"/>
                <w:szCs w:val="20"/>
                <w:lang w:eastAsia="zh-CN"/>
              </w:rPr>
            </w:pPr>
            <w:r>
              <w:rPr>
                <w:rFonts w:hint="eastAsia"/>
                <w:bCs/>
                <w:sz w:val="20"/>
                <w:szCs w:val="20"/>
                <w:lang w:eastAsia="zh-CN"/>
              </w:rPr>
              <w:t>2025年</w:t>
            </w:r>
          </w:p>
        </w:tc>
      </w:tr>
      <w:tr w14:paraId="161A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446D5DF0">
            <w:pPr>
              <w:jc w:val="center"/>
              <w:rPr>
                <w:bCs/>
                <w:sz w:val="20"/>
                <w:szCs w:val="20"/>
                <w:lang w:eastAsia="zh-CN"/>
              </w:rPr>
            </w:pPr>
            <w:r>
              <w:rPr>
                <w:rFonts w:hint="eastAsia"/>
                <w:bCs/>
                <w:sz w:val="20"/>
                <w:szCs w:val="20"/>
                <w:lang w:eastAsia="zh-CN"/>
              </w:rPr>
              <w:t>装备制造类</w:t>
            </w:r>
          </w:p>
        </w:tc>
        <w:tc>
          <w:tcPr>
            <w:tcW w:w="1251" w:type="pct"/>
            <w:shd w:val="clear" w:color="auto" w:fill="FFFFFF"/>
            <w:vAlign w:val="center"/>
          </w:tcPr>
          <w:p w14:paraId="32B98E44">
            <w:pPr>
              <w:jc w:val="center"/>
              <w:rPr>
                <w:bCs/>
                <w:sz w:val="20"/>
                <w:szCs w:val="20"/>
                <w:lang w:eastAsia="zh-CN"/>
              </w:rPr>
            </w:pPr>
            <w:r>
              <w:rPr>
                <w:rFonts w:hint="eastAsia"/>
                <w:bCs/>
                <w:sz w:val="20"/>
                <w:szCs w:val="20"/>
                <w:lang w:eastAsia="zh-CN"/>
              </w:rPr>
              <w:t>842</w:t>
            </w:r>
          </w:p>
        </w:tc>
        <w:tc>
          <w:tcPr>
            <w:tcW w:w="1251" w:type="pct"/>
            <w:shd w:val="clear" w:color="auto" w:fill="FFFFFF"/>
            <w:vAlign w:val="center"/>
          </w:tcPr>
          <w:p w14:paraId="13938486">
            <w:pPr>
              <w:jc w:val="center"/>
              <w:rPr>
                <w:bCs/>
                <w:sz w:val="20"/>
                <w:szCs w:val="20"/>
                <w:lang w:eastAsia="zh-CN"/>
              </w:rPr>
            </w:pPr>
            <w:r>
              <w:rPr>
                <w:rFonts w:hint="eastAsia"/>
                <w:bCs/>
                <w:sz w:val="20"/>
                <w:szCs w:val="20"/>
                <w:lang w:eastAsia="zh-CN"/>
              </w:rPr>
              <w:t>849</w:t>
            </w:r>
          </w:p>
        </w:tc>
        <w:tc>
          <w:tcPr>
            <w:tcW w:w="1252" w:type="pct"/>
            <w:shd w:val="clear" w:color="auto" w:fill="FFFFFF"/>
            <w:vAlign w:val="center"/>
          </w:tcPr>
          <w:p w14:paraId="1D4FB68A">
            <w:pPr>
              <w:jc w:val="center"/>
              <w:rPr>
                <w:bCs/>
                <w:sz w:val="20"/>
                <w:szCs w:val="20"/>
                <w:lang w:eastAsia="zh-CN"/>
              </w:rPr>
            </w:pPr>
            <w:r>
              <w:rPr>
                <w:rFonts w:hint="eastAsia"/>
                <w:bCs/>
                <w:sz w:val="20"/>
                <w:szCs w:val="20"/>
                <w:lang w:eastAsia="zh-CN"/>
              </w:rPr>
              <w:t>917</w:t>
            </w:r>
          </w:p>
        </w:tc>
      </w:tr>
      <w:tr w14:paraId="6330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128FCA7C">
            <w:pPr>
              <w:jc w:val="center"/>
              <w:rPr>
                <w:bCs/>
                <w:sz w:val="20"/>
                <w:szCs w:val="20"/>
                <w:lang w:eastAsia="zh-CN"/>
              </w:rPr>
            </w:pPr>
            <w:r>
              <w:rPr>
                <w:rFonts w:hint="eastAsia"/>
                <w:bCs/>
                <w:sz w:val="20"/>
                <w:szCs w:val="20"/>
                <w:lang w:eastAsia="zh-CN"/>
              </w:rPr>
              <w:t>医药卫生类</w:t>
            </w:r>
          </w:p>
        </w:tc>
        <w:tc>
          <w:tcPr>
            <w:tcW w:w="1251" w:type="pct"/>
            <w:shd w:val="clear" w:color="auto" w:fill="FFFFFF"/>
            <w:vAlign w:val="center"/>
          </w:tcPr>
          <w:p w14:paraId="3157A92D">
            <w:pPr>
              <w:jc w:val="center"/>
              <w:rPr>
                <w:bCs/>
                <w:sz w:val="20"/>
                <w:szCs w:val="20"/>
                <w:lang w:eastAsia="zh-CN"/>
              </w:rPr>
            </w:pPr>
            <w:r>
              <w:rPr>
                <w:rFonts w:hint="eastAsia"/>
                <w:bCs/>
                <w:sz w:val="20"/>
                <w:szCs w:val="20"/>
                <w:lang w:eastAsia="zh-CN"/>
              </w:rPr>
              <w:t>55</w:t>
            </w:r>
          </w:p>
        </w:tc>
        <w:tc>
          <w:tcPr>
            <w:tcW w:w="1251" w:type="pct"/>
            <w:shd w:val="clear" w:color="auto" w:fill="FFFFFF"/>
            <w:vAlign w:val="center"/>
          </w:tcPr>
          <w:p w14:paraId="0B01EAAF">
            <w:pPr>
              <w:jc w:val="center"/>
              <w:rPr>
                <w:bCs/>
                <w:sz w:val="20"/>
                <w:szCs w:val="20"/>
                <w:lang w:eastAsia="zh-CN"/>
              </w:rPr>
            </w:pPr>
            <w:r>
              <w:rPr>
                <w:rFonts w:hint="eastAsia"/>
                <w:bCs/>
                <w:sz w:val="20"/>
                <w:szCs w:val="20"/>
                <w:lang w:eastAsia="zh-CN"/>
              </w:rPr>
              <w:t>52</w:t>
            </w:r>
          </w:p>
        </w:tc>
        <w:tc>
          <w:tcPr>
            <w:tcW w:w="1252" w:type="pct"/>
            <w:shd w:val="clear" w:color="auto" w:fill="FFFFFF"/>
            <w:vAlign w:val="center"/>
          </w:tcPr>
          <w:p w14:paraId="6394EC0D">
            <w:pPr>
              <w:jc w:val="center"/>
              <w:rPr>
                <w:bCs/>
                <w:sz w:val="20"/>
                <w:szCs w:val="20"/>
                <w:lang w:eastAsia="zh-CN"/>
              </w:rPr>
            </w:pPr>
            <w:r>
              <w:rPr>
                <w:rFonts w:hint="eastAsia"/>
                <w:bCs/>
                <w:sz w:val="20"/>
                <w:szCs w:val="20"/>
                <w:lang w:eastAsia="zh-CN"/>
              </w:rPr>
              <w:t>50</w:t>
            </w:r>
          </w:p>
        </w:tc>
      </w:tr>
      <w:tr w14:paraId="3A1B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5AF34B74">
            <w:pPr>
              <w:jc w:val="center"/>
              <w:rPr>
                <w:bCs/>
                <w:sz w:val="20"/>
                <w:szCs w:val="20"/>
                <w:lang w:eastAsia="zh-CN"/>
              </w:rPr>
            </w:pPr>
            <w:r>
              <w:rPr>
                <w:rFonts w:hint="eastAsia"/>
                <w:bCs/>
                <w:sz w:val="20"/>
                <w:szCs w:val="20"/>
                <w:lang w:eastAsia="zh-CN"/>
              </w:rPr>
              <w:t>教育与体育类</w:t>
            </w:r>
          </w:p>
        </w:tc>
        <w:tc>
          <w:tcPr>
            <w:tcW w:w="1251" w:type="pct"/>
            <w:shd w:val="clear" w:color="auto" w:fill="FFFFFF"/>
            <w:vAlign w:val="center"/>
          </w:tcPr>
          <w:p w14:paraId="42A286BE">
            <w:pPr>
              <w:jc w:val="center"/>
              <w:rPr>
                <w:bCs/>
                <w:sz w:val="20"/>
                <w:szCs w:val="20"/>
                <w:lang w:eastAsia="zh-CN"/>
              </w:rPr>
            </w:pPr>
            <w:r>
              <w:rPr>
                <w:rFonts w:hint="eastAsia"/>
                <w:bCs/>
                <w:sz w:val="20"/>
                <w:szCs w:val="20"/>
                <w:lang w:eastAsia="zh-CN"/>
              </w:rPr>
              <w:t>540</w:t>
            </w:r>
          </w:p>
        </w:tc>
        <w:tc>
          <w:tcPr>
            <w:tcW w:w="1251" w:type="pct"/>
            <w:shd w:val="clear" w:color="auto" w:fill="FFFFFF"/>
            <w:vAlign w:val="center"/>
          </w:tcPr>
          <w:p w14:paraId="70180C8C">
            <w:pPr>
              <w:jc w:val="center"/>
              <w:rPr>
                <w:bCs/>
                <w:sz w:val="20"/>
                <w:szCs w:val="20"/>
                <w:lang w:eastAsia="zh-CN"/>
              </w:rPr>
            </w:pPr>
            <w:r>
              <w:rPr>
                <w:rFonts w:hint="eastAsia"/>
                <w:bCs/>
                <w:sz w:val="20"/>
                <w:szCs w:val="20"/>
                <w:lang w:eastAsia="zh-CN"/>
              </w:rPr>
              <w:t>523</w:t>
            </w:r>
          </w:p>
        </w:tc>
        <w:tc>
          <w:tcPr>
            <w:tcW w:w="1252" w:type="pct"/>
            <w:shd w:val="clear" w:color="auto" w:fill="FFFFFF"/>
            <w:vAlign w:val="center"/>
          </w:tcPr>
          <w:p w14:paraId="65A65BC8">
            <w:pPr>
              <w:jc w:val="center"/>
              <w:rPr>
                <w:bCs/>
                <w:sz w:val="20"/>
                <w:szCs w:val="20"/>
                <w:lang w:eastAsia="zh-CN"/>
              </w:rPr>
            </w:pPr>
            <w:r>
              <w:rPr>
                <w:rFonts w:hint="eastAsia"/>
                <w:bCs/>
                <w:sz w:val="20"/>
                <w:szCs w:val="20"/>
                <w:lang w:eastAsia="zh-CN"/>
              </w:rPr>
              <w:t>395</w:t>
            </w:r>
          </w:p>
        </w:tc>
      </w:tr>
      <w:tr w14:paraId="1606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5BFF874A">
            <w:pPr>
              <w:jc w:val="center"/>
              <w:rPr>
                <w:bCs/>
                <w:sz w:val="20"/>
                <w:szCs w:val="20"/>
                <w:lang w:eastAsia="zh-CN"/>
              </w:rPr>
            </w:pPr>
            <w:r>
              <w:rPr>
                <w:rFonts w:hint="eastAsia"/>
                <w:bCs/>
                <w:sz w:val="20"/>
                <w:szCs w:val="20"/>
                <w:lang w:eastAsia="zh-CN"/>
              </w:rPr>
              <w:t>新闻传播类</w:t>
            </w:r>
          </w:p>
        </w:tc>
        <w:tc>
          <w:tcPr>
            <w:tcW w:w="1251" w:type="pct"/>
            <w:shd w:val="clear" w:color="auto" w:fill="FFFFFF"/>
            <w:vAlign w:val="center"/>
          </w:tcPr>
          <w:p w14:paraId="74F5FF77">
            <w:pPr>
              <w:jc w:val="center"/>
              <w:rPr>
                <w:bCs/>
                <w:sz w:val="20"/>
                <w:szCs w:val="20"/>
                <w:lang w:eastAsia="zh-CN"/>
              </w:rPr>
            </w:pPr>
            <w:r>
              <w:rPr>
                <w:rFonts w:hint="eastAsia"/>
                <w:bCs/>
                <w:sz w:val="20"/>
                <w:szCs w:val="20"/>
                <w:lang w:eastAsia="zh-CN"/>
              </w:rPr>
              <w:t>295</w:t>
            </w:r>
          </w:p>
        </w:tc>
        <w:tc>
          <w:tcPr>
            <w:tcW w:w="1251" w:type="pct"/>
            <w:shd w:val="clear" w:color="auto" w:fill="FFFFFF"/>
            <w:vAlign w:val="center"/>
          </w:tcPr>
          <w:p w14:paraId="1C56736A">
            <w:pPr>
              <w:jc w:val="center"/>
              <w:rPr>
                <w:bCs/>
                <w:sz w:val="20"/>
                <w:szCs w:val="20"/>
                <w:lang w:eastAsia="zh-CN"/>
              </w:rPr>
            </w:pPr>
            <w:r>
              <w:rPr>
                <w:rFonts w:hint="eastAsia"/>
                <w:bCs/>
                <w:sz w:val="20"/>
                <w:szCs w:val="20"/>
                <w:lang w:eastAsia="zh-CN"/>
              </w:rPr>
              <w:t>306</w:t>
            </w:r>
          </w:p>
        </w:tc>
        <w:tc>
          <w:tcPr>
            <w:tcW w:w="1252" w:type="pct"/>
            <w:shd w:val="clear" w:color="auto" w:fill="FFFFFF"/>
            <w:vAlign w:val="center"/>
          </w:tcPr>
          <w:p w14:paraId="3B9674A9">
            <w:pPr>
              <w:jc w:val="center"/>
              <w:rPr>
                <w:bCs/>
                <w:sz w:val="20"/>
                <w:szCs w:val="20"/>
                <w:lang w:eastAsia="zh-CN"/>
              </w:rPr>
            </w:pPr>
            <w:r>
              <w:rPr>
                <w:rFonts w:hint="eastAsia"/>
                <w:bCs/>
                <w:sz w:val="20"/>
                <w:szCs w:val="20"/>
                <w:lang w:eastAsia="zh-CN"/>
              </w:rPr>
              <w:t>401</w:t>
            </w:r>
          </w:p>
        </w:tc>
      </w:tr>
      <w:tr w14:paraId="359A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0C785030">
            <w:pPr>
              <w:jc w:val="center"/>
              <w:rPr>
                <w:bCs/>
                <w:sz w:val="20"/>
                <w:szCs w:val="20"/>
                <w:lang w:eastAsia="zh-CN"/>
              </w:rPr>
            </w:pPr>
            <w:r>
              <w:rPr>
                <w:rFonts w:hint="eastAsia"/>
                <w:bCs/>
                <w:sz w:val="20"/>
                <w:szCs w:val="20"/>
                <w:lang w:eastAsia="zh-CN"/>
              </w:rPr>
              <w:t>财经商贸类</w:t>
            </w:r>
          </w:p>
        </w:tc>
        <w:tc>
          <w:tcPr>
            <w:tcW w:w="1251" w:type="pct"/>
            <w:shd w:val="clear" w:color="auto" w:fill="FFFFFF"/>
            <w:vAlign w:val="center"/>
          </w:tcPr>
          <w:p w14:paraId="7EA8EC98">
            <w:pPr>
              <w:jc w:val="center"/>
              <w:rPr>
                <w:bCs/>
                <w:sz w:val="20"/>
                <w:szCs w:val="20"/>
                <w:lang w:eastAsia="zh-CN"/>
              </w:rPr>
            </w:pPr>
            <w:r>
              <w:rPr>
                <w:rFonts w:hint="eastAsia"/>
                <w:bCs/>
                <w:sz w:val="20"/>
                <w:szCs w:val="20"/>
                <w:lang w:eastAsia="zh-CN"/>
              </w:rPr>
              <w:t>824</w:t>
            </w:r>
          </w:p>
        </w:tc>
        <w:tc>
          <w:tcPr>
            <w:tcW w:w="1251" w:type="pct"/>
            <w:shd w:val="clear" w:color="auto" w:fill="FFFFFF"/>
            <w:vAlign w:val="center"/>
          </w:tcPr>
          <w:p w14:paraId="31897509">
            <w:pPr>
              <w:jc w:val="center"/>
              <w:rPr>
                <w:bCs/>
                <w:sz w:val="20"/>
                <w:szCs w:val="20"/>
                <w:lang w:eastAsia="zh-CN"/>
              </w:rPr>
            </w:pPr>
            <w:r>
              <w:rPr>
                <w:rFonts w:hint="eastAsia"/>
                <w:bCs/>
                <w:sz w:val="20"/>
                <w:szCs w:val="20"/>
                <w:lang w:eastAsia="zh-CN"/>
              </w:rPr>
              <w:t>779</w:t>
            </w:r>
          </w:p>
        </w:tc>
        <w:tc>
          <w:tcPr>
            <w:tcW w:w="1252" w:type="pct"/>
            <w:shd w:val="clear" w:color="auto" w:fill="FFFFFF"/>
            <w:vAlign w:val="center"/>
          </w:tcPr>
          <w:p w14:paraId="015BB0D1">
            <w:pPr>
              <w:jc w:val="center"/>
              <w:rPr>
                <w:bCs/>
                <w:sz w:val="20"/>
                <w:szCs w:val="20"/>
                <w:lang w:eastAsia="zh-CN"/>
              </w:rPr>
            </w:pPr>
            <w:r>
              <w:rPr>
                <w:rFonts w:hint="eastAsia"/>
                <w:bCs/>
                <w:sz w:val="20"/>
                <w:szCs w:val="20"/>
                <w:lang w:eastAsia="zh-CN"/>
              </w:rPr>
              <w:t>656</w:t>
            </w:r>
          </w:p>
        </w:tc>
      </w:tr>
      <w:tr w14:paraId="03B5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13976FAC">
            <w:pPr>
              <w:jc w:val="center"/>
              <w:rPr>
                <w:bCs/>
                <w:sz w:val="20"/>
                <w:szCs w:val="20"/>
                <w:lang w:eastAsia="zh-CN"/>
              </w:rPr>
            </w:pPr>
            <w:r>
              <w:rPr>
                <w:rFonts w:hint="eastAsia"/>
                <w:bCs/>
                <w:sz w:val="20"/>
                <w:szCs w:val="20"/>
                <w:lang w:eastAsia="zh-CN"/>
              </w:rPr>
              <w:t>公共管理与服务类</w:t>
            </w:r>
          </w:p>
        </w:tc>
        <w:tc>
          <w:tcPr>
            <w:tcW w:w="1251" w:type="pct"/>
            <w:shd w:val="clear" w:color="auto" w:fill="FFFFFF"/>
            <w:vAlign w:val="center"/>
          </w:tcPr>
          <w:p w14:paraId="33A3E2B1">
            <w:pPr>
              <w:jc w:val="center"/>
              <w:rPr>
                <w:bCs/>
                <w:sz w:val="20"/>
                <w:szCs w:val="20"/>
                <w:lang w:eastAsia="zh-CN"/>
              </w:rPr>
            </w:pPr>
            <w:r>
              <w:rPr>
                <w:rFonts w:hint="eastAsia"/>
                <w:bCs/>
                <w:sz w:val="20"/>
                <w:szCs w:val="20"/>
                <w:lang w:eastAsia="zh-CN"/>
              </w:rPr>
              <w:t>56</w:t>
            </w:r>
          </w:p>
        </w:tc>
        <w:tc>
          <w:tcPr>
            <w:tcW w:w="1251" w:type="pct"/>
            <w:shd w:val="clear" w:color="auto" w:fill="FFFFFF"/>
            <w:vAlign w:val="center"/>
          </w:tcPr>
          <w:p w14:paraId="313C6589">
            <w:pPr>
              <w:jc w:val="center"/>
              <w:rPr>
                <w:bCs/>
                <w:sz w:val="20"/>
                <w:szCs w:val="20"/>
                <w:lang w:eastAsia="zh-CN"/>
              </w:rPr>
            </w:pPr>
            <w:r>
              <w:rPr>
                <w:rFonts w:hint="eastAsia"/>
                <w:bCs/>
                <w:sz w:val="20"/>
                <w:szCs w:val="20"/>
                <w:lang w:eastAsia="zh-CN"/>
              </w:rPr>
              <w:t>23</w:t>
            </w:r>
          </w:p>
        </w:tc>
        <w:tc>
          <w:tcPr>
            <w:tcW w:w="1252" w:type="pct"/>
            <w:shd w:val="clear" w:color="auto" w:fill="FFFFFF"/>
            <w:vAlign w:val="center"/>
          </w:tcPr>
          <w:p w14:paraId="75100C50">
            <w:pPr>
              <w:jc w:val="center"/>
              <w:rPr>
                <w:bCs/>
                <w:sz w:val="20"/>
                <w:szCs w:val="20"/>
                <w:lang w:eastAsia="zh-CN"/>
              </w:rPr>
            </w:pPr>
            <w:r>
              <w:rPr>
                <w:rFonts w:hint="eastAsia"/>
                <w:bCs/>
                <w:sz w:val="20"/>
                <w:szCs w:val="20"/>
                <w:lang w:eastAsia="zh-CN"/>
              </w:rPr>
              <w:t>13</w:t>
            </w:r>
          </w:p>
        </w:tc>
      </w:tr>
      <w:tr w14:paraId="4F02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5C7996B1">
            <w:pPr>
              <w:jc w:val="center"/>
              <w:rPr>
                <w:bCs/>
                <w:sz w:val="20"/>
                <w:szCs w:val="20"/>
                <w:lang w:eastAsia="zh-CN"/>
              </w:rPr>
            </w:pPr>
            <w:r>
              <w:rPr>
                <w:rFonts w:hint="eastAsia"/>
                <w:bCs/>
                <w:sz w:val="20"/>
                <w:szCs w:val="20"/>
                <w:lang w:eastAsia="zh-CN"/>
              </w:rPr>
              <w:t>旅游类</w:t>
            </w:r>
          </w:p>
        </w:tc>
        <w:tc>
          <w:tcPr>
            <w:tcW w:w="1251" w:type="pct"/>
            <w:shd w:val="clear" w:color="auto" w:fill="FFFFFF"/>
            <w:vAlign w:val="center"/>
          </w:tcPr>
          <w:p w14:paraId="3F96E75B">
            <w:pPr>
              <w:jc w:val="center"/>
              <w:rPr>
                <w:bCs/>
                <w:sz w:val="20"/>
                <w:szCs w:val="20"/>
                <w:lang w:eastAsia="zh-CN"/>
              </w:rPr>
            </w:pPr>
            <w:r>
              <w:rPr>
                <w:rFonts w:hint="eastAsia"/>
                <w:bCs/>
                <w:sz w:val="20"/>
                <w:szCs w:val="20"/>
                <w:lang w:eastAsia="zh-CN"/>
              </w:rPr>
              <w:t>452</w:t>
            </w:r>
          </w:p>
        </w:tc>
        <w:tc>
          <w:tcPr>
            <w:tcW w:w="1251" w:type="pct"/>
            <w:shd w:val="clear" w:color="auto" w:fill="FFFFFF"/>
            <w:vAlign w:val="center"/>
          </w:tcPr>
          <w:p w14:paraId="1B366CD8">
            <w:pPr>
              <w:jc w:val="center"/>
              <w:rPr>
                <w:bCs/>
                <w:sz w:val="20"/>
                <w:szCs w:val="20"/>
                <w:lang w:eastAsia="zh-CN"/>
              </w:rPr>
            </w:pPr>
            <w:r>
              <w:rPr>
                <w:rFonts w:hint="eastAsia"/>
                <w:bCs/>
                <w:sz w:val="20"/>
                <w:szCs w:val="20"/>
                <w:lang w:eastAsia="zh-CN"/>
              </w:rPr>
              <w:t>504</w:t>
            </w:r>
          </w:p>
        </w:tc>
        <w:tc>
          <w:tcPr>
            <w:tcW w:w="1252" w:type="pct"/>
            <w:shd w:val="clear" w:color="auto" w:fill="FFFFFF"/>
            <w:vAlign w:val="center"/>
          </w:tcPr>
          <w:p w14:paraId="11FA6BB2">
            <w:pPr>
              <w:jc w:val="center"/>
              <w:rPr>
                <w:bCs/>
                <w:sz w:val="20"/>
                <w:szCs w:val="20"/>
                <w:lang w:eastAsia="zh-CN"/>
              </w:rPr>
            </w:pPr>
            <w:r>
              <w:rPr>
                <w:rFonts w:hint="eastAsia"/>
                <w:bCs/>
                <w:sz w:val="20"/>
                <w:szCs w:val="20"/>
                <w:lang w:eastAsia="zh-CN"/>
              </w:rPr>
              <w:t>568</w:t>
            </w:r>
          </w:p>
        </w:tc>
      </w:tr>
      <w:tr w14:paraId="0281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23A7A07A">
            <w:pPr>
              <w:jc w:val="center"/>
              <w:rPr>
                <w:bCs/>
                <w:sz w:val="20"/>
                <w:szCs w:val="20"/>
                <w:lang w:eastAsia="zh-CN"/>
              </w:rPr>
            </w:pPr>
            <w:r>
              <w:rPr>
                <w:rFonts w:hint="eastAsia"/>
                <w:bCs/>
                <w:sz w:val="20"/>
                <w:szCs w:val="20"/>
                <w:lang w:eastAsia="zh-CN"/>
              </w:rPr>
              <w:t>文化艺术类</w:t>
            </w:r>
          </w:p>
        </w:tc>
        <w:tc>
          <w:tcPr>
            <w:tcW w:w="1251" w:type="pct"/>
            <w:shd w:val="clear" w:color="auto" w:fill="FFFFFF"/>
            <w:vAlign w:val="center"/>
          </w:tcPr>
          <w:p w14:paraId="70C431D3">
            <w:pPr>
              <w:jc w:val="center"/>
              <w:rPr>
                <w:bCs/>
                <w:sz w:val="20"/>
                <w:szCs w:val="20"/>
                <w:lang w:eastAsia="zh-CN"/>
              </w:rPr>
            </w:pPr>
            <w:r>
              <w:rPr>
                <w:rFonts w:hint="eastAsia"/>
                <w:bCs/>
                <w:sz w:val="20"/>
                <w:szCs w:val="20"/>
                <w:lang w:eastAsia="zh-CN"/>
              </w:rPr>
              <w:t>2682</w:t>
            </w:r>
          </w:p>
        </w:tc>
        <w:tc>
          <w:tcPr>
            <w:tcW w:w="1251" w:type="pct"/>
            <w:shd w:val="clear" w:color="auto" w:fill="FFFFFF"/>
            <w:vAlign w:val="center"/>
          </w:tcPr>
          <w:p w14:paraId="31B84CC3">
            <w:pPr>
              <w:jc w:val="center"/>
              <w:rPr>
                <w:bCs/>
                <w:sz w:val="20"/>
                <w:szCs w:val="20"/>
                <w:lang w:eastAsia="zh-CN"/>
              </w:rPr>
            </w:pPr>
            <w:r>
              <w:rPr>
                <w:rFonts w:hint="eastAsia"/>
                <w:bCs/>
                <w:sz w:val="20"/>
                <w:szCs w:val="20"/>
                <w:lang w:eastAsia="zh-CN"/>
              </w:rPr>
              <w:t>2827</w:t>
            </w:r>
          </w:p>
        </w:tc>
        <w:tc>
          <w:tcPr>
            <w:tcW w:w="1252" w:type="pct"/>
            <w:shd w:val="clear" w:color="auto" w:fill="FFFFFF"/>
            <w:vAlign w:val="center"/>
          </w:tcPr>
          <w:p w14:paraId="066597E8">
            <w:pPr>
              <w:jc w:val="center"/>
              <w:rPr>
                <w:bCs/>
                <w:sz w:val="20"/>
                <w:szCs w:val="20"/>
                <w:lang w:eastAsia="zh-CN"/>
              </w:rPr>
            </w:pPr>
            <w:r>
              <w:rPr>
                <w:rFonts w:hint="eastAsia"/>
                <w:bCs/>
                <w:sz w:val="20"/>
                <w:szCs w:val="20"/>
                <w:lang w:eastAsia="zh-CN"/>
              </w:rPr>
              <w:t>2550</w:t>
            </w:r>
          </w:p>
        </w:tc>
      </w:tr>
      <w:tr w14:paraId="67E1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33D56ABB">
            <w:pPr>
              <w:jc w:val="center"/>
              <w:rPr>
                <w:bCs/>
                <w:sz w:val="20"/>
                <w:szCs w:val="20"/>
                <w:lang w:eastAsia="zh-CN"/>
              </w:rPr>
            </w:pPr>
            <w:r>
              <w:rPr>
                <w:rFonts w:hint="eastAsia"/>
                <w:bCs/>
                <w:sz w:val="20"/>
                <w:szCs w:val="20"/>
                <w:lang w:eastAsia="zh-CN"/>
              </w:rPr>
              <w:t>机械类</w:t>
            </w:r>
          </w:p>
        </w:tc>
        <w:tc>
          <w:tcPr>
            <w:tcW w:w="1251" w:type="pct"/>
            <w:shd w:val="clear" w:color="auto" w:fill="FFFFFF"/>
            <w:vAlign w:val="center"/>
          </w:tcPr>
          <w:p w14:paraId="1D6C575D">
            <w:pPr>
              <w:jc w:val="center"/>
              <w:rPr>
                <w:bCs/>
                <w:sz w:val="20"/>
                <w:szCs w:val="20"/>
                <w:lang w:eastAsia="zh-CN"/>
              </w:rPr>
            </w:pPr>
            <w:r>
              <w:rPr>
                <w:rFonts w:hint="eastAsia"/>
                <w:bCs/>
                <w:sz w:val="20"/>
                <w:szCs w:val="20"/>
                <w:lang w:eastAsia="zh-CN"/>
              </w:rPr>
              <w:t>30</w:t>
            </w:r>
          </w:p>
        </w:tc>
        <w:tc>
          <w:tcPr>
            <w:tcW w:w="1251" w:type="pct"/>
            <w:shd w:val="clear" w:color="auto" w:fill="FFFFFF"/>
            <w:vAlign w:val="center"/>
          </w:tcPr>
          <w:p w14:paraId="60604394">
            <w:pPr>
              <w:jc w:val="center"/>
              <w:rPr>
                <w:bCs/>
                <w:sz w:val="20"/>
                <w:szCs w:val="20"/>
                <w:lang w:eastAsia="zh-CN"/>
              </w:rPr>
            </w:pPr>
            <w:r>
              <w:rPr>
                <w:rFonts w:hint="eastAsia"/>
                <w:bCs/>
                <w:sz w:val="20"/>
                <w:szCs w:val="20"/>
                <w:lang w:eastAsia="zh-CN"/>
              </w:rPr>
              <w:t>20</w:t>
            </w:r>
          </w:p>
        </w:tc>
        <w:tc>
          <w:tcPr>
            <w:tcW w:w="1252" w:type="pct"/>
            <w:shd w:val="clear" w:color="auto" w:fill="FFFFFF"/>
            <w:vAlign w:val="center"/>
          </w:tcPr>
          <w:p w14:paraId="680D78D4">
            <w:pPr>
              <w:jc w:val="center"/>
              <w:rPr>
                <w:bCs/>
                <w:sz w:val="20"/>
                <w:szCs w:val="20"/>
                <w:lang w:eastAsia="zh-CN"/>
              </w:rPr>
            </w:pPr>
            <w:r>
              <w:rPr>
                <w:rFonts w:hint="eastAsia"/>
                <w:bCs/>
                <w:sz w:val="20"/>
                <w:szCs w:val="20"/>
                <w:lang w:eastAsia="zh-CN"/>
              </w:rPr>
              <w:t>25</w:t>
            </w:r>
          </w:p>
        </w:tc>
      </w:tr>
      <w:tr w14:paraId="22E4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4816094E">
            <w:pPr>
              <w:jc w:val="center"/>
              <w:rPr>
                <w:bCs/>
                <w:sz w:val="20"/>
                <w:szCs w:val="20"/>
                <w:lang w:eastAsia="zh-CN"/>
              </w:rPr>
            </w:pPr>
            <w:r>
              <w:rPr>
                <w:rFonts w:hint="eastAsia"/>
                <w:bCs/>
                <w:sz w:val="20"/>
                <w:szCs w:val="20"/>
                <w:lang w:eastAsia="zh-CN"/>
              </w:rPr>
              <w:t>电子与信息类</w:t>
            </w:r>
          </w:p>
        </w:tc>
        <w:tc>
          <w:tcPr>
            <w:tcW w:w="1251" w:type="pct"/>
            <w:shd w:val="clear" w:color="auto" w:fill="FFFFFF"/>
            <w:vAlign w:val="center"/>
          </w:tcPr>
          <w:p w14:paraId="106FD399">
            <w:pPr>
              <w:jc w:val="center"/>
              <w:rPr>
                <w:bCs/>
                <w:sz w:val="20"/>
                <w:szCs w:val="20"/>
                <w:lang w:eastAsia="zh-CN"/>
              </w:rPr>
            </w:pPr>
            <w:r>
              <w:rPr>
                <w:rFonts w:hint="eastAsia"/>
                <w:bCs/>
                <w:sz w:val="20"/>
                <w:szCs w:val="20"/>
                <w:lang w:eastAsia="zh-CN"/>
              </w:rPr>
              <w:t>1572</w:t>
            </w:r>
          </w:p>
        </w:tc>
        <w:tc>
          <w:tcPr>
            <w:tcW w:w="1251" w:type="pct"/>
            <w:shd w:val="clear" w:color="auto" w:fill="FFFFFF"/>
            <w:vAlign w:val="center"/>
          </w:tcPr>
          <w:p w14:paraId="2D155B64">
            <w:pPr>
              <w:jc w:val="center"/>
              <w:rPr>
                <w:bCs/>
                <w:sz w:val="20"/>
                <w:szCs w:val="20"/>
                <w:lang w:eastAsia="zh-CN"/>
              </w:rPr>
            </w:pPr>
            <w:r>
              <w:rPr>
                <w:rFonts w:hint="eastAsia"/>
                <w:bCs/>
                <w:sz w:val="20"/>
                <w:szCs w:val="20"/>
                <w:lang w:eastAsia="zh-CN"/>
              </w:rPr>
              <w:t>1649</w:t>
            </w:r>
          </w:p>
        </w:tc>
        <w:tc>
          <w:tcPr>
            <w:tcW w:w="1252" w:type="pct"/>
            <w:shd w:val="clear" w:color="auto" w:fill="FFFFFF"/>
            <w:vAlign w:val="center"/>
          </w:tcPr>
          <w:p w14:paraId="275FD7C2">
            <w:pPr>
              <w:jc w:val="center"/>
              <w:rPr>
                <w:bCs/>
                <w:sz w:val="20"/>
                <w:szCs w:val="20"/>
                <w:lang w:eastAsia="zh-CN"/>
              </w:rPr>
            </w:pPr>
            <w:r>
              <w:rPr>
                <w:rFonts w:hint="eastAsia"/>
                <w:bCs/>
                <w:sz w:val="20"/>
                <w:szCs w:val="20"/>
                <w:lang w:eastAsia="zh-CN"/>
              </w:rPr>
              <w:t>1450</w:t>
            </w:r>
          </w:p>
        </w:tc>
      </w:tr>
      <w:tr w14:paraId="3237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43293035">
            <w:pPr>
              <w:jc w:val="center"/>
              <w:rPr>
                <w:bCs/>
                <w:sz w:val="20"/>
                <w:szCs w:val="20"/>
                <w:lang w:eastAsia="zh-CN"/>
              </w:rPr>
            </w:pPr>
            <w:r>
              <w:rPr>
                <w:rFonts w:hint="eastAsia"/>
                <w:bCs/>
                <w:sz w:val="20"/>
                <w:szCs w:val="20"/>
                <w:lang w:eastAsia="zh-CN"/>
              </w:rPr>
              <w:t>交通运输类</w:t>
            </w:r>
          </w:p>
        </w:tc>
        <w:tc>
          <w:tcPr>
            <w:tcW w:w="1251" w:type="pct"/>
            <w:shd w:val="clear" w:color="auto" w:fill="FFFFFF"/>
            <w:vAlign w:val="center"/>
          </w:tcPr>
          <w:p w14:paraId="1E2B3926">
            <w:pPr>
              <w:jc w:val="center"/>
              <w:rPr>
                <w:bCs/>
                <w:sz w:val="20"/>
                <w:szCs w:val="20"/>
                <w:lang w:eastAsia="zh-CN"/>
              </w:rPr>
            </w:pPr>
            <w:r>
              <w:rPr>
                <w:rFonts w:hint="eastAsia"/>
                <w:bCs/>
                <w:sz w:val="20"/>
                <w:szCs w:val="20"/>
                <w:lang w:eastAsia="zh-CN"/>
              </w:rPr>
              <w:t>1796</w:t>
            </w:r>
          </w:p>
        </w:tc>
        <w:tc>
          <w:tcPr>
            <w:tcW w:w="1251" w:type="pct"/>
            <w:shd w:val="clear" w:color="auto" w:fill="FFFFFF"/>
            <w:vAlign w:val="center"/>
          </w:tcPr>
          <w:p w14:paraId="7B3C1CC0">
            <w:pPr>
              <w:jc w:val="center"/>
              <w:rPr>
                <w:bCs/>
                <w:sz w:val="20"/>
                <w:szCs w:val="20"/>
                <w:lang w:eastAsia="zh-CN"/>
              </w:rPr>
            </w:pPr>
            <w:r>
              <w:rPr>
                <w:rFonts w:hint="eastAsia"/>
                <w:bCs/>
                <w:sz w:val="20"/>
                <w:szCs w:val="20"/>
                <w:lang w:eastAsia="zh-CN"/>
              </w:rPr>
              <w:t>1756</w:t>
            </w:r>
          </w:p>
        </w:tc>
        <w:tc>
          <w:tcPr>
            <w:tcW w:w="1252" w:type="pct"/>
            <w:shd w:val="clear" w:color="auto" w:fill="FFFFFF"/>
            <w:vAlign w:val="center"/>
          </w:tcPr>
          <w:p w14:paraId="4C27E98F">
            <w:pPr>
              <w:jc w:val="center"/>
              <w:rPr>
                <w:bCs/>
                <w:sz w:val="20"/>
                <w:szCs w:val="20"/>
                <w:lang w:eastAsia="zh-CN"/>
              </w:rPr>
            </w:pPr>
            <w:r>
              <w:rPr>
                <w:rFonts w:hint="eastAsia"/>
                <w:bCs/>
                <w:sz w:val="20"/>
                <w:szCs w:val="20"/>
                <w:lang w:eastAsia="zh-CN"/>
              </w:rPr>
              <w:t>1572</w:t>
            </w:r>
          </w:p>
        </w:tc>
      </w:tr>
      <w:tr w14:paraId="2366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29133592">
            <w:pPr>
              <w:jc w:val="center"/>
              <w:rPr>
                <w:bCs/>
                <w:sz w:val="20"/>
                <w:szCs w:val="20"/>
                <w:lang w:eastAsia="zh-CN"/>
              </w:rPr>
            </w:pPr>
            <w:r>
              <w:rPr>
                <w:rFonts w:hint="eastAsia"/>
                <w:bCs/>
                <w:sz w:val="20"/>
                <w:szCs w:val="20"/>
                <w:lang w:eastAsia="zh-CN"/>
              </w:rPr>
              <w:t>土木建筑类</w:t>
            </w:r>
          </w:p>
        </w:tc>
        <w:tc>
          <w:tcPr>
            <w:tcW w:w="1251" w:type="pct"/>
            <w:shd w:val="clear" w:color="auto" w:fill="FFFFFF"/>
            <w:vAlign w:val="center"/>
          </w:tcPr>
          <w:p w14:paraId="60FAE88B">
            <w:pPr>
              <w:jc w:val="center"/>
              <w:rPr>
                <w:bCs/>
                <w:sz w:val="20"/>
                <w:szCs w:val="20"/>
                <w:lang w:eastAsia="zh-CN"/>
              </w:rPr>
            </w:pPr>
            <w:r>
              <w:rPr>
                <w:rFonts w:hint="eastAsia"/>
                <w:bCs/>
                <w:sz w:val="20"/>
                <w:szCs w:val="20"/>
                <w:lang w:eastAsia="zh-CN"/>
              </w:rPr>
              <w:t>215</w:t>
            </w:r>
          </w:p>
        </w:tc>
        <w:tc>
          <w:tcPr>
            <w:tcW w:w="1251" w:type="pct"/>
            <w:shd w:val="clear" w:color="auto" w:fill="FFFFFF"/>
            <w:vAlign w:val="center"/>
          </w:tcPr>
          <w:p w14:paraId="14B819C7">
            <w:pPr>
              <w:jc w:val="center"/>
              <w:rPr>
                <w:bCs/>
                <w:sz w:val="20"/>
                <w:szCs w:val="20"/>
                <w:lang w:eastAsia="zh-CN"/>
              </w:rPr>
            </w:pPr>
            <w:r>
              <w:rPr>
                <w:rFonts w:hint="eastAsia"/>
                <w:bCs/>
                <w:sz w:val="20"/>
                <w:szCs w:val="20"/>
                <w:lang w:eastAsia="zh-CN"/>
              </w:rPr>
              <w:t>58</w:t>
            </w:r>
          </w:p>
        </w:tc>
        <w:tc>
          <w:tcPr>
            <w:tcW w:w="1252" w:type="pct"/>
            <w:shd w:val="clear" w:color="auto" w:fill="FFFFFF"/>
            <w:vAlign w:val="center"/>
          </w:tcPr>
          <w:p w14:paraId="75C1B5BD">
            <w:pPr>
              <w:jc w:val="center"/>
              <w:rPr>
                <w:bCs/>
                <w:sz w:val="20"/>
                <w:szCs w:val="20"/>
                <w:lang w:eastAsia="zh-CN"/>
              </w:rPr>
            </w:pPr>
            <w:r>
              <w:rPr>
                <w:rFonts w:hint="eastAsia"/>
                <w:bCs/>
                <w:sz w:val="20"/>
                <w:szCs w:val="20"/>
                <w:lang w:eastAsia="zh-CN"/>
              </w:rPr>
              <w:t>0</w:t>
            </w:r>
          </w:p>
        </w:tc>
      </w:tr>
      <w:tr w14:paraId="0044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1F1A6B57">
            <w:pPr>
              <w:jc w:val="center"/>
              <w:rPr>
                <w:bCs/>
                <w:sz w:val="20"/>
                <w:szCs w:val="20"/>
                <w:lang w:eastAsia="zh-CN"/>
              </w:rPr>
            </w:pPr>
            <w:r>
              <w:rPr>
                <w:rFonts w:hint="eastAsia"/>
                <w:bCs/>
                <w:sz w:val="20"/>
                <w:szCs w:val="20"/>
                <w:lang w:eastAsia="zh-CN"/>
              </w:rPr>
              <w:t>综合高中</w:t>
            </w:r>
          </w:p>
        </w:tc>
        <w:tc>
          <w:tcPr>
            <w:tcW w:w="1251" w:type="pct"/>
            <w:shd w:val="clear" w:color="auto" w:fill="FFFFFF"/>
            <w:vAlign w:val="center"/>
          </w:tcPr>
          <w:p w14:paraId="5394B22F">
            <w:pPr>
              <w:jc w:val="center"/>
              <w:rPr>
                <w:bCs/>
                <w:sz w:val="20"/>
                <w:szCs w:val="20"/>
                <w:lang w:eastAsia="zh-CN"/>
              </w:rPr>
            </w:pPr>
            <w:r>
              <w:rPr>
                <w:rFonts w:hint="eastAsia"/>
                <w:bCs/>
                <w:sz w:val="20"/>
                <w:szCs w:val="20"/>
                <w:lang w:eastAsia="zh-CN"/>
              </w:rPr>
              <w:t>0</w:t>
            </w:r>
          </w:p>
        </w:tc>
        <w:tc>
          <w:tcPr>
            <w:tcW w:w="1251" w:type="pct"/>
            <w:shd w:val="clear" w:color="auto" w:fill="FFFFFF"/>
            <w:vAlign w:val="center"/>
          </w:tcPr>
          <w:p w14:paraId="0A849D27">
            <w:pPr>
              <w:jc w:val="center"/>
              <w:rPr>
                <w:bCs/>
                <w:sz w:val="20"/>
                <w:szCs w:val="20"/>
                <w:lang w:eastAsia="zh-CN"/>
              </w:rPr>
            </w:pPr>
            <w:r>
              <w:rPr>
                <w:rFonts w:hint="eastAsia"/>
                <w:bCs/>
                <w:sz w:val="20"/>
                <w:szCs w:val="20"/>
                <w:lang w:eastAsia="zh-CN"/>
              </w:rPr>
              <w:t>0</w:t>
            </w:r>
          </w:p>
        </w:tc>
        <w:tc>
          <w:tcPr>
            <w:tcW w:w="1252" w:type="pct"/>
            <w:shd w:val="clear" w:color="auto" w:fill="FFFFFF"/>
            <w:vAlign w:val="center"/>
          </w:tcPr>
          <w:p w14:paraId="1C8DA01C">
            <w:pPr>
              <w:jc w:val="center"/>
              <w:rPr>
                <w:bCs/>
                <w:sz w:val="20"/>
                <w:szCs w:val="20"/>
                <w:lang w:eastAsia="zh-CN"/>
              </w:rPr>
            </w:pPr>
            <w:r>
              <w:rPr>
                <w:rFonts w:hint="eastAsia"/>
                <w:bCs/>
                <w:sz w:val="20"/>
                <w:szCs w:val="20"/>
                <w:lang w:eastAsia="zh-CN"/>
              </w:rPr>
              <w:t>462</w:t>
            </w:r>
          </w:p>
        </w:tc>
      </w:tr>
      <w:tr w14:paraId="785B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pct"/>
            <w:shd w:val="clear" w:color="auto" w:fill="FFFFFF"/>
            <w:vAlign w:val="center"/>
          </w:tcPr>
          <w:p w14:paraId="4FEC5CB2">
            <w:pPr>
              <w:jc w:val="center"/>
              <w:rPr>
                <w:bCs/>
                <w:sz w:val="20"/>
                <w:szCs w:val="20"/>
                <w:lang w:eastAsia="zh-CN"/>
              </w:rPr>
            </w:pPr>
            <w:r>
              <w:rPr>
                <w:rFonts w:hint="eastAsia"/>
                <w:bCs/>
                <w:sz w:val="20"/>
                <w:szCs w:val="20"/>
                <w:lang w:eastAsia="zh-CN"/>
              </w:rPr>
              <w:t>合计</w:t>
            </w:r>
          </w:p>
        </w:tc>
        <w:tc>
          <w:tcPr>
            <w:tcW w:w="1251" w:type="pct"/>
            <w:shd w:val="clear" w:color="auto" w:fill="FFFFFF"/>
            <w:vAlign w:val="center"/>
          </w:tcPr>
          <w:p w14:paraId="39ACF9D9">
            <w:pPr>
              <w:jc w:val="center"/>
              <w:rPr>
                <w:bCs/>
                <w:sz w:val="20"/>
                <w:szCs w:val="20"/>
                <w:lang w:eastAsia="zh-CN"/>
              </w:rPr>
            </w:pPr>
            <w:r>
              <w:rPr>
                <w:rFonts w:hint="eastAsia"/>
                <w:bCs/>
                <w:sz w:val="20"/>
                <w:szCs w:val="20"/>
                <w:lang w:eastAsia="zh-CN"/>
              </w:rPr>
              <w:t>9359</w:t>
            </w:r>
          </w:p>
        </w:tc>
        <w:tc>
          <w:tcPr>
            <w:tcW w:w="1251" w:type="pct"/>
            <w:shd w:val="clear" w:color="auto" w:fill="FFFFFF"/>
            <w:vAlign w:val="center"/>
          </w:tcPr>
          <w:p w14:paraId="3BF9D23F">
            <w:pPr>
              <w:jc w:val="center"/>
              <w:rPr>
                <w:bCs/>
                <w:sz w:val="20"/>
                <w:szCs w:val="20"/>
                <w:lang w:eastAsia="zh-CN"/>
              </w:rPr>
            </w:pPr>
            <w:r>
              <w:rPr>
                <w:rFonts w:hint="eastAsia"/>
                <w:bCs/>
                <w:sz w:val="20"/>
                <w:szCs w:val="20"/>
                <w:lang w:eastAsia="zh-CN"/>
              </w:rPr>
              <w:t>9346</w:t>
            </w:r>
          </w:p>
        </w:tc>
        <w:tc>
          <w:tcPr>
            <w:tcW w:w="1252" w:type="pct"/>
            <w:shd w:val="clear" w:color="auto" w:fill="FFFFFF"/>
            <w:vAlign w:val="center"/>
          </w:tcPr>
          <w:p w14:paraId="7A03A19C">
            <w:pPr>
              <w:jc w:val="center"/>
              <w:rPr>
                <w:bCs/>
                <w:sz w:val="20"/>
                <w:szCs w:val="20"/>
                <w:lang w:eastAsia="zh-CN"/>
              </w:rPr>
            </w:pPr>
            <w:r>
              <w:rPr>
                <w:rFonts w:hint="eastAsia"/>
                <w:bCs/>
                <w:sz w:val="20"/>
                <w:szCs w:val="20"/>
                <w:lang w:eastAsia="zh-CN"/>
              </w:rPr>
              <w:t>9059</w:t>
            </w:r>
          </w:p>
        </w:tc>
      </w:tr>
    </w:tbl>
    <w:p w14:paraId="7786CA41">
      <w:pPr>
        <w:pStyle w:val="4"/>
        <w:spacing w:before="163" w:after="163"/>
      </w:pPr>
      <w:bookmarkStart w:id="20" w:name="_Toc2228"/>
      <w:r>
        <w:t>1.</w:t>
      </w:r>
      <w:r>
        <w:rPr>
          <w:rFonts w:hint="eastAsia"/>
        </w:rPr>
        <w:t xml:space="preserve">5.2 </w:t>
      </w:r>
      <w:r>
        <w:rPr>
          <w:rFonts w:hint="eastAsia" w:ascii="方正黑体_GBK" w:hAnsi="方正黑体_GBK" w:eastAsia="方正黑体_GBK" w:cs="方正黑体_GBK"/>
        </w:rPr>
        <w:t>招生规模</w:t>
      </w:r>
      <w:bookmarkEnd w:id="20"/>
    </w:p>
    <w:p w14:paraId="090A15EE">
      <w:pPr>
        <w:ind w:firstLine="480" w:firstLineChars="200"/>
        <w:rPr>
          <w:lang w:eastAsia="zh-CN"/>
        </w:rPr>
      </w:pPr>
      <w:r>
        <w:rPr>
          <w:rFonts w:hint="eastAsia"/>
          <w:lang w:eastAsia="zh-CN"/>
        </w:rPr>
        <w:t>2025年，九龙坡区中职学校共招生2965人。其中，招收区内学籍初中毕业生1195人，占比40.3%；招收区外市内学籍初中毕业生1276人，占比43%；招收市外初中毕业生494人，占比16.7%。</w:t>
      </w:r>
    </w:p>
    <w:p w14:paraId="62F7F7BE">
      <w:pPr>
        <w:pStyle w:val="7"/>
      </w:pPr>
      <w:r>
        <w:t>表</w:t>
      </w:r>
      <w:r>
        <w:fldChar w:fldCharType="begin"/>
      </w:r>
      <w:r>
        <w:instrText xml:space="preserve"> SEQ 表 \* ARABIC </w:instrText>
      </w:r>
      <w:r>
        <w:fldChar w:fldCharType="separate"/>
      </w:r>
      <w:r>
        <w:t>6</w:t>
      </w:r>
      <w:r>
        <w:fldChar w:fldCharType="end"/>
      </w:r>
      <w:bookmarkStart w:id="21" w:name="_Toc2188"/>
      <w:r>
        <w:rPr>
          <w:rFonts w:hint="eastAsia"/>
        </w:rPr>
        <w:t xml:space="preserve">  近三年中职学校招生及生源结构一览表</w:t>
      </w:r>
      <w:bookmarkEnd w:id="21"/>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360"/>
        <w:gridCol w:w="2398"/>
        <w:gridCol w:w="2166"/>
        <w:gridCol w:w="1974"/>
      </w:tblGrid>
      <w:tr w14:paraId="4213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71" w:type="pct"/>
            <w:shd w:val="clear" w:color="auto" w:fill="DBE3F4" w:themeFill="accent1" w:themeFillTint="32"/>
            <w:vAlign w:val="center"/>
          </w:tcPr>
          <w:p w14:paraId="5DE81B46">
            <w:pPr>
              <w:jc w:val="center"/>
              <w:rPr>
                <w:color w:val="08090C"/>
                <w:sz w:val="20"/>
                <w:szCs w:val="20"/>
                <w:lang w:eastAsia="zh-CN"/>
              </w:rPr>
            </w:pPr>
            <w:r>
              <w:rPr>
                <w:rFonts w:hint="eastAsia"/>
                <w:color w:val="08090C"/>
                <w:sz w:val="20"/>
                <w:szCs w:val="20"/>
                <w:lang w:eastAsia="zh-CN"/>
              </w:rPr>
              <w:t>年度</w:t>
            </w:r>
          </w:p>
        </w:tc>
        <w:tc>
          <w:tcPr>
            <w:tcW w:w="779" w:type="pct"/>
            <w:shd w:val="clear" w:color="auto" w:fill="DBE3F4" w:themeFill="accent1" w:themeFillTint="32"/>
            <w:vAlign w:val="center"/>
          </w:tcPr>
          <w:p w14:paraId="2C6B31CF">
            <w:pPr>
              <w:jc w:val="center"/>
              <w:rPr>
                <w:color w:val="08090C"/>
                <w:sz w:val="20"/>
                <w:szCs w:val="20"/>
                <w:lang w:eastAsia="zh-CN"/>
              </w:rPr>
            </w:pPr>
            <w:r>
              <w:rPr>
                <w:rFonts w:hint="eastAsia"/>
                <w:color w:val="08090C"/>
                <w:sz w:val="20"/>
                <w:szCs w:val="20"/>
                <w:lang w:eastAsia="zh-CN"/>
              </w:rPr>
              <w:t>招生总数</w:t>
            </w:r>
          </w:p>
        </w:tc>
        <w:tc>
          <w:tcPr>
            <w:tcW w:w="1374" w:type="pct"/>
            <w:shd w:val="clear" w:color="auto" w:fill="DBE3F4" w:themeFill="accent1" w:themeFillTint="32"/>
            <w:vAlign w:val="center"/>
          </w:tcPr>
          <w:p w14:paraId="2762A2D3">
            <w:pPr>
              <w:jc w:val="center"/>
              <w:rPr>
                <w:color w:val="08090C"/>
                <w:sz w:val="20"/>
                <w:szCs w:val="20"/>
                <w:lang w:eastAsia="zh-CN"/>
              </w:rPr>
            </w:pPr>
            <w:r>
              <w:rPr>
                <w:rFonts w:hint="eastAsia"/>
                <w:color w:val="08090C"/>
                <w:sz w:val="20"/>
                <w:szCs w:val="20"/>
                <w:lang w:eastAsia="zh-CN"/>
              </w:rPr>
              <w:t>区内学籍初中毕业生数</w:t>
            </w:r>
          </w:p>
        </w:tc>
        <w:tc>
          <w:tcPr>
            <w:tcW w:w="1241" w:type="pct"/>
            <w:shd w:val="clear" w:color="auto" w:fill="DBE3F4" w:themeFill="accent1" w:themeFillTint="32"/>
            <w:vAlign w:val="center"/>
          </w:tcPr>
          <w:p w14:paraId="0E0D3D37">
            <w:pPr>
              <w:jc w:val="center"/>
              <w:rPr>
                <w:color w:val="08090C"/>
                <w:sz w:val="20"/>
                <w:szCs w:val="20"/>
                <w:lang w:eastAsia="zh-CN"/>
              </w:rPr>
            </w:pPr>
            <w:r>
              <w:rPr>
                <w:rFonts w:hint="eastAsia"/>
                <w:color w:val="08090C"/>
                <w:sz w:val="20"/>
                <w:szCs w:val="20"/>
                <w:lang w:eastAsia="zh-CN"/>
              </w:rPr>
              <w:t>区外市内学籍</w:t>
            </w:r>
          </w:p>
          <w:p w14:paraId="2CF2222D">
            <w:pPr>
              <w:jc w:val="center"/>
              <w:rPr>
                <w:color w:val="08090C"/>
                <w:sz w:val="20"/>
                <w:szCs w:val="20"/>
                <w:lang w:eastAsia="zh-CN"/>
              </w:rPr>
            </w:pPr>
            <w:r>
              <w:rPr>
                <w:rFonts w:hint="eastAsia"/>
                <w:color w:val="08090C"/>
                <w:sz w:val="20"/>
                <w:szCs w:val="20"/>
                <w:lang w:eastAsia="zh-CN"/>
              </w:rPr>
              <w:t>初中毕业生数</w:t>
            </w:r>
          </w:p>
        </w:tc>
        <w:tc>
          <w:tcPr>
            <w:tcW w:w="1131" w:type="pct"/>
            <w:shd w:val="clear" w:color="auto" w:fill="DBE3F4" w:themeFill="accent1" w:themeFillTint="32"/>
            <w:vAlign w:val="center"/>
          </w:tcPr>
          <w:p w14:paraId="6015DEDB">
            <w:pPr>
              <w:jc w:val="center"/>
              <w:rPr>
                <w:color w:val="08090C"/>
                <w:sz w:val="20"/>
                <w:szCs w:val="20"/>
                <w:lang w:eastAsia="zh-CN"/>
              </w:rPr>
            </w:pPr>
            <w:r>
              <w:rPr>
                <w:rFonts w:hint="eastAsia"/>
                <w:color w:val="08090C"/>
                <w:sz w:val="20"/>
                <w:szCs w:val="20"/>
                <w:lang w:eastAsia="zh-CN"/>
              </w:rPr>
              <w:t>市外初中毕业生数</w:t>
            </w:r>
          </w:p>
        </w:tc>
      </w:tr>
      <w:tr w14:paraId="2A46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shd w:val="clear" w:color="auto" w:fill="FFFFFF"/>
            <w:vAlign w:val="center"/>
          </w:tcPr>
          <w:p w14:paraId="79B66CC4">
            <w:pPr>
              <w:jc w:val="center"/>
              <w:rPr>
                <w:sz w:val="20"/>
                <w:szCs w:val="20"/>
                <w:lang w:eastAsia="zh-CN"/>
              </w:rPr>
            </w:pPr>
            <w:r>
              <w:rPr>
                <w:rFonts w:hint="eastAsia"/>
                <w:sz w:val="20"/>
                <w:szCs w:val="20"/>
                <w:lang w:eastAsia="zh-CN"/>
              </w:rPr>
              <w:t>2023</w:t>
            </w:r>
          </w:p>
        </w:tc>
        <w:tc>
          <w:tcPr>
            <w:tcW w:w="779" w:type="pct"/>
            <w:shd w:val="clear" w:color="auto" w:fill="FFFFFF"/>
            <w:vAlign w:val="center"/>
          </w:tcPr>
          <w:p w14:paraId="6677A239">
            <w:pPr>
              <w:jc w:val="center"/>
              <w:rPr>
                <w:sz w:val="20"/>
                <w:szCs w:val="20"/>
                <w:lang w:eastAsia="zh-CN"/>
              </w:rPr>
            </w:pPr>
            <w:r>
              <w:rPr>
                <w:rFonts w:hint="eastAsia"/>
                <w:sz w:val="20"/>
                <w:szCs w:val="20"/>
                <w:lang w:eastAsia="zh-CN"/>
              </w:rPr>
              <w:t>3303</w:t>
            </w:r>
          </w:p>
        </w:tc>
        <w:tc>
          <w:tcPr>
            <w:tcW w:w="1374" w:type="pct"/>
            <w:shd w:val="clear" w:color="auto" w:fill="FFFFFF"/>
            <w:vAlign w:val="center"/>
          </w:tcPr>
          <w:p w14:paraId="16974AD6">
            <w:pPr>
              <w:jc w:val="center"/>
              <w:rPr>
                <w:sz w:val="20"/>
                <w:szCs w:val="20"/>
                <w:lang w:eastAsia="zh-CN"/>
              </w:rPr>
            </w:pPr>
            <w:r>
              <w:rPr>
                <w:rFonts w:hint="eastAsia"/>
                <w:sz w:val="20"/>
                <w:szCs w:val="20"/>
                <w:lang w:eastAsia="zh-CN"/>
              </w:rPr>
              <w:t>1177</w:t>
            </w:r>
          </w:p>
        </w:tc>
        <w:tc>
          <w:tcPr>
            <w:tcW w:w="1241" w:type="pct"/>
            <w:shd w:val="clear" w:color="auto" w:fill="FFFFFF"/>
            <w:vAlign w:val="center"/>
          </w:tcPr>
          <w:p w14:paraId="451EBD52">
            <w:pPr>
              <w:jc w:val="center"/>
              <w:rPr>
                <w:sz w:val="20"/>
                <w:szCs w:val="20"/>
                <w:lang w:eastAsia="zh-CN"/>
              </w:rPr>
            </w:pPr>
            <w:r>
              <w:rPr>
                <w:rFonts w:hint="eastAsia"/>
                <w:sz w:val="20"/>
                <w:szCs w:val="20"/>
                <w:lang w:eastAsia="zh-CN"/>
              </w:rPr>
              <w:t>1449</w:t>
            </w:r>
          </w:p>
        </w:tc>
        <w:tc>
          <w:tcPr>
            <w:tcW w:w="1131" w:type="pct"/>
            <w:shd w:val="clear" w:color="auto" w:fill="FFFFFF"/>
            <w:vAlign w:val="center"/>
          </w:tcPr>
          <w:p w14:paraId="4751DADD">
            <w:pPr>
              <w:jc w:val="center"/>
              <w:rPr>
                <w:sz w:val="20"/>
                <w:szCs w:val="20"/>
                <w:lang w:eastAsia="zh-CN"/>
              </w:rPr>
            </w:pPr>
            <w:r>
              <w:rPr>
                <w:rFonts w:hint="eastAsia"/>
                <w:sz w:val="20"/>
                <w:szCs w:val="20"/>
                <w:lang w:eastAsia="zh-CN"/>
              </w:rPr>
              <w:t>677</w:t>
            </w:r>
          </w:p>
        </w:tc>
      </w:tr>
      <w:tr w14:paraId="40ED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shd w:val="clear" w:color="auto" w:fill="FFFFFF"/>
            <w:vAlign w:val="center"/>
          </w:tcPr>
          <w:p w14:paraId="6282AB82">
            <w:pPr>
              <w:jc w:val="center"/>
              <w:rPr>
                <w:sz w:val="20"/>
                <w:szCs w:val="20"/>
                <w:lang w:eastAsia="zh-CN"/>
              </w:rPr>
            </w:pPr>
            <w:r>
              <w:rPr>
                <w:rFonts w:hint="eastAsia"/>
                <w:sz w:val="20"/>
                <w:szCs w:val="20"/>
                <w:lang w:eastAsia="zh-CN"/>
              </w:rPr>
              <w:t>2024</w:t>
            </w:r>
          </w:p>
        </w:tc>
        <w:tc>
          <w:tcPr>
            <w:tcW w:w="779" w:type="pct"/>
            <w:shd w:val="clear" w:color="auto" w:fill="FFFFFF"/>
            <w:vAlign w:val="center"/>
          </w:tcPr>
          <w:p w14:paraId="49FA8945">
            <w:pPr>
              <w:jc w:val="center"/>
              <w:rPr>
                <w:sz w:val="20"/>
                <w:szCs w:val="20"/>
                <w:lang w:eastAsia="zh-CN"/>
              </w:rPr>
            </w:pPr>
            <w:r>
              <w:rPr>
                <w:rFonts w:hint="eastAsia"/>
                <w:sz w:val="20"/>
                <w:szCs w:val="20"/>
                <w:lang w:eastAsia="zh-CN"/>
              </w:rPr>
              <w:t>3030</w:t>
            </w:r>
          </w:p>
        </w:tc>
        <w:tc>
          <w:tcPr>
            <w:tcW w:w="1374" w:type="pct"/>
            <w:shd w:val="clear" w:color="auto" w:fill="FFFFFF"/>
            <w:vAlign w:val="center"/>
          </w:tcPr>
          <w:p w14:paraId="2B70FD40">
            <w:pPr>
              <w:jc w:val="center"/>
              <w:rPr>
                <w:sz w:val="20"/>
                <w:szCs w:val="20"/>
                <w:lang w:eastAsia="zh-CN"/>
              </w:rPr>
            </w:pPr>
            <w:r>
              <w:rPr>
                <w:rFonts w:hint="eastAsia"/>
                <w:sz w:val="20"/>
                <w:szCs w:val="20"/>
                <w:lang w:eastAsia="zh-CN"/>
              </w:rPr>
              <w:t>1096</w:t>
            </w:r>
          </w:p>
        </w:tc>
        <w:tc>
          <w:tcPr>
            <w:tcW w:w="1241" w:type="pct"/>
            <w:shd w:val="clear" w:color="auto" w:fill="FFFFFF"/>
            <w:vAlign w:val="center"/>
          </w:tcPr>
          <w:p w14:paraId="28B04A48">
            <w:pPr>
              <w:jc w:val="center"/>
              <w:rPr>
                <w:sz w:val="20"/>
                <w:szCs w:val="20"/>
                <w:lang w:eastAsia="zh-CN"/>
              </w:rPr>
            </w:pPr>
            <w:r>
              <w:rPr>
                <w:rFonts w:hint="eastAsia"/>
                <w:sz w:val="20"/>
                <w:szCs w:val="20"/>
                <w:lang w:eastAsia="zh-CN"/>
              </w:rPr>
              <w:t>1358</w:t>
            </w:r>
          </w:p>
        </w:tc>
        <w:tc>
          <w:tcPr>
            <w:tcW w:w="1131" w:type="pct"/>
            <w:shd w:val="clear" w:color="auto" w:fill="FFFFFF"/>
            <w:vAlign w:val="center"/>
          </w:tcPr>
          <w:p w14:paraId="0E1E7152">
            <w:pPr>
              <w:jc w:val="center"/>
              <w:rPr>
                <w:sz w:val="20"/>
                <w:szCs w:val="20"/>
                <w:lang w:eastAsia="zh-CN"/>
              </w:rPr>
            </w:pPr>
            <w:r>
              <w:rPr>
                <w:rFonts w:hint="eastAsia"/>
                <w:sz w:val="20"/>
                <w:szCs w:val="20"/>
                <w:lang w:eastAsia="zh-CN"/>
              </w:rPr>
              <w:t>576</w:t>
            </w:r>
          </w:p>
        </w:tc>
      </w:tr>
      <w:tr w14:paraId="576A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shd w:val="clear" w:color="auto" w:fill="FFFFFF"/>
            <w:vAlign w:val="center"/>
          </w:tcPr>
          <w:p w14:paraId="050FDB45">
            <w:pPr>
              <w:jc w:val="center"/>
              <w:rPr>
                <w:sz w:val="20"/>
                <w:szCs w:val="20"/>
                <w:lang w:eastAsia="zh-CN"/>
              </w:rPr>
            </w:pPr>
            <w:r>
              <w:rPr>
                <w:rFonts w:hint="eastAsia"/>
                <w:sz w:val="20"/>
                <w:szCs w:val="20"/>
                <w:lang w:eastAsia="zh-CN"/>
              </w:rPr>
              <w:t>2025</w:t>
            </w:r>
          </w:p>
        </w:tc>
        <w:tc>
          <w:tcPr>
            <w:tcW w:w="779" w:type="pct"/>
            <w:shd w:val="clear" w:color="auto" w:fill="FFFFFF"/>
            <w:vAlign w:val="center"/>
          </w:tcPr>
          <w:p w14:paraId="4C5B999E">
            <w:pPr>
              <w:jc w:val="center"/>
              <w:rPr>
                <w:sz w:val="20"/>
                <w:szCs w:val="20"/>
                <w:lang w:eastAsia="zh-CN"/>
              </w:rPr>
            </w:pPr>
            <w:r>
              <w:rPr>
                <w:rFonts w:hint="eastAsia"/>
                <w:sz w:val="20"/>
                <w:szCs w:val="20"/>
                <w:lang w:eastAsia="zh-CN"/>
              </w:rPr>
              <w:t>2965</w:t>
            </w:r>
          </w:p>
        </w:tc>
        <w:tc>
          <w:tcPr>
            <w:tcW w:w="1374" w:type="pct"/>
            <w:shd w:val="clear" w:color="auto" w:fill="FFFFFF"/>
            <w:vAlign w:val="center"/>
          </w:tcPr>
          <w:p w14:paraId="71211B09">
            <w:pPr>
              <w:jc w:val="center"/>
              <w:rPr>
                <w:sz w:val="20"/>
                <w:szCs w:val="20"/>
                <w:lang w:eastAsia="zh-CN"/>
              </w:rPr>
            </w:pPr>
            <w:r>
              <w:rPr>
                <w:rFonts w:hint="eastAsia"/>
                <w:sz w:val="20"/>
                <w:szCs w:val="20"/>
                <w:lang w:eastAsia="zh-CN"/>
              </w:rPr>
              <w:t>1195</w:t>
            </w:r>
          </w:p>
        </w:tc>
        <w:tc>
          <w:tcPr>
            <w:tcW w:w="1241" w:type="pct"/>
            <w:shd w:val="clear" w:color="auto" w:fill="FFFFFF"/>
            <w:vAlign w:val="center"/>
          </w:tcPr>
          <w:p w14:paraId="1E1723E7">
            <w:pPr>
              <w:jc w:val="center"/>
              <w:rPr>
                <w:sz w:val="20"/>
                <w:szCs w:val="20"/>
                <w:lang w:eastAsia="zh-CN"/>
              </w:rPr>
            </w:pPr>
            <w:r>
              <w:rPr>
                <w:rFonts w:hint="eastAsia"/>
                <w:sz w:val="20"/>
                <w:szCs w:val="20"/>
                <w:lang w:eastAsia="zh-CN"/>
              </w:rPr>
              <w:t>1276</w:t>
            </w:r>
          </w:p>
        </w:tc>
        <w:tc>
          <w:tcPr>
            <w:tcW w:w="1131" w:type="pct"/>
            <w:shd w:val="clear" w:color="auto" w:fill="FFFFFF"/>
            <w:vAlign w:val="center"/>
          </w:tcPr>
          <w:p w14:paraId="78C923AA">
            <w:pPr>
              <w:jc w:val="center"/>
              <w:rPr>
                <w:sz w:val="20"/>
                <w:szCs w:val="20"/>
                <w:lang w:eastAsia="zh-CN"/>
              </w:rPr>
            </w:pPr>
            <w:r>
              <w:rPr>
                <w:rFonts w:hint="eastAsia"/>
                <w:sz w:val="20"/>
                <w:szCs w:val="20"/>
                <w:lang w:eastAsia="zh-CN"/>
              </w:rPr>
              <w:t>494</w:t>
            </w:r>
          </w:p>
        </w:tc>
      </w:tr>
    </w:tbl>
    <w:p w14:paraId="1F584587">
      <w:pPr>
        <w:pStyle w:val="4"/>
        <w:spacing w:before="163" w:after="163"/>
      </w:pPr>
      <w:bookmarkStart w:id="22" w:name="_Toc32543"/>
      <w:r>
        <w:t>1.</w:t>
      </w:r>
      <w:r>
        <w:rPr>
          <w:rFonts w:hint="eastAsia"/>
        </w:rPr>
        <w:t xml:space="preserve">5.3 </w:t>
      </w:r>
      <w:r>
        <w:rPr>
          <w:rFonts w:hint="eastAsia" w:ascii="方正黑体_GBK" w:hAnsi="方正黑体_GBK" w:eastAsia="方正黑体_GBK" w:cs="方正黑体_GBK"/>
        </w:rPr>
        <w:t>毕业生规模</w:t>
      </w:r>
      <w:bookmarkEnd w:id="22"/>
    </w:p>
    <w:p w14:paraId="18701720">
      <w:pPr>
        <w:ind w:firstLine="480" w:firstLineChars="200"/>
        <w:rPr>
          <w:lang w:eastAsia="zh-CN"/>
        </w:rPr>
      </w:pPr>
      <w:r>
        <w:rPr>
          <w:rFonts w:hint="eastAsia"/>
          <w:lang w:eastAsia="zh-CN"/>
        </w:rPr>
        <w:t>2025年，区内中职学校毕业人数3515人，升学人数3069人，占比87.31%，直接就业人数446人，占比12.69%，学生升学意愿大幅度上升。</w:t>
      </w:r>
    </w:p>
    <w:p w14:paraId="1F33DA41">
      <w:pPr>
        <w:pStyle w:val="7"/>
      </w:pPr>
      <w:r>
        <w:t>表</w:t>
      </w:r>
      <w:r>
        <w:fldChar w:fldCharType="begin"/>
      </w:r>
      <w:r>
        <w:instrText xml:space="preserve"> SEQ 表 \* ARABIC </w:instrText>
      </w:r>
      <w:r>
        <w:fldChar w:fldCharType="separate"/>
      </w:r>
      <w:r>
        <w:t>7</w:t>
      </w:r>
      <w:r>
        <w:fldChar w:fldCharType="end"/>
      </w:r>
      <w:bookmarkStart w:id="23" w:name="_Toc24793"/>
      <w:r>
        <w:rPr>
          <w:rFonts w:hint="eastAsia"/>
        </w:rPr>
        <w:t xml:space="preserve">  近三年中职学校毕业生情况一览表</w:t>
      </w:r>
      <w:bookmarkEnd w:id="23"/>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448"/>
        <w:gridCol w:w="1448"/>
        <w:gridCol w:w="1465"/>
        <w:gridCol w:w="1441"/>
        <w:gridCol w:w="1470"/>
      </w:tblGrid>
      <w:tr w14:paraId="769B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Merge w:val="restart"/>
            <w:shd w:val="clear" w:color="auto" w:fill="DBE3F4" w:themeFill="accent1" w:themeFillTint="32"/>
            <w:vAlign w:val="center"/>
          </w:tcPr>
          <w:p w14:paraId="2348A8DC">
            <w:pPr>
              <w:jc w:val="center"/>
              <w:rPr>
                <w:bCs/>
                <w:color w:val="08090C"/>
                <w:sz w:val="20"/>
                <w:szCs w:val="20"/>
                <w:lang w:eastAsia="zh-CN"/>
              </w:rPr>
            </w:pPr>
            <w:r>
              <w:rPr>
                <w:rFonts w:hint="eastAsia"/>
                <w:bCs/>
                <w:color w:val="08090C"/>
                <w:sz w:val="20"/>
                <w:szCs w:val="20"/>
                <w:lang w:eastAsia="zh-CN"/>
              </w:rPr>
              <w:t>年度</w:t>
            </w:r>
          </w:p>
        </w:tc>
        <w:tc>
          <w:tcPr>
            <w:tcW w:w="4169" w:type="pct"/>
            <w:gridSpan w:val="5"/>
            <w:shd w:val="clear" w:color="auto" w:fill="DBE3F4" w:themeFill="accent1" w:themeFillTint="32"/>
            <w:vAlign w:val="center"/>
          </w:tcPr>
          <w:p w14:paraId="3582D112">
            <w:pPr>
              <w:jc w:val="center"/>
              <w:rPr>
                <w:bCs/>
                <w:color w:val="08090C"/>
                <w:sz w:val="20"/>
                <w:szCs w:val="20"/>
                <w:lang w:eastAsia="zh-CN"/>
              </w:rPr>
            </w:pPr>
            <w:r>
              <w:rPr>
                <w:rFonts w:hint="eastAsia"/>
                <w:bCs/>
                <w:color w:val="08090C"/>
                <w:sz w:val="20"/>
                <w:szCs w:val="20"/>
                <w:lang w:eastAsia="zh-CN"/>
              </w:rPr>
              <w:t>毕业人数</w:t>
            </w:r>
          </w:p>
        </w:tc>
      </w:tr>
      <w:tr w14:paraId="0D2B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Merge w:val="continue"/>
            <w:shd w:val="clear" w:color="auto" w:fill="FFFFFF"/>
            <w:vAlign w:val="center"/>
          </w:tcPr>
          <w:p w14:paraId="43EB82AA">
            <w:pPr>
              <w:jc w:val="center"/>
              <w:rPr>
                <w:bCs/>
                <w:sz w:val="20"/>
                <w:szCs w:val="20"/>
                <w:lang w:eastAsia="zh-CN"/>
              </w:rPr>
            </w:pPr>
          </w:p>
        </w:tc>
        <w:tc>
          <w:tcPr>
            <w:tcW w:w="830" w:type="pct"/>
            <w:shd w:val="clear" w:color="auto" w:fill="DAE3F5"/>
            <w:vAlign w:val="center"/>
          </w:tcPr>
          <w:p w14:paraId="3D007CF7">
            <w:pPr>
              <w:jc w:val="center"/>
              <w:rPr>
                <w:bCs/>
                <w:sz w:val="20"/>
                <w:szCs w:val="20"/>
                <w:lang w:eastAsia="zh-CN"/>
              </w:rPr>
            </w:pPr>
            <w:r>
              <w:rPr>
                <w:rFonts w:hint="eastAsia"/>
                <w:bCs/>
                <w:sz w:val="20"/>
                <w:szCs w:val="20"/>
                <w:lang w:eastAsia="zh-CN"/>
              </w:rPr>
              <w:t>总数</w:t>
            </w:r>
          </w:p>
        </w:tc>
        <w:tc>
          <w:tcPr>
            <w:tcW w:w="830" w:type="pct"/>
            <w:shd w:val="clear" w:color="auto" w:fill="DAE3F5"/>
            <w:vAlign w:val="center"/>
          </w:tcPr>
          <w:p w14:paraId="56C6D4F7">
            <w:pPr>
              <w:jc w:val="center"/>
              <w:rPr>
                <w:bCs/>
                <w:sz w:val="20"/>
                <w:szCs w:val="20"/>
                <w:lang w:eastAsia="zh-CN"/>
              </w:rPr>
            </w:pPr>
            <w:r>
              <w:rPr>
                <w:rFonts w:hint="eastAsia"/>
                <w:bCs/>
                <w:sz w:val="20"/>
                <w:szCs w:val="20"/>
                <w:lang w:eastAsia="zh-CN"/>
              </w:rPr>
              <w:t>升学人数</w:t>
            </w:r>
          </w:p>
        </w:tc>
        <w:tc>
          <w:tcPr>
            <w:tcW w:w="840" w:type="pct"/>
            <w:shd w:val="clear" w:color="auto" w:fill="DAE3F5"/>
            <w:vAlign w:val="center"/>
          </w:tcPr>
          <w:p w14:paraId="24E4DB47">
            <w:pPr>
              <w:jc w:val="center"/>
              <w:rPr>
                <w:bCs/>
                <w:sz w:val="20"/>
                <w:szCs w:val="20"/>
                <w:lang w:eastAsia="zh-CN"/>
              </w:rPr>
            </w:pPr>
            <w:r>
              <w:rPr>
                <w:rFonts w:hint="eastAsia"/>
                <w:bCs/>
                <w:sz w:val="20"/>
                <w:szCs w:val="20"/>
                <w:lang w:eastAsia="zh-CN"/>
              </w:rPr>
              <w:t>占比</w:t>
            </w:r>
          </w:p>
        </w:tc>
        <w:tc>
          <w:tcPr>
            <w:tcW w:w="826" w:type="pct"/>
            <w:shd w:val="clear" w:color="auto" w:fill="DAE3F5"/>
            <w:vAlign w:val="center"/>
          </w:tcPr>
          <w:p w14:paraId="7ABCFA92">
            <w:pPr>
              <w:jc w:val="center"/>
              <w:rPr>
                <w:bCs/>
                <w:sz w:val="20"/>
                <w:szCs w:val="20"/>
                <w:lang w:eastAsia="zh-CN"/>
              </w:rPr>
            </w:pPr>
            <w:r>
              <w:rPr>
                <w:rFonts w:hint="eastAsia"/>
                <w:bCs/>
                <w:sz w:val="20"/>
                <w:szCs w:val="20"/>
                <w:lang w:eastAsia="zh-CN"/>
              </w:rPr>
              <w:t>就业人数</w:t>
            </w:r>
          </w:p>
        </w:tc>
        <w:tc>
          <w:tcPr>
            <w:tcW w:w="841" w:type="pct"/>
            <w:shd w:val="clear" w:color="auto" w:fill="DAE3F5"/>
            <w:vAlign w:val="center"/>
          </w:tcPr>
          <w:p w14:paraId="3EE5B3B1">
            <w:pPr>
              <w:jc w:val="center"/>
              <w:rPr>
                <w:bCs/>
                <w:sz w:val="20"/>
                <w:szCs w:val="20"/>
                <w:lang w:eastAsia="zh-CN"/>
              </w:rPr>
            </w:pPr>
            <w:r>
              <w:rPr>
                <w:rFonts w:hint="eastAsia"/>
                <w:bCs/>
                <w:sz w:val="20"/>
                <w:szCs w:val="20"/>
                <w:lang w:eastAsia="zh-CN"/>
              </w:rPr>
              <w:t>占比</w:t>
            </w:r>
          </w:p>
        </w:tc>
      </w:tr>
      <w:tr w14:paraId="7B87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shd w:val="clear" w:color="auto" w:fill="FFFFFF"/>
            <w:vAlign w:val="center"/>
          </w:tcPr>
          <w:p w14:paraId="546E69C4">
            <w:pPr>
              <w:jc w:val="center"/>
              <w:rPr>
                <w:bCs/>
                <w:sz w:val="20"/>
                <w:szCs w:val="20"/>
                <w:lang w:eastAsia="zh-CN"/>
              </w:rPr>
            </w:pPr>
            <w:r>
              <w:rPr>
                <w:rFonts w:hint="eastAsia"/>
                <w:bCs/>
                <w:sz w:val="20"/>
                <w:szCs w:val="20"/>
                <w:lang w:eastAsia="zh-CN"/>
              </w:rPr>
              <w:t>2023</w:t>
            </w:r>
          </w:p>
        </w:tc>
        <w:tc>
          <w:tcPr>
            <w:tcW w:w="830" w:type="pct"/>
            <w:shd w:val="clear" w:color="auto" w:fill="FFFFFF"/>
            <w:vAlign w:val="center"/>
          </w:tcPr>
          <w:p w14:paraId="2ADC76EC">
            <w:pPr>
              <w:jc w:val="center"/>
              <w:rPr>
                <w:bCs/>
                <w:sz w:val="20"/>
                <w:szCs w:val="20"/>
                <w:lang w:eastAsia="zh-CN"/>
              </w:rPr>
            </w:pPr>
            <w:r>
              <w:rPr>
                <w:rFonts w:hint="eastAsia"/>
                <w:bCs/>
                <w:sz w:val="20"/>
                <w:szCs w:val="20"/>
                <w:lang w:eastAsia="zh-CN"/>
              </w:rPr>
              <w:t>2824</w:t>
            </w:r>
          </w:p>
        </w:tc>
        <w:tc>
          <w:tcPr>
            <w:tcW w:w="830" w:type="pct"/>
            <w:shd w:val="clear" w:color="auto" w:fill="FFFFFF"/>
            <w:vAlign w:val="center"/>
          </w:tcPr>
          <w:p w14:paraId="66CAF2BB">
            <w:pPr>
              <w:jc w:val="center"/>
              <w:rPr>
                <w:bCs/>
                <w:sz w:val="20"/>
                <w:szCs w:val="20"/>
                <w:lang w:eastAsia="zh-CN"/>
              </w:rPr>
            </w:pPr>
            <w:r>
              <w:rPr>
                <w:rFonts w:hint="eastAsia"/>
                <w:bCs/>
                <w:sz w:val="20"/>
                <w:szCs w:val="20"/>
                <w:lang w:eastAsia="zh-CN"/>
              </w:rPr>
              <w:t>2208</w:t>
            </w:r>
          </w:p>
        </w:tc>
        <w:tc>
          <w:tcPr>
            <w:tcW w:w="840" w:type="pct"/>
            <w:shd w:val="clear" w:color="auto" w:fill="FFFFFF"/>
            <w:vAlign w:val="center"/>
          </w:tcPr>
          <w:p w14:paraId="12CED637">
            <w:pPr>
              <w:jc w:val="center"/>
              <w:rPr>
                <w:bCs/>
                <w:sz w:val="20"/>
                <w:szCs w:val="20"/>
                <w:lang w:eastAsia="zh-CN"/>
              </w:rPr>
            </w:pPr>
            <w:r>
              <w:rPr>
                <w:rFonts w:hint="eastAsia"/>
                <w:bCs/>
                <w:sz w:val="20"/>
                <w:szCs w:val="20"/>
                <w:lang w:eastAsia="zh-CN"/>
              </w:rPr>
              <w:t>78.19%</w:t>
            </w:r>
          </w:p>
        </w:tc>
        <w:tc>
          <w:tcPr>
            <w:tcW w:w="826" w:type="pct"/>
            <w:shd w:val="clear" w:color="auto" w:fill="FFFFFF"/>
            <w:vAlign w:val="center"/>
          </w:tcPr>
          <w:p w14:paraId="23FCAD23">
            <w:pPr>
              <w:jc w:val="center"/>
              <w:rPr>
                <w:bCs/>
                <w:sz w:val="20"/>
                <w:szCs w:val="20"/>
                <w:lang w:eastAsia="zh-CN"/>
              </w:rPr>
            </w:pPr>
            <w:r>
              <w:rPr>
                <w:rFonts w:hint="eastAsia"/>
                <w:bCs/>
                <w:sz w:val="20"/>
                <w:szCs w:val="20"/>
                <w:lang w:eastAsia="zh-CN"/>
              </w:rPr>
              <w:t>616</w:t>
            </w:r>
          </w:p>
        </w:tc>
        <w:tc>
          <w:tcPr>
            <w:tcW w:w="841" w:type="pct"/>
            <w:shd w:val="clear" w:color="auto" w:fill="FFFFFF"/>
            <w:vAlign w:val="center"/>
          </w:tcPr>
          <w:p w14:paraId="2F8AD130">
            <w:pPr>
              <w:jc w:val="center"/>
              <w:rPr>
                <w:bCs/>
                <w:sz w:val="20"/>
                <w:szCs w:val="20"/>
                <w:lang w:eastAsia="zh-CN"/>
              </w:rPr>
            </w:pPr>
            <w:r>
              <w:rPr>
                <w:rFonts w:hint="eastAsia"/>
                <w:bCs/>
                <w:sz w:val="20"/>
                <w:szCs w:val="20"/>
                <w:lang w:eastAsia="zh-CN"/>
              </w:rPr>
              <w:t>21.81%</w:t>
            </w:r>
          </w:p>
        </w:tc>
      </w:tr>
      <w:tr w14:paraId="5683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shd w:val="clear" w:color="auto" w:fill="FFFFFF"/>
            <w:vAlign w:val="center"/>
          </w:tcPr>
          <w:p w14:paraId="26615A9A">
            <w:pPr>
              <w:jc w:val="center"/>
              <w:rPr>
                <w:bCs/>
                <w:sz w:val="20"/>
                <w:szCs w:val="20"/>
                <w:lang w:eastAsia="zh-CN"/>
              </w:rPr>
            </w:pPr>
            <w:r>
              <w:rPr>
                <w:rFonts w:hint="eastAsia"/>
                <w:bCs/>
                <w:sz w:val="20"/>
                <w:szCs w:val="20"/>
                <w:lang w:eastAsia="zh-CN"/>
              </w:rPr>
              <w:t>2024</w:t>
            </w:r>
          </w:p>
        </w:tc>
        <w:tc>
          <w:tcPr>
            <w:tcW w:w="830" w:type="pct"/>
            <w:shd w:val="clear" w:color="auto" w:fill="FFFFFF"/>
            <w:vAlign w:val="center"/>
          </w:tcPr>
          <w:p w14:paraId="7FDD8BDA">
            <w:pPr>
              <w:jc w:val="center"/>
              <w:rPr>
                <w:bCs/>
                <w:sz w:val="20"/>
                <w:szCs w:val="20"/>
                <w:lang w:eastAsia="zh-CN"/>
              </w:rPr>
            </w:pPr>
            <w:r>
              <w:rPr>
                <w:rFonts w:hint="eastAsia"/>
                <w:bCs/>
                <w:sz w:val="20"/>
                <w:szCs w:val="20"/>
                <w:lang w:eastAsia="zh-CN"/>
              </w:rPr>
              <w:t>3470</w:t>
            </w:r>
          </w:p>
        </w:tc>
        <w:tc>
          <w:tcPr>
            <w:tcW w:w="830" w:type="pct"/>
            <w:shd w:val="clear" w:color="auto" w:fill="FFFFFF"/>
            <w:vAlign w:val="center"/>
          </w:tcPr>
          <w:p w14:paraId="714B1617">
            <w:pPr>
              <w:jc w:val="center"/>
              <w:rPr>
                <w:bCs/>
                <w:sz w:val="20"/>
                <w:szCs w:val="20"/>
                <w:lang w:eastAsia="zh-CN"/>
              </w:rPr>
            </w:pPr>
            <w:r>
              <w:rPr>
                <w:rFonts w:hint="eastAsia"/>
                <w:bCs/>
                <w:sz w:val="20"/>
                <w:szCs w:val="20"/>
                <w:lang w:eastAsia="zh-CN"/>
              </w:rPr>
              <w:t>2798</w:t>
            </w:r>
          </w:p>
        </w:tc>
        <w:tc>
          <w:tcPr>
            <w:tcW w:w="840" w:type="pct"/>
            <w:shd w:val="clear" w:color="auto" w:fill="FFFFFF"/>
            <w:vAlign w:val="center"/>
          </w:tcPr>
          <w:p w14:paraId="689B5FC6">
            <w:pPr>
              <w:jc w:val="center"/>
              <w:rPr>
                <w:bCs/>
                <w:sz w:val="20"/>
                <w:szCs w:val="20"/>
                <w:lang w:eastAsia="zh-CN"/>
              </w:rPr>
            </w:pPr>
            <w:r>
              <w:rPr>
                <w:rFonts w:hint="eastAsia"/>
                <w:bCs/>
                <w:sz w:val="20"/>
                <w:szCs w:val="20"/>
                <w:lang w:eastAsia="zh-CN"/>
              </w:rPr>
              <w:t>80.63%</w:t>
            </w:r>
          </w:p>
        </w:tc>
        <w:tc>
          <w:tcPr>
            <w:tcW w:w="826" w:type="pct"/>
            <w:shd w:val="clear" w:color="auto" w:fill="FFFFFF"/>
            <w:vAlign w:val="center"/>
          </w:tcPr>
          <w:p w14:paraId="2BB60CAB">
            <w:pPr>
              <w:jc w:val="center"/>
              <w:rPr>
                <w:bCs/>
                <w:sz w:val="20"/>
                <w:szCs w:val="20"/>
                <w:lang w:eastAsia="zh-CN"/>
              </w:rPr>
            </w:pPr>
            <w:r>
              <w:rPr>
                <w:rFonts w:hint="eastAsia"/>
                <w:bCs/>
                <w:sz w:val="20"/>
                <w:szCs w:val="20"/>
                <w:lang w:eastAsia="zh-CN"/>
              </w:rPr>
              <w:t>672</w:t>
            </w:r>
          </w:p>
        </w:tc>
        <w:tc>
          <w:tcPr>
            <w:tcW w:w="841" w:type="pct"/>
            <w:shd w:val="clear" w:color="auto" w:fill="FFFFFF"/>
            <w:vAlign w:val="center"/>
          </w:tcPr>
          <w:p w14:paraId="0210B884">
            <w:pPr>
              <w:jc w:val="center"/>
              <w:rPr>
                <w:bCs/>
                <w:sz w:val="20"/>
                <w:szCs w:val="20"/>
                <w:lang w:eastAsia="zh-CN"/>
              </w:rPr>
            </w:pPr>
            <w:r>
              <w:rPr>
                <w:rFonts w:hint="eastAsia"/>
                <w:bCs/>
                <w:sz w:val="20"/>
                <w:szCs w:val="20"/>
                <w:lang w:eastAsia="zh-CN"/>
              </w:rPr>
              <w:t>19.37%</w:t>
            </w:r>
          </w:p>
        </w:tc>
      </w:tr>
      <w:tr w14:paraId="07B4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shd w:val="clear" w:color="auto" w:fill="FFFFFF"/>
            <w:vAlign w:val="center"/>
          </w:tcPr>
          <w:p w14:paraId="097499FF">
            <w:pPr>
              <w:jc w:val="center"/>
              <w:rPr>
                <w:bCs/>
                <w:sz w:val="20"/>
                <w:szCs w:val="20"/>
                <w:lang w:eastAsia="zh-CN"/>
              </w:rPr>
            </w:pPr>
            <w:r>
              <w:rPr>
                <w:rFonts w:hint="eastAsia"/>
                <w:bCs/>
                <w:sz w:val="20"/>
                <w:szCs w:val="20"/>
                <w:lang w:eastAsia="zh-CN"/>
              </w:rPr>
              <w:t>2025</w:t>
            </w:r>
          </w:p>
        </w:tc>
        <w:tc>
          <w:tcPr>
            <w:tcW w:w="830" w:type="pct"/>
            <w:shd w:val="clear" w:color="auto" w:fill="FFFFFF"/>
            <w:vAlign w:val="center"/>
          </w:tcPr>
          <w:p w14:paraId="594490B8">
            <w:pPr>
              <w:jc w:val="center"/>
              <w:rPr>
                <w:bCs/>
                <w:sz w:val="20"/>
                <w:szCs w:val="20"/>
                <w:lang w:eastAsia="zh-CN"/>
              </w:rPr>
            </w:pPr>
            <w:r>
              <w:rPr>
                <w:rFonts w:hint="eastAsia"/>
                <w:bCs/>
                <w:sz w:val="20"/>
                <w:szCs w:val="20"/>
                <w:lang w:eastAsia="zh-CN"/>
              </w:rPr>
              <w:t>3515</w:t>
            </w:r>
          </w:p>
        </w:tc>
        <w:tc>
          <w:tcPr>
            <w:tcW w:w="830" w:type="pct"/>
            <w:shd w:val="clear" w:color="auto" w:fill="FFFFFF"/>
            <w:vAlign w:val="center"/>
          </w:tcPr>
          <w:p w14:paraId="3670CED1">
            <w:pPr>
              <w:jc w:val="center"/>
              <w:rPr>
                <w:bCs/>
                <w:sz w:val="20"/>
                <w:szCs w:val="20"/>
                <w:lang w:eastAsia="zh-CN"/>
              </w:rPr>
            </w:pPr>
            <w:r>
              <w:rPr>
                <w:rFonts w:hint="eastAsia"/>
                <w:bCs/>
                <w:sz w:val="20"/>
                <w:szCs w:val="20"/>
                <w:lang w:eastAsia="zh-CN"/>
              </w:rPr>
              <w:t>3069</w:t>
            </w:r>
          </w:p>
        </w:tc>
        <w:tc>
          <w:tcPr>
            <w:tcW w:w="840" w:type="pct"/>
            <w:shd w:val="clear" w:color="auto" w:fill="FFFFFF"/>
            <w:vAlign w:val="center"/>
          </w:tcPr>
          <w:p w14:paraId="20BAF7F4">
            <w:pPr>
              <w:jc w:val="center"/>
              <w:rPr>
                <w:bCs/>
                <w:sz w:val="20"/>
                <w:szCs w:val="20"/>
                <w:lang w:eastAsia="zh-CN"/>
              </w:rPr>
            </w:pPr>
            <w:r>
              <w:rPr>
                <w:rFonts w:hint="eastAsia"/>
                <w:bCs/>
                <w:sz w:val="20"/>
                <w:szCs w:val="20"/>
                <w:lang w:eastAsia="zh-CN"/>
              </w:rPr>
              <w:t>87.31%</w:t>
            </w:r>
          </w:p>
        </w:tc>
        <w:tc>
          <w:tcPr>
            <w:tcW w:w="826" w:type="pct"/>
            <w:shd w:val="clear" w:color="auto" w:fill="FFFFFF"/>
            <w:vAlign w:val="center"/>
          </w:tcPr>
          <w:p w14:paraId="3FC6FED1">
            <w:pPr>
              <w:jc w:val="center"/>
              <w:rPr>
                <w:bCs/>
                <w:sz w:val="20"/>
                <w:szCs w:val="20"/>
                <w:lang w:eastAsia="zh-CN"/>
              </w:rPr>
            </w:pPr>
            <w:r>
              <w:rPr>
                <w:rFonts w:hint="eastAsia"/>
                <w:bCs/>
                <w:sz w:val="20"/>
                <w:szCs w:val="20"/>
                <w:lang w:eastAsia="zh-CN"/>
              </w:rPr>
              <w:t>446</w:t>
            </w:r>
          </w:p>
        </w:tc>
        <w:tc>
          <w:tcPr>
            <w:tcW w:w="841" w:type="pct"/>
            <w:shd w:val="clear" w:color="auto" w:fill="FFFFFF"/>
            <w:vAlign w:val="center"/>
          </w:tcPr>
          <w:p w14:paraId="502A7416">
            <w:pPr>
              <w:jc w:val="center"/>
              <w:rPr>
                <w:bCs/>
                <w:sz w:val="20"/>
                <w:szCs w:val="20"/>
                <w:lang w:eastAsia="zh-CN"/>
              </w:rPr>
            </w:pPr>
            <w:r>
              <w:rPr>
                <w:rFonts w:hint="eastAsia"/>
                <w:bCs/>
                <w:sz w:val="20"/>
                <w:szCs w:val="20"/>
                <w:lang w:eastAsia="zh-CN"/>
              </w:rPr>
              <w:t>12.69%</w:t>
            </w:r>
          </w:p>
        </w:tc>
      </w:tr>
    </w:tbl>
    <w:p w14:paraId="2CE86660">
      <w:pPr>
        <w:ind w:firstLine="480" w:firstLineChars="200"/>
        <w:rPr>
          <w:lang w:eastAsia="zh-CN"/>
        </w:rPr>
      </w:pPr>
    </w:p>
    <w:p w14:paraId="6AAC4AB6">
      <w:pPr>
        <w:ind w:firstLine="480" w:firstLineChars="200"/>
        <w:rPr>
          <w:lang w:eastAsia="zh-CN"/>
        </w:rPr>
        <w:sectPr>
          <w:pgSz w:w="11905" w:h="16838"/>
          <w:pgMar w:top="1701" w:right="1701" w:bottom="1701" w:left="1701" w:header="1134" w:footer="1134" w:gutter="0"/>
          <w:cols w:space="0" w:num="1"/>
          <w:docGrid w:type="lines" w:linePitch="327" w:charSpace="0"/>
        </w:sectPr>
      </w:pPr>
    </w:p>
    <w:p w14:paraId="6EBB2026">
      <w:pPr>
        <w:pStyle w:val="2"/>
        <w:spacing w:before="654" w:after="654"/>
        <w:rPr>
          <w:lang w:eastAsia="zh-CN"/>
        </w:rPr>
      </w:pPr>
      <w:bookmarkStart w:id="24" w:name="_Toc15813"/>
      <w:r>
        <w:rPr>
          <w:rFonts w:hint="eastAsia"/>
          <w:lang w:eastAsia="zh-CN"/>
        </w:rPr>
        <w:t xml:space="preserve">2 </w:t>
      </w:r>
      <w:r>
        <w:rPr>
          <w:lang w:eastAsia="zh-CN"/>
        </w:rPr>
        <w:t>人才培养</w:t>
      </w:r>
      <w:bookmarkEnd w:id="24"/>
    </w:p>
    <w:p w14:paraId="1BCD518F">
      <w:pPr>
        <w:pStyle w:val="3"/>
        <w:spacing w:before="327" w:after="327"/>
      </w:pPr>
      <w:bookmarkStart w:id="25" w:name="bookmark151"/>
      <w:bookmarkEnd w:id="25"/>
      <w:bookmarkStart w:id="26" w:name="bookmark152"/>
      <w:bookmarkEnd w:id="26"/>
      <w:bookmarkStart w:id="27" w:name="_Toc185105813"/>
      <w:bookmarkStart w:id="28" w:name="_Toc10003"/>
      <w:bookmarkStart w:id="29" w:name="_Toc185105743"/>
      <w:r>
        <w:rPr>
          <w:rFonts w:hint="eastAsia"/>
        </w:rPr>
        <w:t xml:space="preserve">2.1 </w:t>
      </w:r>
      <w:r>
        <w:rPr>
          <w:rFonts w:hint="eastAsia" w:ascii="方正黑体_GBK" w:hAnsi="方正黑体_GBK" w:eastAsia="方正黑体_GBK" w:cs="方正黑体_GBK"/>
        </w:rPr>
        <w:t>立德树人</w:t>
      </w:r>
      <w:bookmarkEnd w:id="27"/>
      <w:bookmarkEnd w:id="28"/>
      <w:bookmarkEnd w:id="29"/>
    </w:p>
    <w:p w14:paraId="2EBEA940">
      <w:pPr>
        <w:pStyle w:val="4"/>
        <w:spacing w:before="163" w:after="163"/>
      </w:pPr>
      <w:bookmarkStart w:id="30" w:name="_Toc6814"/>
      <w:r>
        <w:t xml:space="preserve">2.1.1 </w:t>
      </w:r>
      <w:r>
        <w:rPr>
          <w:rFonts w:hint="eastAsia" w:ascii="方正黑体_GBK" w:hAnsi="方正黑体_GBK" w:eastAsia="方正黑体_GBK" w:cs="方正黑体_GBK"/>
        </w:rPr>
        <w:t>构建大思政育人格局</w:t>
      </w:r>
      <w:bookmarkEnd w:id="30"/>
    </w:p>
    <w:p w14:paraId="636FCEF8">
      <w:pPr>
        <w:ind w:firstLine="480" w:firstLineChars="200"/>
        <w:rPr>
          <w:lang w:eastAsia="zh-CN"/>
        </w:rPr>
      </w:pPr>
      <w:r>
        <w:rPr>
          <w:rFonts w:hint="eastAsia"/>
          <w:lang w:eastAsia="zh-CN"/>
        </w:rPr>
        <w:t>全区中职</w:t>
      </w:r>
      <w:r>
        <w:rPr>
          <w:lang w:eastAsia="zh-CN"/>
        </w:rPr>
        <w:t>学校始终秉承</w:t>
      </w:r>
      <w:r>
        <w:rPr>
          <w:rFonts w:hint="eastAsia"/>
          <w:lang w:eastAsia="zh-CN"/>
        </w:rPr>
        <w:t>“</w:t>
      </w:r>
      <w:r>
        <w:rPr>
          <w:lang w:eastAsia="zh-CN"/>
        </w:rPr>
        <w:t>为党育人、为国育才</w:t>
      </w:r>
      <w:r>
        <w:rPr>
          <w:rFonts w:hint="eastAsia"/>
          <w:lang w:eastAsia="zh-CN"/>
        </w:rPr>
        <w:t>”</w:t>
      </w:r>
      <w:r>
        <w:rPr>
          <w:lang w:eastAsia="zh-CN"/>
        </w:rPr>
        <w:t>初心使命，全面贯彻党的教育方针，认真落实立德树人根本任务，以习近平新时代中国特色社会主义思想和</w:t>
      </w:r>
      <w:r>
        <w:rPr>
          <w:rFonts w:hint="eastAsia"/>
          <w:lang w:eastAsia="zh-CN"/>
        </w:rPr>
        <w:t>党的二十大和二十届历次全会精神</w:t>
      </w:r>
      <w:r>
        <w:rPr>
          <w:lang w:eastAsia="zh-CN"/>
        </w:rPr>
        <w:t>为指引，将思想政治教育贯穿人才培养全过程</w:t>
      </w:r>
      <w:r>
        <w:rPr>
          <w:rFonts w:hint="eastAsia"/>
          <w:lang w:eastAsia="zh-CN"/>
        </w:rPr>
        <w:t>，</w:t>
      </w:r>
      <w:r>
        <w:rPr>
          <w:lang w:eastAsia="zh-CN"/>
        </w:rPr>
        <w:t>深入探索构建三全育人体系和长效机制，构建大思政育人格局。各校结合自身办学特色，通过课程教学、文化浸润、实践养成等多维路径，着力培养德技并修、全面发展的新时代高素质技术技能人才，取得显著成效。重庆市九龙坡职业教育中心持续优化大思政课改革创新实施方案，系统构建一体化育人体系。依托</w:t>
      </w:r>
      <w:r>
        <w:rPr>
          <w:rFonts w:hint="eastAsia"/>
          <w:lang w:eastAsia="zh-CN"/>
        </w:rPr>
        <w:t>“</w:t>
      </w:r>
      <w:r>
        <w:rPr>
          <w:lang w:eastAsia="zh-CN"/>
        </w:rPr>
        <w:t>11544</w:t>
      </w:r>
      <w:r>
        <w:rPr>
          <w:rFonts w:hint="eastAsia"/>
          <w:lang w:eastAsia="zh-CN"/>
        </w:rPr>
        <w:t>”</w:t>
      </w:r>
      <w:r>
        <w:rPr>
          <w:lang w:eastAsia="zh-CN"/>
        </w:rPr>
        <w:t>育人平台，将</w:t>
      </w:r>
      <w:r>
        <w:rPr>
          <w:rFonts w:hint="eastAsia"/>
          <w:lang w:eastAsia="zh-CN"/>
        </w:rPr>
        <w:t>“</w:t>
      </w:r>
      <w:r>
        <w:rPr>
          <w:lang w:eastAsia="zh-CN"/>
        </w:rPr>
        <w:t>五史</w:t>
      </w:r>
      <w:r>
        <w:rPr>
          <w:rFonts w:hint="eastAsia"/>
          <w:lang w:eastAsia="zh-CN"/>
        </w:rPr>
        <w:t>”</w:t>
      </w:r>
      <w:r>
        <w:rPr>
          <w:lang w:eastAsia="zh-CN"/>
        </w:rPr>
        <w:t>有机融入教育教学全过程。通过实施</w:t>
      </w:r>
      <w:r>
        <w:rPr>
          <w:rFonts w:hint="eastAsia"/>
          <w:lang w:eastAsia="zh-CN"/>
        </w:rPr>
        <w:t>“</w:t>
      </w:r>
      <w:r>
        <w:rPr>
          <w:lang w:eastAsia="zh-CN"/>
        </w:rPr>
        <w:t>塑魂</w:t>
      </w:r>
      <w:r>
        <w:rPr>
          <w:rFonts w:hint="eastAsia"/>
          <w:lang w:eastAsia="zh-CN"/>
        </w:rPr>
        <w:t>”</w:t>
      </w:r>
      <w:r>
        <w:rPr>
          <w:lang w:eastAsia="zh-CN"/>
        </w:rPr>
        <w:t>课堂等项目，强化师生思想政治引领。开展</w:t>
      </w:r>
      <w:r>
        <w:rPr>
          <w:rFonts w:hint="eastAsia"/>
          <w:lang w:eastAsia="zh-CN"/>
        </w:rPr>
        <w:t>“</w:t>
      </w:r>
      <w:r>
        <w:rPr>
          <w:lang w:eastAsia="zh-CN"/>
        </w:rPr>
        <w:t>五类课堂</w:t>
      </w:r>
      <w:r>
        <w:rPr>
          <w:rFonts w:hint="eastAsia"/>
          <w:lang w:eastAsia="zh-CN"/>
        </w:rPr>
        <w:t>”</w:t>
      </w:r>
      <w:r>
        <w:rPr>
          <w:lang w:eastAsia="zh-CN"/>
        </w:rPr>
        <w:t>评选，组建</w:t>
      </w:r>
      <w:r>
        <w:rPr>
          <w:rFonts w:hint="eastAsia"/>
          <w:lang w:eastAsia="zh-CN"/>
        </w:rPr>
        <w:t>“</w:t>
      </w:r>
      <w:r>
        <w:rPr>
          <w:lang w:eastAsia="zh-CN"/>
        </w:rPr>
        <w:t>四导师</w:t>
      </w:r>
      <w:r>
        <w:rPr>
          <w:rFonts w:hint="eastAsia"/>
          <w:lang w:eastAsia="zh-CN"/>
        </w:rPr>
        <w:t>”</w:t>
      </w:r>
      <w:r>
        <w:rPr>
          <w:lang w:eastAsia="zh-CN"/>
        </w:rPr>
        <w:t>团队，拓展</w:t>
      </w:r>
      <w:r>
        <w:rPr>
          <w:rFonts w:hint="eastAsia"/>
          <w:lang w:eastAsia="zh-CN"/>
        </w:rPr>
        <w:t>“</w:t>
      </w:r>
      <w:r>
        <w:rPr>
          <w:lang w:eastAsia="zh-CN"/>
        </w:rPr>
        <w:t>四贯通</w:t>
      </w:r>
      <w:r>
        <w:rPr>
          <w:rFonts w:hint="eastAsia"/>
          <w:lang w:eastAsia="zh-CN"/>
        </w:rPr>
        <w:t>”</w:t>
      </w:r>
      <w:r>
        <w:rPr>
          <w:lang w:eastAsia="zh-CN"/>
        </w:rPr>
        <w:t>通道，设计</w:t>
      </w:r>
      <w:r>
        <w:rPr>
          <w:rFonts w:hint="eastAsia"/>
          <w:lang w:eastAsia="zh-CN"/>
        </w:rPr>
        <w:t>“</w:t>
      </w:r>
      <w:r>
        <w:rPr>
          <w:lang w:eastAsia="zh-CN"/>
        </w:rPr>
        <w:t>四航</w:t>
      </w:r>
      <w:r>
        <w:rPr>
          <w:rFonts w:hint="eastAsia"/>
          <w:lang w:eastAsia="zh-CN"/>
        </w:rPr>
        <w:t>”</w:t>
      </w:r>
      <w:r>
        <w:rPr>
          <w:lang w:eastAsia="zh-CN"/>
        </w:rPr>
        <w:t>目标，确保思想政治教育贯穿人才培养各环节。重庆市工艺美术学校深入推进</w:t>
      </w:r>
      <w:r>
        <w:rPr>
          <w:rFonts w:hint="eastAsia"/>
          <w:lang w:eastAsia="zh-CN"/>
        </w:rPr>
        <w:t>“</w:t>
      </w:r>
      <w:r>
        <w:rPr>
          <w:lang w:eastAsia="zh-CN"/>
        </w:rPr>
        <w:t>三全五美</w:t>
      </w:r>
      <w:r>
        <w:rPr>
          <w:rFonts w:hint="eastAsia"/>
          <w:lang w:eastAsia="zh-CN"/>
        </w:rPr>
        <w:t>”</w:t>
      </w:r>
      <w:r>
        <w:rPr>
          <w:lang w:eastAsia="zh-CN"/>
        </w:rPr>
        <w:t>思政教育体系，</w:t>
      </w:r>
      <w:r>
        <w:rPr>
          <w:rFonts w:hint="eastAsia"/>
          <w:lang w:eastAsia="zh-CN"/>
        </w:rPr>
        <w:t>将</w:t>
      </w:r>
      <w:r>
        <w:rPr>
          <w:lang w:eastAsia="zh-CN"/>
        </w:rPr>
        <w:t>思想政治教育融入社会实践、志愿服务、实习实训等一系列活动中，推动构建政府、社会、学校协同联动的</w:t>
      </w:r>
      <w:r>
        <w:rPr>
          <w:rFonts w:hint="eastAsia"/>
          <w:lang w:eastAsia="zh-CN"/>
        </w:rPr>
        <w:t>“</w:t>
      </w:r>
      <w:r>
        <w:rPr>
          <w:lang w:eastAsia="zh-CN"/>
        </w:rPr>
        <w:t>实践育人共同体</w:t>
      </w:r>
      <w:r>
        <w:rPr>
          <w:rFonts w:hint="eastAsia"/>
          <w:lang w:eastAsia="zh-CN"/>
        </w:rPr>
        <w:t>”</w:t>
      </w:r>
      <w:r>
        <w:rPr>
          <w:lang w:eastAsia="zh-CN"/>
        </w:rPr>
        <w:t>，着力加大实践育人效果，有效提升学生创新活力。</w:t>
      </w:r>
    </w:p>
    <w:p w14:paraId="5363EE50">
      <w:pPr>
        <w:pStyle w:val="7"/>
        <w:ind w:firstLine="422" w:firstLineChars="200"/>
        <w:jc w:val="center"/>
        <w:rPr>
          <w:rFonts w:eastAsia="黑体"/>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w:t>
      </w:r>
      <w:r>
        <w:rPr>
          <w:rFonts w:hint="default" w:ascii="Times New Roman" w:hAnsi="Times New Roman" w:eastAsia="黑体" w:cs="Times New Roman"/>
          <w:b/>
          <w:bCs/>
          <w:color w:val="2E54A1" w:themeColor="accent1" w:themeShade="BF"/>
          <w:sz w:val="21"/>
          <w:szCs w:val="21"/>
        </w:rPr>
        <w:fldChar w:fldCharType="end"/>
      </w:r>
      <w:bookmarkStart w:id="31" w:name="_Toc21472"/>
      <w:r>
        <w:rPr>
          <w:rFonts w:hint="default" w:ascii="Times New Roman" w:hAnsi="Times New Roman" w:eastAsia="黑体" w:cs="Times New Roman"/>
          <w:b/>
          <w:bCs/>
          <w:color w:val="2E54A1" w:themeColor="accent1" w:themeShade="BF"/>
          <w:sz w:val="21"/>
          <w:szCs w:val="21"/>
        </w:rPr>
        <w:t>】</w:t>
      </w:r>
      <w:r>
        <w:rPr>
          <w:rFonts w:eastAsia="黑体"/>
          <w:b/>
          <w:bCs/>
          <w:color w:val="2E54A1" w:themeColor="accent1" w:themeShade="BF"/>
          <w:sz w:val="21"/>
          <w:szCs w:val="21"/>
        </w:rPr>
        <w:t xml:space="preserve">  重庆市九龙坡职业教育中心双融育人 思政铸魂</w:t>
      </w:r>
      <w:bookmarkEnd w:id="31"/>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09CD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3BBA5452">
            <w:pPr>
              <w:ind w:firstLine="420" w:firstLineChars="200"/>
              <w:rPr>
                <w:rFonts w:hint="eastAsia" w:ascii="楷体" w:hAnsi="楷体" w:eastAsia="楷体" w:cs="楷体"/>
                <w:sz w:val="21"/>
                <w:szCs w:val="21"/>
                <w:lang w:eastAsia="zh-CN"/>
              </w:rPr>
            </w:pPr>
            <w:r>
              <w:rPr>
                <w:rFonts w:hint="eastAsia" w:eastAsia="楷体" w:cs="Times New Roman"/>
                <w:sz w:val="21"/>
                <w:szCs w:val="21"/>
                <w:lang w:eastAsia="zh-CN"/>
              </w:rPr>
              <w:t>学校聚焦“大思政课”一体化构建，紧扣立德树人根本任务，立足各专业特色，构建“思政课程+课程思政”双融育人体系，将家国情怀、工匠精神等思政元素深度融入课堂教学。一是筑牢制度保障，成立党委书记、校长任组长的工作领导小组，新修订《新时代九龙坡职业教育中心大思政课改革创新实施方案》。二是提升育人能力，响应“一教师一思政”号召，以专题讲座等形式开展覆盖全体教师的思政培训。三是推动课程融合，以课堂为阵地，挖掘各类课程思政元素，通过创新教学、邀请大国工匠进校园等方式实现思政</w:t>
            </w:r>
            <w:r>
              <w:rPr>
                <w:rFonts w:eastAsia="楷体" w:cs="Times New Roman"/>
                <w:sz w:val="21"/>
                <w:szCs w:val="21"/>
                <w:lang w:eastAsia="zh-CN"/>
              </w:rPr>
              <w:t>教育与课程有机融合。学校大思政教育成效显著，发表相关论文2篇，建思政资源库1个（近1000+素材）</w:t>
            </w:r>
            <w:r>
              <w:rPr>
                <w:rFonts w:hint="eastAsia" w:eastAsia="楷体" w:cs="Times New Roman"/>
                <w:sz w:val="21"/>
                <w:szCs w:val="21"/>
                <w:lang w:eastAsia="zh-CN"/>
              </w:rPr>
              <w:t>，编案例集2本，获思政案例奖6个（其中国家级特等奖1个），制定思政教师考评办法1套。相关工作被央视报道1次、市级主流媒体报道2次，提升了行业认可度与社会影响力，提供了可借鉴的实践样本。</w:t>
            </w:r>
          </w:p>
          <w:p w14:paraId="76419EC9">
            <w:pPr>
              <w:spacing w:line="240" w:lineRule="auto"/>
              <w:jc w:val="center"/>
              <w:rPr>
                <w:rFonts w:hint="eastAsia" w:ascii="楷体" w:hAnsi="楷体" w:eastAsia="楷体" w:cs="楷体"/>
                <w:sz w:val="21"/>
                <w:szCs w:val="21"/>
                <w:lang w:eastAsia="zh-CN"/>
              </w:rPr>
            </w:pPr>
            <w:r>
              <w:rPr>
                <w:rFonts w:hint="eastAsia" w:ascii="楷体" w:hAnsi="楷体" w:eastAsia="楷体" w:cs="楷体"/>
                <w:sz w:val="21"/>
                <w:szCs w:val="21"/>
                <w:lang w:eastAsia="zh-CN"/>
              </w:rPr>
              <w:drawing>
                <wp:inline distT="0" distB="0" distL="114300" distR="114300">
                  <wp:extent cx="3420110" cy="3007360"/>
                  <wp:effectExtent l="0" t="0" r="1905" b="4445"/>
                  <wp:docPr id="14" name="图片 7" descr="“11544”“大思政”生态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11544”“大思政”生态树"/>
                          <pic:cNvPicPr>
                            <a:picLocks noChangeAspect="1"/>
                          </pic:cNvPicPr>
                        </pic:nvPicPr>
                        <pic:blipFill>
                          <a:blip r:embed="rId16"/>
                          <a:stretch>
                            <a:fillRect/>
                          </a:stretch>
                        </pic:blipFill>
                        <pic:spPr>
                          <a:xfrm>
                            <a:off x="0" y="0"/>
                            <a:ext cx="3420110" cy="3007360"/>
                          </a:xfrm>
                          <a:prstGeom prst="rect">
                            <a:avLst/>
                          </a:prstGeom>
                          <a:noFill/>
                          <a:ln>
                            <a:noFill/>
                          </a:ln>
                        </pic:spPr>
                      </pic:pic>
                    </a:graphicData>
                  </a:graphic>
                </wp:inline>
              </w:drawing>
            </w:r>
          </w:p>
          <w:p w14:paraId="4E756C6C">
            <w:pPr>
              <w:pStyle w:val="7"/>
              <w:rPr>
                <w:rFonts w:hint="eastAsia" w:ascii="楷体" w:hAnsi="楷体" w:eastAsia="楷体" w:cs="楷体"/>
                <w:sz w:val="21"/>
                <w:szCs w:val="21"/>
                <w:lang w:eastAsia="zh-CN"/>
              </w:rPr>
            </w:pPr>
            <w:r>
              <w:t>图</w:t>
            </w:r>
            <w:r>
              <w:fldChar w:fldCharType="begin"/>
            </w:r>
            <w:r>
              <w:instrText xml:space="preserve"> SEQ 图 \* ARABIC </w:instrText>
            </w:r>
            <w:r>
              <w:fldChar w:fldCharType="separate"/>
            </w:r>
            <w:r>
              <w:t>1</w:t>
            </w:r>
            <w:r>
              <w:fldChar w:fldCharType="end"/>
            </w:r>
            <w:bookmarkStart w:id="32" w:name="_Toc1748"/>
            <w:r>
              <w:rPr>
                <w:rFonts w:hint="eastAsia"/>
                <w:sz w:val="21"/>
                <w:szCs w:val="21"/>
              </w:rPr>
              <w:t xml:space="preserve">  重庆市九龙坡职业教育中心</w:t>
            </w:r>
            <w:r>
              <w:rPr>
                <w:rFonts w:hint="eastAsia"/>
                <w:sz w:val="21"/>
                <w:szCs w:val="21"/>
                <w:lang w:eastAsia="zh-CN"/>
              </w:rPr>
              <w:t>“</w:t>
            </w:r>
            <w:r>
              <w:rPr>
                <w:rFonts w:hint="eastAsia"/>
                <w:sz w:val="21"/>
                <w:szCs w:val="21"/>
              </w:rPr>
              <w:t>11544</w:t>
            </w:r>
            <w:r>
              <w:rPr>
                <w:rFonts w:hint="eastAsia"/>
                <w:sz w:val="21"/>
                <w:szCs w:val="21"/>
                <w:lang w:eastAsia="zh-CN"/>
              </w:rPr>
              <w:t>”</w:t>
            </w:r>
            <w:r>
              <w:rPr>
                <w:rFonts w:hint="eastAsia"/>
                <w:sz w:val="21"/>
                <w:szCs w:val="21"/>
              </w:rPr>
              <w:t>大思政</w:t>
            </w:r>
            <w:r>
              <w:rPr>
                <w:rFonts w:hint="eastAsia"/>
                <w:sz w:val="21"/>
                <w:szCs w:val="21"/>
                <w:lang w:eastAsia="zh-CN"/>
              </w:rPr>
              <w:t>教育资源</w:t>
            </w:r>
            <w:bookmarkEnd w:id="32"/>
            <w:r>
              <w:rPr>
                <w:rFonts w:hint="eastAsia"/>
                <w:sz w:val="21"/>
                <w:szCs w:val="21"/>
                <w:lang w:eastAsia="zh-CN"/>
              </w:rPr>
              <w:t>图示</w:t>
            </w:r>
          </w:p>
        </w:tc>
      </w:tr>
    </w:tbl>
    <w:p w14:paraId="20F151D2">
      <w:pPr>
        <w:pStyle w:val="4"/>
        <w:spacing w:before="163" w:after="163"/>
      </w:pPr>
      <w:bookmarkStart w:id="33" w:name="_Toc5131"/>
      <w:r>
        <w:t>2.</w:t>
      </w:r>
      <w:r>
        <w:rPr>
          <w:rFonts w:hint="eastAsia"/>
        </w:rPr>
        <w:t>1</w:t>
      </w:r>
      <w:r>
        <w:t>.</w:t>
      </w:r>
      <w:r>
        <w:rPr>
          <w:rFonts w:hint="eastAsia"/>
        </w:rPr>
        <w:t>2</w:t>
      </w:r>
      <w:r>
        <w:t xml:space="preserve"> </w:t>
      </w:r>
      <w:r>
        <w:rPr>
          <w:rFonts w:hint="eastAsia" w:ascii="方正黑体_GBK" w:hAnsi="方正黑体_GBK" w:eastAsia="方正黑体_GBK" w:cs="方正黑体_GBK"/>
        </w:rPr>
        <w:t>系统化打造思政队伍</w:t>
      </w:r>
      <w:bookmarkEnd w:id="33"/>
    </w:p>
    <w:p w14:paraId="64DCAA99">
      <w:pPr>
        <w:ind w:firstLine="480" w:firstLineChars="200"/>
        <w:rPr>
          <w:lang w:eastAsia="zh-CN"/>
        </w:rPr>
      </w:pPr>
      <w:r>
        <w:rPr>
          <w:rFonts w:hint="eastAsia"/>
          <w:lang w:eastAsia="zh-CN"/>
        </w:rPr>
        <w:t>全区中职学校高度重视思想政治教育队伍建设，将其作为落实立德树人根本任务、提升思政育人实效的关键支撑，通过系统规划、机制创新与实践锤炼，着力打造一支政治强、情怀深、视野广、自律严、人格正的高素质专业化思政课教师队伍。</w:t>
      </w:r>
      <w:r>
        <w:rPr>
          <w:lang w:eastAsia="zh-CN"/>
        </w:rPr>
        <w:t>重庆市九龙坡职业教育中心着力打造以专职教师为主体、专兼结合的思政课教师队伍</w:t>
      </w:r>
      <w:r>
        <w:rPr>
          <w:rFonts w:hint="eastAsia"/>
          <w:lang w:eastAsia="zh-CN"/>
        </w:rPr>
        <w:t>，</w:t>
      </w:r>
      <w:r>
        <w:rPr>
          <w:lang w:eastAsia="zh-CN"/>
        </w:rPr>
        <w:t>制定《思政教师考评办法及退出机制》，定期组织教师参加培训与实践，确保每位思政课教师每年至少参与两次实践教育活动。实施</w:t>
      </w:r>
      <w:r>
        <w:rPr>
          <w:rFonts w:hint="eastAsia"/>
          <w:lang w:eastAsia="zh-CN"/>
        </w:rPr>
        <w:t>“</w:t>
      </w:r>
      <w:r>
        <w:rPr>
          <w:lang w:eastAsia="zh-CN"/>
        </w:rPr>
        <w:t>青蓝工程</w:t>
      </w:r>
      <w:r>
        <w:rPr>
          <w:rFonts w:hint="eastAsia"/>
          <w:lang w:eastAsia="zh-CN"/>
        </w:rPr>
        <w:t>”</w:t>
      </w:r>
      <w:r>
        <w:rPr>
          <w:lang w:eastAsia="zh-CN"/>
        </w:rPr>
        <w:t>，鼓励教师攻读相关学位，支持兼职教师取得思政教育第二学历。重庆市工艺美术学校新增思政教师5名，现有专职思政教师9名，其中研究生学历1名，高级职称2名，队伍结构持续优化</w:t>
      </w:r>
      <w:r>
        <w:rPr>
          <w:rFonts w:hint="eastAsia"/>
          <w:lang w:eastAsia="zh-CN"/>
        </w:rPr>
        <w:t>，</w:t>
      </w:r>
      <w:r>
        <w:rPr>
          <w:lang w:eastAsia="zh-CN"/>
        </w:rPr>
        <w:t>本年度</w:t>
      </w:r>
      <w:r>
        <w:rPr>
          <w:rFonts w:hint="eastAsia"/>
          <w:lang w:eastAsia="zh-CN"/>
        </w:rPr>
        <w:t>学校</w:t>
      </w:r>
      <w:r>
        <w:rPr>
          <w:lang w:eastAsia="zh-CN"/>
        </w:rPr>
        <w:t>思政教师先后参加红岩精神进校园</w:t>
      </w:r>
      <w:r>
        <w:rPr>
          <w:rFonts w:hint="eastAsia"/>
          <w:lang w:eastAsia="zh-CN"/>
        </w:rPr>
        <w:t>、</w:t>
      </w:r>
      <w:r>
        <w:rPr>
          <w:lang w:eastAsia="zh-CN"/>
        </w:rPr>
        <w:t>助力中高职思政教育一体化建设高质量发展、成渝双城经济圈教学研究校级联盟跨学科教研活动等市区级活动，彰显了学校思政教师队伍的整体水平。</w:t>
      </w:r>
      <w:r>
        <w:rPr>
          <w:rFonts w:hint="eastAsia"/>
          <w:lang w:eastAsia="zh-CN"/>
        </w:rPr>
        <w:t>重庆市聚英技工学校构建“实践赋能+制度保障”的思政师资培育体系，提升育人队伍专业素养，组织专业课教师参与企业实践、思政教研活动，深入产业一线挖掘教学素材，增强教学的实践性与针对性。重庆建筑高级技工学校采用“思政教师+技能大师”双师模式，定期开展“技能思政”教学研讨；建立“技能导师+德育导师”双导师制，将“精益求精、爱岗敬业”要求转化为操作规范。</w:t>
      </w:r>
    </w:p>
    <w:p w14:paraId="00898A19">
      <w:pPr>
        <w:spacing w:line="240" w:lineRule="auto"/>
        <w:jc w:val="center"/>
        <w:rPr>
          <w:lang w:eastAsia="zh-CN"/>
        </w:rPr>
      </w:pPr>
      <w:r>
        <w:rPr>
          <w:rFonts w:hint="eastAsia"/>
        </w:rPr>
        <w:drawing>
          <wp:inline distT="0" distB="0" distL="114300" distR="114300">
            <wp:extent cx="3599815" cy="2400935"/>
            <wp:effectExtent l="0" t="0" r="5715" b="6350"/>
            <wp:docPr id="1" name="图片 1" descr="8aad78de28fdb3383b53d3807112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aad78de28fdb3383b53d380711295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99815" cy="2400935"/>
                    </a:xfrm>
                    <a:prstGeom prst="rect">
                      <a:avLst/>
                    </a:prstGeom>
                  </pic:spPr>
                </pic:pic>
              </a:graphicData>
            </a:graphic>
          </wp:inline>
        </w:drawing>
      </w:r>
    </w:p>
    <w:p w14:paraId="3783A4BE">
      <w:pPr>
        <w:pStyle w:val="7"/>
      </w:pPr>
      <w:r>
        <w:t>图</w:t>
      </w:r>
      <w:r>
        <w:fldChar w:fldCharType="begin"/>
      </w:r>
      <w:r>
        <w:instrText xml:space="preserve"> SEQ 图 \* ARABIC </w:instrText>
      </w:r>
      <w:r>
        <w:fldChar w:fldCharType="separate"/>
      </w:r>
      <w:r>
        <w:t>2</w:t>
      </w:r>
      <w:r>
        <w:fldChar w:fldCharType="end"/>
      </w:r>
      <w:bookmarkStart w:id="34" w:name="_Toc22997"/>
      <w:r>
        <w:rPr>
          <w:rFonts w:hint="eastAsia"/>
          <w:lang w:val="en-US" w:eastAsia="zh-CN"/>
        </w:rPr>
        <w:t xml:space="preserve">  </w:t>
      </w:r>
      <w:r>
        <w:rPr>
          <w:rFonts w:hint="eastAsia"/>
        </w:rPr>
        <w:t>重庆市聚英技工学校专业课教师参加2025年重庆市技工院校专业课教师课程-思政能力提升培训班</w:t>
      </w:r>
      <w:bookmarkEnd w:id="34"/>
    </w:p>
    <w:p w14:paraId="5053E7B0">
      <w:pPr>
        <w:pStyle w:val="4"/>
        <w:spacing w:before="163" w:after="163"/>
      </w:pPr>
      <w:bookmarkStart w:id="35" w:name="_Toc17480"/>
      <w:r>
        <w:t>2.</w:t>
      </w:r>
      <w:r>
        <w:rPr>
          <w:rFonts w:hint="eastAsia"/>
        </w:rPr>
        <w:t>1</w:t>
      </w:r>
      <w:r>
        <w:t>.</w:t>
      </w:r>
      <w:r>
        <w:rPr>
          <w:rFonts w:hint="eastAsia"/>
        </w:rPr>
        <w:t>3</w:t>
      </w:r>
      <w:r>
        <w:t xml:space="preserve"> </w:t>
      </w:r>
      <w:r>
        <w:rPr>
          <w:rFonts w:hint="eastAsia" w:ascii="方正黑体_GBK" w:hAnsi="方正黑体_GBK" w:eastAsia="方正黑体_GBK" w:cs="方正黑体_GBK"/>
        </w:rPr>
        <w:t>多渠道创新思政教育</w:t>
      </w:r>
      <w:bookmarkEnd w:id="35"/>
    </w:p>
    <w:p w14:paraId="3DEC2800">
      <w:pPr>
        <w:ind w:firstLine="480" w:firstLineChars="200"/>
        <w:rPr>
          <w:lang w:eastAsia="zh-CN"/>
        </w:rPr>
      </w:pPr>
      <w:r>
        <w:rPr>
          <w:lang w:eastAsia="zh-CN"/>
        </w:rPr>
        <w:t>区教委</w:t>
      </w:r>
      <w:r>
        <w:rPr>
          <w:rFonts w:hint="eastAsia"/>
          <w:lang w:eastAsia="zh-CN"/>
        </w:rPr>
        <w:t>、区教师进修学院</w:t>
      </w:r>
      <w:r>
        <w:rPr>
          <w:lang w:eastAsia="zh-CN"/>
        </w:rPr>
        <w:t>督促</w:t>
      </w:r>
      <w:r>
        <w:rPr>
          <w:rFonts w:hint="eastAsia"/>
          <w:lang w:eastAsia="zh-CN"/>
        </w:rPr>
        <w:t>全区</w:t>
      </w:r>
      <w:r>
        <w:rPr>
          <w:lang w:eastAsia="zh-CN"/>
        </w:rPr>
        <w:t>各中职学校严格落实《中等职业学校思想政治课程标准》要求，充分发挥思政课在立德树人中</w:t>
      </w:r>
      <w:r>
        <w:rPr>
          <w:rFonts w:hint="eastAsia"/>
          <w:lang w:eastAsia="zh-CN"/>
        </w:rPr>
        <w:t>“</w:t>
      </w:r>
      <w:r>
        <w:rPr>
          <w:lang w:eastAsia="zh-CN"/>
        </w:rPr>
        <w:t>关键课程</w:t>
      </w:r>
      <w:r>
        <w:rPr>
          <w:rFonts w:hint="eastAsia"/>
          <w:lang w:eastAsia="zh-CN"/>
        </w:rPr>
        <w:t>”</w:t>
      </w:r>
      <w:r>
        <w:rPr>
          <w:lang w:eastAsia="zh-CN"/>
        </w:rPr>
        <w:t>作用。开齐开</w:t>
      </w:r>
      <w:r>
        <w:rPr>
          <w:rFonts w:hint="eastAsia"/>
          <w:lang w:eastAsia="zh-CN"/>
        </w:rPr>
        <w:t>足</w:t>
      </w:r>
      <w:r>
        <w:rPr>
          <w:lang w:eastAsia="zh-CN"/>
        </w:rPr>
        <w:t>《中国特色社会主义》《职业道德与法治》《心理健康与职业生涯》《哲学与人生》思想政治理论课程。紧密对接新时代思想政治工作要求，整合校内外教育教学资源，</w:t>
      </w:r>
      <w:r>
        <w:rPr>
          <w:rFonts w:hint="eastAsia"/>
          <w:lang w:eastAsia="zh-CN"/>
        </w:rPr>
        <w:t>充分运用</w:t>
      </w:r>
      <w:r>
        <w:rPr>
          <w:lang w:eastAsia="zh-CN"/>
        </w:rPr>
        <w:t>现代信息技术</w:t>
      </w:r>
      <w:r>
        <w:rPr>
          <w:rFonts w:hint="eastAsia"/>
          <w:lang w:eastAsia="zh-CN"/>
        </w:rPr>
        <w:t>，提升课程感染力和时效性，学生政治认同、职业精神、公共参与等核心素养得到提升，思政课的价值引领作用持续增强。</w:t>
      </w:r>
      <w:r>
        <w:rPr>
          <w:lang w:eastAsia="zh-CN"/>
        </w:rPr>
        <w:t>重庆市九龙坡职业教育中心创新思政课教学模式，增强思政课的思想性、理论性与亲和力</w:t>
      </w:r>
      <w:r>
        <w:rPr>
          <w:rFonts w:hint="eastAsia"/>
          <w:lang w:eastAsia="zh-CN"/>
        </w:rPr>
        <w:t>，</w:t>
      </w:r>
      <w:r>
        <w:rPr>
          <w:lang w:eastAsia="zh-CN"/>
        </w:rPr>
        <w:t>学校获批九龙坡区</w:t>
      </w:r>
      <w:r>
        <w:rPr>
          <w:rFonts w:hint="eastAsia"/>
          <w:lang w:eastAsia="zh-CN"/>
        </w:rPr>
        <w:t>“</w:t>
      </w:r>
      <w:r>
        <w:rPr>
          <w:lang w:eastAsia="zh-CN"/>
        </w:rPr>
        <w:t>大思政课</w:t>
      </w:r>
      <w:r>
        <w:rPr>
          <w:rFonts w:hint="eastAsia"/>
          <w:lang w:eastAsia="zh-CN"/>
        </w:rPr>
        <w:t>”</w:t>
      </w:r>
      <w:r>
        <w:rPr>
          <w:lang w:eastAsia="zh-CN"/>
        </w:rPr>
        <w:t>实践教学基地，组建思政教学创新团队1个，立项市级思政教学改革项目2项、课题1项，建设校级思政示范课6堂，形成以赛促教、以赛促改的良好机制。重庆市工艺美术学校</w:t>
      </w:r>
      <w:r>
        <w:rPr>
          <w:rFonts w:hint="eastAsia"/>
          <w:lang w:eastAsia="zh-CN"/>
        </w:rPr>
        <w:t>不断创新思想政治理论课教学策略，构建“四共解迷”思政课教学模式，学校思政教研组获得重庆市职业院校技能大赛教师教学能力比赛思政组一等奖，深入推动大中小一体化思政课建设，与重庆电力高等专科学校联合开展“手绘地图”等课程建设活动。</w:t>
      </w:r>
    </w:p>
    <w:p w14:paraId="27C75268">
      <w:pPr>
        <w:pStyle w:val="7"/>
        <w:ind w:firstLine="422" w:firstLineChars="200"/>
        <w:jc w:val="center"/>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2</w:t>
      </w:r>
      <w:r>
        <w:rPr>
          <w:rFonts w:hint="default" w:ascii="Times New Roman" w:hAnsi="Times New Roman" w:eastAsia="黑体" w:cs="Times New Roman"/>
          <w:b/>
          <w:bCs/>
          <w:color w:val="2E54A1" w:themeColor="accent1" w:themeShade="BF"/>
          <w:sz w:val="21"/>
          <w:szCs w:val="21"/>
        </w:rPr>
        <w:fldChar w:fldCharType="end"/>
      </w:r>
      <w:bookmarkStart w:id="36" w:name="_Toc19521"/>
      <w:r>
        <w:rPr>
          <w:rFonts w:hint="default" w:ascii="Times New Roman" w:hAnsi="Times New Roman" w:eastAsia="黑体" w:cs="Times New Roman"/>
          <w:b/>
          <w:bCs/>
          <w:color w:val="2E54A1" w:themeColor="accent1" w:themeShade="BF"/>
          <w:sz w:val="21"/>
          <w:szCs w:val="21"/>
        </w:rPr>
        <w:t>】  重庆市工艺美术学校中职动漫专业职业道德教育创新实践</w:t>
      </w:r>
      <w:bookmarkEnd w:id="36"/>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AE3F5"/>
        <w:tblLayout w:type="autofit"/>
        <w:tblCellMar>
          <w:top w:w="0" w:type="dxa"/>
          <w:left w:w="108" w:type="dxa"/>
          <w:bottom w:w="0" w:type="dxa"/>
          <w:right w:w="108" w:type="dxa"/>
        </w:tblCellMar>
      </w:tblPr>
      <w:tblGrid>
        <w:gridCol w:w="8719"/>
      </w:tblGrid>
      <w:tr w14:paraId="3A5B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AE3F5"/>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24B1216C">
            <w:pPr>
              <w:ind w:firstLine="420" w:firstLineChars="200"/>
              <w:rPr>
                <w:rFonts w:eastAsia="楷体" w:cs="Times New Roman"/>
                <w:sz w:val="21"/>
                <w:szCs w:val="21"/>
                <w:lang w:eastAsia="zh-CN"/>
              </w:rPr>
            </w:pPr>
            <w:r>
              <w:rPr>
                <w:rFonts w:hint="eastAsia" w:eastAsia="楷体" w:cs="Times New Roman"/>
                <w:sz w:val="21"/>
                <w:szCs w:val="21"/>
                <w:lang w:eastAsia="zh-CN"/>
              </w:rPr>
              <w:t>学校紧扣“大思政课”理念，以《职业道德与法治》课程为载体，创新开展“践行良好职业道德，绘就国漫出彩人生”主题教学。一是内容融合，将党的二十大精神、习近平文化思想融入教学，结合“十四五”文化产业发展规划与动漫行业岗位要求，确定以“践行职业道德”为核</w:t>
            </w:r>
            <w:r>
              <w:rPr>
                <w:rFonts w:eastAsia="楷体" w:cs="Times New Roman"/>
                <w:sz w:val="21"/>
                <w:szCs w:val="21"/>
                <w:lang w:eastAsia="zh-CN"/>
              </w:rPr>
              <w:t>心的12学时</w:t>
            </w:r>
            <w:r>
              <w:rPr>
                <w:rFonts w:hint="eastAsia" w:eastAsia="楷体" w:cs="Times New Roman"/>
                <w:sz w:val="21"/>
                <w:szCs w:val="21"/>
                <w:lang w:eastAsia="zh-CN"/>
              </w:rPr>
              <w:t>单元。二是策略创新，实施“四共解迷”教学策略，组建思政教师、专业教师、企业导师、劳动模范及家长构成的“大师资”团队，通过“四线共推”（议题线、情境线、活动线、实践线）和“四环共进”（寻理、学理、悟理、强理）引导学生深度参与。三是评价改革，构建“三色彩坊”阶梯式评价体系，依托智能平台采集全过程学习数据，实现“一生一像”个性化发展图谱，从目标效度、参与广度、获得程度、思维深度四维开展多元评价。</w:t>
            </w:r>
          </w:p>
        </w:tc>
      </w:tr>
    </w:tbl>
    <w:p w14:paraId="724E9307">
      <w:pPr>
        <w:pStyle w:val="4"/>
        <w:spacing w:before="163" w:after="163"/>
      </w:pPr>
      <w:bookmarkStart w:id="37" w:name="_Toc21493"/>
      <w:r>
        <w:t>2.</w:t>
      </w:r>
      <w:r>
        <w:rPr>
          <w:rFonts w:hint="eastAsia"/>
        </w:rPr>
        <w:t>1</w:t>
      </w:r>
      <w:r>
        <w:t>.</w:t>
      </w:r>
      <w:r>
        <w:rPr>
          <w:rFonts w:hint="eastAsia"/>
        </w:rPr>
        <w:t xml:space="preserve">4 </w:t>
      </w:r>
      <w:r>
        <w:rPr>
          <w:rFonts w:hint="eastAsia" w:ascii="方正黑体_GBK" w:hAnsi="方正黑体_GBK" w:eastAsia="方正黑体_GBK" w:cs="方正黑体_GBK"/>
        </w:rPr>
        <w:t>全方位推进课程思政</w:t>
      </w:r>
      <w:bookmarkEnd w:id="37"/>
    </w:p>
    <w:p w14:paraId="4B6B6236">
      <w:pPr>
        <w:ind w:firstLine="480" w:firstLineChars="200"/>
        <w:rPr>
          <w:lang w:eastAsia="zh-CN"/>
        </w:rPr>
      </w:pPr>
      <w:r>
        <w:rPr>
          <w:rFonts w:hint="eastAsia"/>
          <w:lang w:eastAsia="zh-CN"/>
        </w:rPr>
        <w:t>全区</w:t>
      </w:r>
      <w:r>
        <w:rPr>
          <w:lang w:eastAsia="zh-CN"/>
        </w:rPr>
        <w:t>中职学校积极构建专业课教学与思想政治教育同向同行育人格局，持续推进技术技能培养与思想价值引领有效融合，探索创新课程思政的路径和方法。重庆市九龙坡职业教育中心作为九龙坡区教育强国实验区建设成员单位，成立由党委书记、校长任组长</w:t>
      </w:r>
      <w:r>
        <w:rPr>
          <w:rFonts w:hint="eastAsia"/>
          <w:lang w:eastAsia="zh-CN"/>
        </w:rPr>
        <w:t>的</w:t>
      </w:r>
      <w:r>
        <w:rPr>
          <w:lang w:eastAsia="zh-CN"/>
        </w:rPr>
        <w:t>大思政课程建设工作领导小组，构建</w:t>
      </w:r>
      <w:r>
        <w:rPr>
          <w:rFonts w:hint="eastAsia"/>
          <w:lang w:eastAsia="zh-CN"/>
        </w:rPr>
        <w:t>“</w:t>
      </w:r>
      <w:r>
        <w:rPr>
          <w:lang w:eastAsia="zh-CN"/>
        </w:rPr>
        <w:t>思政课程+课程思政</w:t>
      </w:r>
      <w:r>
        <w:rPr>
          <w:rFonts w:hint="eastAsia"/>
          <w:lang w:eastAsia="zh-CN"/>
        </w:rPr>
        <w:t>”</w:t>
      </w:r>
      <w:r>
        <w:rPr>
          <w:lang w:eastAsia="zh-CN"/>
        </w:rPr>
        <w:t>双融育人体系</w:t>
      </w:r>
      <w:r>
        <w:rPr>
          <w:rFonts w:hint="eastAsia"/>
          <w:lang w:eastAsia="zh-CN"/>
        </w:rPr>
        <w:t>，</w:t>
      </w:r>
      <w:r>
        <w:rPr>
          <w:lang w:eastAsia="zh-CN"/>
        </w:rPr>
        <w:t>将家国情怀、工匠精神、生态责任等思政元素有机融入课堂教学</w:t>
      </w:r>
      <w:r>
        <w:rPr>
          <w:rFonts w:hint="eastAsia"/>
          <w:lang w:eastAsia="zh-CN"/>
        </w:rPr>
        <w:t>，</w:t>
      </w:r>
      <w:r>
        <w:rPr>
          <w:lang w:eastAsia="zh-CN"/>
        </w:rPr>
        <w:t>开展覆盖全员的思政专题培训，通过集体备课、大国工匠进校园、模范人物宣讲等形式，推动思政教育与专业教学、文化课程深度融合</w:t>
      </w:r>
      <w:r>
        <w:rPr>
          <w:rFonts w:hint="eastAsia"/>
          <w:lang w:eastAsia="zh-CN"/>
        </w:rPr>
        <w:t>，</w:t>
      </w:r>
      <w:r>
        <w:rPr>
          <w:lang w:eastAsia="zh-CN"/>
        </w:rPr>
        <w:t>学校大思政建设成效获央视报道1次、市级主流媒体报道2次，社会影响力持续提升。重庆市工艺美术学校立足工艺美术专业特色，将思想政治教育深度融入教学全过程</w:t>
      </w:r>
      <w:r>
        <w:rPr>
          <w:rFonts w:hint="eastAsia"/>
          <w:lang w:eastAsia="zh-CN"/>
        </w:rPr>
        <w:t>。</w:t>
      </w:r>
      <w:r>
        <w:rPr>
          <w:lang w:eastAsia="zh-CN"/>
        </w:rPr>
        <w:t>在理论教学中厚植中华优秀传统文化，增强学生文化自信；在技能实训中弘扬精益求精的工匠精神，培育学生职业素养；在创作实践中引导学生关注时代社会，涵养家国情怀</w:t>
      </w:r>
      <w:r>
        <w:rPr>
          <w:rFonts w:hint="eastAsia"/>
          <w:lang w:eastAsia="zh-CN"/>
        </w:rPr>
        <w:t>，</w:t>
      </w:r>
      <w:r>
        <w:rPr>
          <w:lang w:eastAsia="zh-CN"/>
        </w:rPr>
        <w:t>通过强化顶层设计、创新教学方法、加强师资培训，构建</w:t>
      </w:r>
      <w:r>
        <w:rPr>
          <w:rFonts w:hint="eastAsia"/>
          <w:lang w:eastAsia="zh-CN"/>
        </w:rPr>
        <w:t>“</w:t>
      </w:r>
      <w:r>
        <w:rPr>
          <w:lang w:eastAsia="zh-CN"/>
        </w:rPr>
        <w:t>工艺美术+思政</w:t>
      </w:r>
      <w:r>
        <w:rPr>
          <w:rFonts w:hint="eastAsia"/>
          <w:lang w:eastAsia="zh-CN"/>
        </w:rPr>
        <w:t>”</w:t>
      </w:r>
      <w:r>
        <w:rPr>
          <w:lang w:eastAsia="zh-CN"/>
        </w:rPr>
        <w:t>的育人模式，</w:t>
      </w:r>
      <w:r>
        <w:rPr>
          <w:rFonts w:hint="eastAsia"/>
          <w:lang w:eastAsia="zh-CN"/>
        </w:rPr>
        <w:t>学校</w:t>
      </w:r>
      <w:r>
        <w:rPr>
          <w:lang w:eastAsia="zh-CN"/>
        </w:rPr>
        <w:t>《感悟道德力量 践行职业道德》荣获重庆市思想政治学科课程思政案例。</w:t>
      </w:r>
      <w:r>
        <w:rPr>
          <w:rFonts w:hint="eastAsia"/>
          <w:lang w:eastAsia="zh-CN"/>
        </w:rPr>
        <w:t>重庆市聚英技工学校聚焦技工教育类型特征推进思政课教学改革，将思政内容与实训课堂、技能竞赛深度融合，结合劳模事迹、职业操守设计特色教学模块，实现思政教育与技术培养同频共振，创新“专业+思政”融合模式，推动每门课程挖掘思政元素，打造“门门有思政、课课有特色”的课程思政格局，着力建设课程思政示范课，让学生在专业学习中潜移默化接受价值引领。</w:t>
      </w:r>
    </w:p>
    <w:p w14:paraId="71A39665">
      <w:pPr>
        <w:spacing w:line="240" w:lineRule="auto"/>
        <w:jc w:val="center"/>
        <w:rPr>
          <w:lang w:eastAsia="zh-CN"/>
        </w:rPr>
      </w:pPr>
      <w:r>
        <w:rPr>
          <w:lang w:eastAsia="zh-CN"/>
        </w:rPr>
        <w:drawing>
          <wp:inline distT="0" distB="0" distL="114300" distR="114300">
            <wp:extent cx="3599815" cy="2454275"/>
            <wp:effectExtent l="0" t="0" r="5715" b="6985"/>
            <wp:docPr id="13" name="图片 8" descr="2.2.1大思政授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2.2.1大思政授牌"/>
                    <pic:cNvPicPr>
                      <a:picLocks noChangeAspect="1"/>
                    </pic:cNvPicPr>
                  </pic:nvPicPr>
                  <pic:blipFill>
                    <a:blip r:embed="rId18"/>
                    <a:stretch>
                      <a:fillRect/>
                    </a:stretch>
                  </pic:blipFill>
                  <pic:spPr>
                    <a:xfrm>
                      <a:off x="0" y="0"/>
                      <a:ext cx="3599815" cy="2454275"/>
                    </a:xfrm>
                    <a:prstGeom prst="rect">
                      <a:avLst/>
                    </a:prstGeom>
                    <a:noFill/>
                    <a:ln>
                      <a:noFill/>
                    </a:ln>
                  </pic:spPr>
                </pic:pic>
              </a:graphicData>
            </a:graphic>
          </wp:inline>
        </w:drawing>
      </w:r>
    </w:p>
    <w:p w14:paraId="2BCD864C">
      <w:pPr>
        <w:pStyle w:val="7"/>
      </w:pPr>
      <w:r>
        <w:t>图</w:t>
      </w:r>
      <w:r>
        <w:fldChar w:fldCharType="begin"/>
      </w:r>
      <w:r>
        <w:instrText xml:space="preserve"> SEQ 图 \* ARABIC </w:instrText>
      </w:r>
      <w:r>
        <w:fldChar w:fldCharType="separate"/>
      </w:r>
      <w:r>
        <w:t>3</w:t>
      </w:r>
      <w:r>
        <w:fldChar w:fldCharType="end"/>
      </w:r>
      <w:bookmarkStart w:id="38" w:name="_Toc15902"/>
      <w:r>
        <w:rPr>
          <w:rFonts w:hint="eastAsia"/>
          <w:lang w:val="en-US" w:eastAsia="zh-CN"/>
        </w:rPr>
        <w:t xml:space="preserve">  </w:t>
      </w:r>
      <w:r>
        <w:rPr>
          <w:rFonts w:hint="eastAsia"/>
        </w:rPr>
        <w:t>重庆市九龙坡职业教育中心</w:t>
      </w:r>
      <w:r>
        <w:t>获批九龙坡区</w:t>
      </w:r>
      <w:r>
        <w:rPr>
          <w:rFonts w:hint="eastAsia"/>
          <w:lang w:eastAsia="zh-CN"/>
        </w:rPr>
        <w:t>“</w:t>
      </w:r>
      <w:r>
        <w:t>大思政课</w:t>
      </w:r>
      <w:r>
        <w:rPr>
          <w:rFonts w:hint="eastAsia"/>
          <w:lang w:eastAsia="zh-CN"/>
        </w:rPr>
        <w:t>”</w:t>
      </w:r>
      <w:r>
        <w:t>实践教学基地</w:t>
      </w:r>
      <w:bookmarkEnd w:id="38"/>
    </w:p>
    <w:p w14:paraId="06A5D0C7">
      <w:pPr>
        <w:pStyle w:val="4"/>
        <w:spacing w:before="163" w:after="163"/>
        <w:rPr>
          <w:rFonts w:hint="eastAsia" w:ascii="方正黑体_GBK" w:hAnsi="方正黑体_GBK" w:eastAsia="方正黑体_GBK" w:cs="方正黑体_GBK"/>
        </w:rPr>
      </w:pPr>
      <w:bookmarkStart w:id="39" w:name="_Toc8696"/>
      <w:r>
        <w:t>2.</w:t>
      </w:r>
      <w:r>
        <w:rPr>
          <w:rFonts w:hint="eastAsia"/>
        </w:rPr>
        <w:t>1</w:t>
      </w:r>
      <w:r>
        <w:t>.</w:t>
      </w:r>
      <w:r>
        <w:rPr>
          <w:rFonts w:hint="eastAsia"/>
        </w:rPr>
        <w:t xml:space="preserve">5 </w:t>
      </w:r>
      <w:r>
        <w:rPr>
          <w:rFonts w:hint="eastAsia" w:ascii="方正黑体_GBK" w:hAnsi="方正黑体_GBK" w:eastAsia="方正黑体_GBK" w:cs="方正黑体_GBK"/>
        </w:rPr>
        <w:t>多举措强化德育工作</w:t>
      </w:r>
      <w:bookmarkEnd w:id="39"/>
    </w:p>
    <w:p w14:paraId="22471A7E">
      <w:pPr>
        <w:ind w:firstLine="480" w:firstLineChars="200"/>
        <w:rPr>
          <w:lang w:eastAsia="zh-CN"/>
        </w:rPr>
      </w:pPr>
      <w:r>
        <w:rPr>
          <w:rFonts w:hint="eastAsia"/>
          <w:lang w:eastAsia="zh-CN"/>
        </w:rPr>
        <w:t>全区</w:t>
      </w:r>
      <w:r>
        <w:rPr>
          <w:lang w:eastAsia="zh-CN"/>
        </w:rPr>
        <w:t>中职学校围绕立德树人根本任务，从德育团队建设、育人渠道拓展、心理健康护航以及特色育人模式探索等多方面发力，构建起全方位、多层次的育人新生态。重庆市九龙坡职业教育中心强化</w:t>
      </w:r>
      <w:r>
        <w:rPr>
          <w:rFonts w:hint="eastAsia"/>
          <w:lang w:eastAsia="zh-CN"/>
        </w:rPr>
        <w:t>“</w:t>
      </w:r>
      <w:r>
        <w:rPr>
          <w:lang w:eastAsia="zh-CN"/>
        </w:rPr>
        <w:t>智德</w:t>
      </w:r>
      <w:r>
        <w:rPr>
          <w:rFonts w:hint="eastAsia"/>
          <w:lang w:eastAsia="zh-CN"/>
        </w:rPr>
        <w:t>”</w:t>
      </w:r>
      <w:r>
        <w:rPr>
          <w:lang w:eastAsia="zh-CN"/>
        </w:rPr>
        <w:t>党建品牌引领，推动</w:t>
      </w:r>
      <w:r>
        <w:rPr>
          <w:rFonts w:hint="eastAsia"/>
          <w:lang w:eastAsia="zh-CN"/>
        </w:rPr>
        <w:t>“</w:t>
      </w:r>
      <w:r>
        <w:rPr>
          <w:lang w:eastAsia="zh-CN"/>
        </w:rPr>
        <w:t>五育</w:t>
      </w:r>
      <w:r>
        <w:rPr>
          <w:rFonts w:hint="eastAsia"/>
          <w:lang w:eastAsia="zh-CN"/>
        </w:rPr>
        <w:t>”</w:t>
      </w:r>
      <w:r>
        <w:rPr>
          <w:lang w:eastAsia="zh-CN"/>
        </w:rPr>
        <w:t>与</w:t>
      </w:r>
      <w:r>
        <w:rPr>
          <w:rFonts w:hint="eastAsia"/>
          <w:lang w:eastAsia="zh-CN"/>
        </w:rPr>
        <w:t>“</w:t>
      </w:r>
      <w:r>
        <w:rPr>
          <w:lang w:eastAsia="zh-CN"/>
        </w:rPr>
        <w:t>五匠</w:t>
      </w:r>
      <w:r>
        <w:rPr>
          <w:rFonts w:hint="eastAsia"/>
          <w:lang w:eastAsia="zh-CN"/>
        </w:rPr>
        <w:t>”</w:t>
      </w:r>
      <w:r>
        <w:rPr>
          <w:lang w:eastAsia="zh-CN"/>
        </w:rPr>
        <w:t>目标深度融合</w:t>
      </w:r>
      <w:r>
        <w:rPr>
          <w:rFonts w:hint="eastAsia"/>
          <w:lang w:eastAsia="zh-CN"/>
        </w:rPr>
        <w:t>，</w:t>
      </w:r>
      <w:r>
        <w:rPr>
          <w:lang w:eastAsia="zh-CN"/>
        </w:rPr>
        <w:t>探索</w:t>
      </w:r>
      <w:r>
        <w:rPr>
          <w:rFonts w:hint="eastAsia"/>
          <w:lang w:eastAsia="zh-CN"/>
        </w:rPr>
        <w:t>“</w:t>
      </w:r>
      <w:r>
        <w:rPr>
          <w:lang w:eastAsia="zh-CN"/>
        </w:rPr>
        <w:t>一唤四重</w:t>
      </w:r>
      <w:r>
        <w:rPr>
          <w:rFonts w:hint="eastAsia"/>
          <w:lang w:eastAsia="zh-CN"/>
        </w:rPr>
        <w:t>”</w:t>
      </w:r>
      <w:r>
        <w:rPr>
          <w:lang w:eastAsia="zh-CN"/>
        </w:rPr>
        <w:t>德心共育模式，开展</w:t>
      </w:r>
      <w:r>
        <w:rPr>
          <w:rFonts w:hint="eastAsia"/>
          <w:lang w:eastAsia="zh-CN"/>
        </w:rPr>
        <w:t>“</w:t>
      </w:r>
      <w:r>
        <w:rPr>
          <w:lang w:eastAsia="zh-CN"/>
        </w:rPr>
        <w:t>234</w:t>
      </w:r>
      <w:r>
        <w:rPr>
          <w:rFonts w:hint="eastAsia"/>
          <w:lang w:eastAsia="zh-CN"/>
        </w:rPr>
        <w:t>”</w:t>
      </w:r>
      <w:r>
        <w:rPr>
          <w:lang w:eastAsia="zh-CN"/>
        </w:rPr>
        <w:t>特色活动，实施</w:t>
      </w:r>
      <w:r>
        <w:rPr>
          <w:rFonts w:hint="eastAsia"/>
          <w:lang w:eastAsia="zh-CN"/>
        </w:rPr>
        <w:t>“</w:t>
      </w:r>
      <w:r>
        <w:rPr>
          <w:lang w:eastAsia="zh-CN"/>
        </w:rPr>
        <w:t>三进</w:t>
      </w:r>
      <w:r>
        <w:rPr>
          <w:rFonts w:hint="eastAsia"/>
          <w:lang w:eastAsia="zh-CN"/>
        </w:rPr>
        <w:t>”</w:t>
      </w:r>
      <w:r>
        <w:rPr>
          <w:lang w:eastAsia="zh-CN"/>
        </w:rPr>
        <w:t>实践，完善</w:t>
      </w:r>
      <w:r>
        <w:rPr>
          <w:rFonts w:hint="eastAsia"/>
          <w:lang w:eastAsia="zh-CN"/>
        </w:rPr>
        <w:t>“</w:t>
      </w:r>
      <w:r>
        <w:rPr>
          <w:lang w:eastAsia="zh-CN"/>
        </w:rPr>
        <w:t>十育阳光</w:t>
      </w:r>
      <w:r>
        <w:rPr>
          <w:rFonts w:hint="eastAsia"/>
          <w:lang w:eastAsia="zh-CN"/>
        </w:rPr>
        <w:t>”</w:t>
      </w:r>
      <w:r>
        <w:rPr>
          <w:lang w:eastAsia="zh-CN"/>
        </w:rPr>
        <w:t>德心共育体系和</w:t>
      </w:r>
      <w:r>
        <w:rPr>
          <w:rFonts w:hint="eastAsia"/>
          <w:lang w:eastAsia="zh-CN"/>
        </w:rPr>
        <w:t>“</w:t>
      </w:r>
      <w:r>
        <w:rPr>
          <w:lang w:eastAsia="zh-CN"/>
        </w:rPr>
        <w:t>九龙七势</w:t>
      </w:r>
      <w:r>
        <w:rPr>
          <w:rFonts w:hint="eastAsia"/>
          <w:lang w:eastAsia="zh-CN"/>
        </w:rPr>
        <w:t>”</w:t>
      </w:r>
      <w:r>
        <w:rPr>
          <w:lang w:eastAsia="zh-CN"/>
        </w:rPr>
        <w:t>劳动教育课程，筑牢学生思想根基。重庆市工艺美术学校积极融合校内外资源，借助</w:t>
      </w:r>
      <w:r>
        <w:rPr>
          <w:rFonts w:hint="eastAsia"/>
          <w:lang w:eastAsia="zh-CN"/>
        </w:rPr>
        <w:t>“</w:t>
      </w:r>
      <w:r>
        <w:rPr>
          <w:lang w:eastAsia="zh-CN"/>
        </w:rPr>
        <w:t>青蓝结对</w:t>
      </w:r>
      <w:r>
        <w:rPr>
          <w:rFonts w:hint="eastAsia"/>
          <w:lang w:eastAsia="zh-CN"/>
        </w:rPr>
        <w:t>”</w:t>
      </w:r>
      <w:r>
        <w:rPr>
          <w:lang w:eastAsia="zh-CN"/>
        </w:rPr>
        <w:t>工程为新老班主任搭建互助共进桥梁</w:t>
      </w:r>
      <w:r>
        <w:rPr>
          <w:rFonts w:hint="eastAsia"/>
          <w:lang w:eastAsia="zh-CN"/>
        </w:rPr>
        <w:t>，</w:t>
      </w:r>
      <w:r>
        <w:rPr>
          <w:lang w:eastAsia="zh-CN"/>
        </w:rPr>
        <w:t>精心组建德育讲师团，通过德育论坛、主题讲座等系列活动，推动班主任队伍向专业化、精英化迈进，</w:t>
      </w:r>
      <w:r>
        <w:rPr>
          <w:rFonts w:hint="eastAsia"/>
          <w:lang w:eastAsia="zh-CN"/>
        </w:rPr>
        <w:t>扎实开展法治与安全教育，通过组织竞赛、参观基地、落实防范工作等，提升师生法治观念与安全防范技能。重庆建筑高级技工学校组织学生参与老旧小区改造测量、乡村危房排查等志愿服务，将专业技能与民生服务、社会责任培养紧密结合，学生参与度达100%。重庆舞蹈学校完善“预防—干预—帮扶”工作体系，开展全校心理普查，建立“一生一档”，设立心理咨询室，全年开展个体咨询与团体辅导，护航学生健康成长。</w:t>
      </w:r>
    </w:p>
    <w:p w14:paraId="1CD01018">
      <w:pPr>
        <w:spacing w:line="240" w:lineRule="auto"/>
        <w:jc w:val="center"/>
        <w:rPr>
          <w:lang w:eastAsia="zh-CN"/>
        </w:rPr>
      </w:pPr>
      <w:r>
        <w:rPr>
          <w:rFonts w:hint="eastAsia"/>
          <w:lang w:eastAsia="zh-CN"/>
        </w:rPr>
        <w:drawing>
          <wp:inline distT="0" distB="0" distL="114300" distR="114300">
            <wp:extent cx="3599815" cy="2554605"/>
            <wp:effectExtent l="0" t="0" r="5715" b="3810"/>
            <wp:docPr id="29" name="图片 29" descr="61dcac3fa7e1defa59d222cfd13aa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1dcac3fa7e1defa59d222cfd13aac7e"/>
                    <pic:cNvPicPr>
                      <a:picLocks noChangeAspect="1"/>
                    </pic:cNvPicPr>
                  </pic:nvPicPr>
                  <pic:blipFill>
                    <a:blip r:embed="rId19"/>
                    <a:stretch>
                      <a:fillRect/>
                    </a:stretch>
                  </pic:blipFill>
                  <pic:spPr>
                    <a:xfrm>
                      <a:off x="0" y="0"/>
                      <a:ext cx="3599815" cy="2554605"/>
                    </a:xfrm>
                    <a:prstGeom prst="rect">
                      <a:avLst/>
                    </a:prstGeom>
                  </pic:spPr>
                </pic:pic>
              </a:graphicData>
            </a:graphic>
          </wp:inline>
        </w:drawing>
      </w:r>
    </w:p>
    <w:p w14:paraId="750624A9">
      <w:pPr>
        <w:pStyle w:val="7"/>
      </w:pPr>
      <w:r>
        <w:t>图</w:t>
      </w:r>
      <w:r>
        <w:fldChar w:fldCharType="begin"/>
      </w:r>
      <w:r>
        <w:instrText xml:space="preserve"> SEQ 图 \* ARABIC </w:instrText>
      </w:r>
      <w:r>
        <w:fldChar w:fldCharType="separate"/>
      </w:r>
      <w:r>
        <w:t>4</w:t>
      </w:r>
      <w:r>
        <w:fldChar w:fldCharType="end"/>
      </w:r>
      <w:bookmarkStart w:id="40" w:name="_Toc2194"/>
      <w:r>
        <w:rPr>
          <w:rFonts w:hint="eastAsia"/>
          <w:lang w:val="en-US" w:eastAsia="zh-CN"/>
        </w:rPr>
        <w:t xml:space="preserve">  </w:t>
      </w:r>
      <w:r>
        <w:t>重庆市工艺美术</w:t>
      </w:r>
      <w:r>
        <w:rPr>
          <w:rFonts w:hint="eastAsia"/>
          <w:lang w:eastAsia="zh-CN"/>
        </w:rPr>
        <w:t>学校学生</w:t>
      </w:r>
      <w:r>
        <w:t>参观轨道18号线消防安全主题车站</w:t>
      </w:r>
      <w:bookmarkEnd w:id="40"/>
      <w:bookmarkStart w:id="41" w:name="_Toc185105816"/>
      <w:bookmarkStart w:id="42" w:name="_Toc185105744"/>
    </w:p>
    <w:p w14:paraId="07B94D3A">
      <w:pPr>
        <w:pStyle w:val="3"/>
        <w:spacing w:before="327" w:after="327"/>
      </w:pPr>
      <w:bookmarkStart w:id="43" w:name="_Toc26175"/>
      <w:r>
        <w:rPr>
          <w:rFonts w:hint="eastAsia"/>
        </w:rPr>
        <w:t xml:space="preserve">2.2 </w:t>
      </w:r>
      <w:r>
        <w:rPr>
          <w:rFonts w:hint="eastAsia" w:ascii="方正黑体_GBK" w:hAnsi="方正黑体_GBK" w:eastAsia="方正黑体_GBK" w:cs="方正黑体_GBK"/>
        </w:rPr>
        <w:t>专业建设</w:t>
      </w:r>
      <w:bookmarkEnd w:id="41"/>
      <w:bookmarkEnd w:id="42"/>
      <w:bookmarkEnd w:id="43"/>
    </w:p>
    <w:p w14:paraId="6AD457D9">
      <w:pPr>
        <w:pStyle w:val="4"/>
        <w:spacing w:before="163" w:after="163"/>
      </w:pPr>
      <w:bookmarkStart w:id="44" w:name="_Toc185105817"/>
      <w:bookmarkStart w:id="45" w:name="_Toc24106"/>
      <w:r>
        <w:rPr>
          <w:rFonts w:hint="eastAsia"/>
        </w:rPr>
        <w:t xml:space="preserve">2.2.1 </w:t>
      </w:r>
      <w:bookmarkEnd w:id="44"/>
      <w:r>
        <w:rPr>
          <w:rFonts w:hint="eastAsia" w:ascii="方正黑体_GBK" w:hAnsi="方正黑体_GBK" w:eastAsia="方正黑体_GBK" w:cs="方正黑体_GBK"/>
        </w:rPr>
        <w:t>调整优化专业布局</w:t>
      </w:r>
      <w:bookmarkEnd w:id="45"/>
    </w:p>
    <w:p w14:paraId="6F3B1F5C">
      <w:pPr>
        <w:ind w:firstLine="480" w:firstLineChars="200"/>
        <w:rPr>
          <w:lang w:eastAsia="zh-CN"/>
        </w:rPr>
      </w:pPr>
      <w:r>
        <w:rPr>
          <w:rFonts w:hint="eastAsia"/>
          <w:lang w:eastAsia="zh-CN"/>
        </w:rPr>
        <w:t>全区中职学校依据区域功能定位</w:t>
      </w:r>
      <w:r>
        <w:rPr>
          <w:lang w:eastAsia="zh-CN"/>
        </w:rPr>
        <w:t>要求，主动服务地方发展，瞄准高水平、高质量、有特色的专业建设目标，调整专业布局，发展人才紧缺专业、新兴专业，裁撤不符合</w:t>
      </w:r>
      <w:r>
        <w:rPr>
          <w:rFonts w:hint="eastAsia"/>
          <w:lang w:eastAsia="zh-CN"/>
        </w:rPr>
        <w:t>区域</w:t>
      </w:r>
      <w:r>
        <w:rPr>
          <w:lang w:eastAsia="zh-CN"/>
        </w:rPr>
        <w:t>产业发展方向的相关专业，优化中等职业教育专业布局</w:t>
      </w:r>
      <w:r>
        <w:rPr>
          <w:rFonts w:hint="eastAsia"/>
          <w:lang w:eastAsia="zh-CN"/>
        </w:rPr>
        <w:t>。</w:t>
      </w:r>
      <w:r>
        <w:rPr>
          <w:lang w:eastAsia="zh-CN"/>
        </w:rPr>
        <w:t>重庆市九龙坡职业教育中心制定实施新专业专家评审制度</w:t>
      </w:r>
      <w:r>
        <w:rPr>
          <w:rFonts w:hint="eastAsia"/>
          <w:lang w:eastAsia="zh-CN"/>
        </w:rPr>
        <w:t>、</w:t>
      </w:r>
      <w:r>
        <w:rPr>
          <w:lang w:eastAsia="zh-CN"/>
        </w:rPr>
        <w:t>新专业申报机制、红牌专业预警机制三项制度，形成全链条、制度化的专业建设管理工作体系</w:t>
      </w:r>
      <w:r>
        <w:rPr>
          <w:rFonts w:hint="eastAsia"/>
          <w:lang w:eastAsia="zh-CN"/>
        </w:rPr>
        <w:t>，</w:t>
      </w:r>
      <w:r>
        <w:rPr>
          <w:lang w:eastAsia="zh-CN"/>
        </w:rPr>
        <w:t>2025年</w:t>
      </w:r>
      <w:r>
        <w:rPr>
          <w:rFonts w:hint="eastAsia"/>
          <w:lang w:eastAsia="zh-CN"/>
        </w:rPr>
        <w:t>学校</w:t>
      </w:r>
      <w:r>
        <w:rPr>
          <w:lang w:eastAsia="zh-CN"/>
        </w:rPr>
        <w:t>新增</w:t>
      </w:r>
      <w:r>
        <w:rPr>
          <w:rFonts w:hint="eastAsia"/>
          <w:lang w:eastAsia="zh-CN"/>
        </w:rPr>
        <w:t>“</w:t>
      </w:r>
      <w:r>
        <w:rPr>
          <w:lang w:eastAsia="zh-CN"/>
        </w:rPr>
        <w:t>无人机操控与维护</w:t>
      </w:r>
      <w:r>
        <w:rPr>
          <w:rFonts w:hint="eastAsia"/>
          <w:lang w:eastAsia="zh-CN"/>
        </w:rPr>
        <w:t>”</w:t>
      </w:r>
      <w:r>
        <w:rPr>
          <w:lang w:eastAsia="zh-CN"/>
        </w:rPr>
        <w:t>专业</w:t>
      </w:r>
      <w:r>
        <w:rPr>
          <w:rFonts w:hint="eastAsia"/>
          <w:lang w:eastAsia="zh-CN"/>
        </w:rPr>
        <w:t>，</w:t>
      </w:r>
      <w:r>
        <w:rPr>
          <w:lang w:eastAsia="zh-CN"/>
        </w:rPr>
        <w:t>现有专业精准对接区域智能制造产业链等七大重点产业链。重庆市工艺美术学校经多轮研判，明确以动漫与游戏制作、工艺美术、绘画为三大核心专业，联合完美世界等头部企业，依托全国数字创意产业产教融合共同体，优化人才培养目标与规格，升级课程体系和实训基地。</w:t>
      </w:r>
      <w:r>
        <w:rPr>
          <w:rFonts w:hint="eastAsia"/>
          <w:lang w:eastAsia="zh-CN"/>
        </w:rPr>
        <w:t>重庆建筑高级技工</w:t>
      </w:r>
      <w:r>
        <w:rPr>
          <w:lang w:eastAsia="zh-CN"/>
        </w:rPr>
        <w:t>学校专业布局深度契合重庆</w:t>
      </w:r>
      <w:r>
        <w:rPr>
          <w:rFonts w:hint="eastAsia"/>
          <w:lang w:eastAsia="zh-CN"/>
        </w:rPr>
        <w:t>“</w:t>
      </w:r>
      <w:r>
        <w:rPr>
          <w:lang w:eastAsia="zh-CN"/>
        </w:rPr>
        <w:t>智能建造、先进制造、现代服务</w:t>
      </w:r>
      <w:r>
        <w:rPr>
          <w:rFonts w:hint="eastAsia"/>
          <w:lang w:eastAsia="zh-CN"/>
        </w:rPr>
        <w:t>”</w:t>
      </w:r>
      <w:r>
        <w:rPr>
          <w:lang w:eastAsia="zh-CN"/>
        </w:rPr>
        <w:t>主导产业，推动区域产业高质量发展。</w:t>
      </w:r>
      <w:r>
        <w:rPr>
          <w:rFonts w:hint="eastAsia"/>
          <w:lang w:eastAsia="zh-CN"/>
        </w:rPr>
        <w:t>重庆市聚英技工学校定期走访长安汽车等重点企业，动态监测人才需求，捕捉产业与岗位变化，打造新能源汽车制造与检测等五大核心专业。重庆舞蹈学校紧密对接重庆文化强市战略，舞蹈表演专业强化舞台实践能力，绘画专业夯实高考基础。重庆文理技工学校聚焦产业发展与人才培养需求，设置装备制造类、文化艺术类两个专业大类。</w:t>
      </w:r>
    </w:p>
    <w:p w14:paraId="4A2EEC41">
      <w:pPr>
        <w:ind w:firstLine="480" w:firstLineChars="200"/>
        <w:rPr>
          <w:lang w:eastAsia="zh-CN"/>
        </w:rPr>
      </w:pPr>
    </w:p>
    <w:p w14:paraId="052A5FBF">
      <w:pPr>
        <w:pStyle w:val="7"/>
      </w:pPr>
      <w:r>
        <w:t>表</w:t>
      </w:r>
      <w:r>
        <w:fldChar w:fldCharType="begin"/>
      </w:r>
      <w:r>
        <w:instrText xml:space="preserve"> SEQ 表 \* ARABIC </w:instrText>
      </w:r>
      <w:r>
        <w:fldChar w:fldCharType="separate"/>
      </w:r>
      <w:r>
        <w:t>8</w:t>
      </w:r>
      <w:r>
        <w:fldChar w:fldCharType="end"/>
      </w:r>
      <w:bookmarkStart w:id="46" w:name="_Toc7729"/>
      <w:r>
        <w:t xml:space="preserve">  </w:t>
      </w:r>
      <w:r>
        <w:rPr>
          <w:rFonts w:hint="eastAsia"/>
        </w:rPr>
        <w:t>区</w:t>
      </w:r>
      <w:r>
        <w:rPr>
          <w:rFonts w:hint="eastAsia"/>
          <w:lang w:eastAsia="zh-CN"/>
        </w:rPr>
        <w:t>内</w:t>
      </w:r>
      <w:r>
        <w:rPr>
          <w:rFonts w:hint="eastAsia"/>
        </w:rPr>
        <w:t>各中职学校</w:t>
      </w:r>
      <w:r>
        <w:t>专业</w:t>
      </w:r>
      <w:r>
        <w:rPr>
          <w:rFonts w:hint="eastAsia"/>
        </w:rPr>
        <w:t>建设举措及</w:t>
      </w:r>
      <w:r>
        <w:t>对接产业一览表</w:t>
      </w:r>
      <w:bookmarkEnd w:id="46"/>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4036"/>
        <w:gridCol w:w="3296"/>
      </w:tblGrid>
      <w:tr w14:paraId="2700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793" w:type="pct"/>
            <w:shd w:val="clear" w:color="auto" w:fill="DBE3F4" w:themeFill="accent1" w:themeFillTint="32"/>
            <w:vAlign w:val="center"/>
          </w:tcPr>
          <w:p w14:paraId="45A7C59A">
            <w:pPr>
              <w:jc w:val="center"/>
              <w:rPr>
                <w:bCs/>
                <w:color w:val="08090C"/>
                <w:sz w:val="21"/>
                <w:lang w:eastAsia="zh-CN"/>
              </w:rPr>
            </w:pPr>
            <w:r>
              <w:rPr>
                <w:rFonts w:hint="eastAsia"/>
                <w:bCs/>
                <w:color w:val="08090C"/>
                <w:sz w:val="21"/>
                <w:lang w:eastAsia="zh-CN"/>
              </w:rPr>
              <w:t>学校名称</w:t>
            </w:r>
          </w:p>
        </w:tc>
        <w:tc>
          <w:tcPr>
            <w:tcW w:w="2315" w:type="pct"/>
            <w:shd w:val="clear" w:color="auto" w:fill="DBE3F4" w:themeFill="accent1" w:themeFillTint="32"/>
            <w:vAlign w:val="center"/>
          </w:tcPr>
          <w:p w14:paraId="50548D05">
            <w:pPr>
              <w:jc w:val="center"/>
              <w:rPr>
                <w:bCs/>
                <w:color w:val="08090C"/>
                <w:sz w:val="21"/>
                <w:lang w:eastAsia="zh-CN"/>
              </w:rPr>
            </w:pPr>
            <w:r>
              <w:rPr>
                <w:rFonts w:hint="eastAsia"/>
                <w:bCs/>
                <w:color w:val="08090C"/>
                <w:sz w:val="21"/>
                <w:lang w:eastAsia="zh-CN"/>
              </w:rPr>
              <w:t>专业建设举措</w:t>
            </w:r>
          </w:p>
        </w:tc>
        <w:tc>
          <w:tcPr>
            <w:tcW w:w="1891" w:type="pct"/>
            <w:shd w:val="clear" w:color="auto" w:fill="DBE3F4" w:themeFill="accent1" w:themeFillTint="32"/>
            <w:vAlign w:val="center"/>
          </w:tcPr>
          <w:p w14:paraId="56B2DE1E">
            <w:pPr>
              <w:jc w:val="center"/>
              <w:rPr>
                <w:bCs/>
                <w:color w:val="08090C"/>
                <w:sz w:val="21"/>
                <w:lang w:eastAsia="zh-CN"/>
              </w:rPr>
            </w:pPr>
            <w:r>
              <w:rPr>
                <w:rFonts w:hint="eastAsia"/>
                <w:bCs/>
                <w:color w:val="08090C"/>
                <w:sz w:val="21"/>
                <w:lang w:eastAsia="zh-CN"/>
              </w:rPr>
              <w:t>对接产业情况</w:t>
            </w:r>
          </w:p>
        </w:tc>
      </w:tr>
      <w:tr w14:paraId="0EEA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tcBorders>
              <w:tl2br w:val="nil"/>
              <w:tr2bl w:val="nil"/>
            </w:tcBorders>
            <w:shd w:val="clear" w:color="auto" w:fill="FFFFFF"/>
            <w:vAlign w:val="center"/>
          </w:tcPr>
          <w:p w14:paraId="492F440D">
            <w:pPr>
              <w:jc w:val="center"/>
              <w:rPr>
                <w:bCs/>
                <w:sz w:val="21"/>
                <w:lang w:eastAsia="zh-CN"/>
              </w:rPr>
            </w:pPr>
            <w:r>
              <w:rPr>
                <w:rFonts w:hint="eastAsia"/>
                <w:bCs/>
                <w:sz w:val="21"/>
                <w:lang w:eastAsia="zh-CN"/>
              </w:rPr>
              <w:t>重庆市九龙坡职业教育中心</w:t>
            </w:r>
          </w:p>
        </w:tc>
        <w:tc>
          <w:tcPr>
            <w:tcW w:w="2315" w:type="pct"/>
            <w:tcBorders>
              <w:tl2br w:val="nil"/>
              <w:tr2bl w:val="nil"/>
            </w:tcBorders>
            <w:shd w:val="clear" w:color="auto" w:fill="FFFFFF"/>
            <w:vAlign w:val="center"/>
          </w:tcPr>
          <w:p w14:paraId="355287E8">
            <w:pPr>
              <w:jc w:val="left"/>
              <w:rPr>
                <w:bCs/>
                <w:sz w:val="21"/>
                <w:lang w:eastAsia="zh-CN"/>
              </w:rPr>
            </w:pPr>
            <w:r>
              <w:rPr>
                <w:rFonts w:hint="eastAsia"/>
                <w:bCs/>
                <w:sz w:val="21"/>
                <w:lang w:eastAsia="zh-CN"/>
              </w:rPr>
              <w:t>1.制定并实施新专业专家评审制度、新专业申报机制、红牌专业预警机制三项制度，形成全链条、制度化专业建设管理工作体系</w:t>
            </w:r>
            <w:r>
              <w:rPr>
                <w:rFonts w:hint="eastAsia"/>
                <w:bCs/>
                <w:sz w:val="21"/>
                <w:lang w:eastAsia="zh-CN"/>
              </w:rPr>
              <w:br w:type="textWrapping"/>
            </w:r>
            <w:r>
              <w:rPr>
                <w:rFonts w:hint="eastAsia"/>
                <w:bCs/>
                <w:sz w:val="21"/>
                <w:lang w:eastAsia="zh-CN"/>
              </w:rPr>
              <w:t>2.2025年新增“无人机操控与维护”专业</w:t>
            </w:r>
          </w:p>
        </w:tc>
        <w:tc>
          <w:tcPr>
            <w:tcW w:w="1891" w:type="pct"/>
            <w:tcBorders>
              <w:tl2br w:val="nil"/>
              <w:tr2bl w:val="nil"/>
            </w:tcBorders>
            <w:shd w:val="clear" w:color="auto" w:fill="FFFFFF"/>
            <w:vAlign w:val="center"/>
          </w:tcPr>
          <w:p w14:paraId="3A349950">
            <w:pPr>
              <w:jc w:val="left"/>
              <w:rPr>
                <w:bCs/>
                <w:sz w:val="21"/>
                <w:lang w:eastAsia="zh-CN"/>
              </w:rPr>
            </w:pPr>
            <w:r>
              <w:rPr>
                <w:rFonts w:hint="eastAsia"/>
                <w:bCs/>
                <w:sz w:val="21"/>
                <w:lang w:eastAsia="zh-CN"/>
              </w:rPr>
              <w:t>学校现有专业覆盖8个专业大类，与区域七大重点产业实现精准对接。</w:t>
            </w:r>
            <w:r>
              <w:rPr>
                <w:bCs/>
                <w:sz w:val="21"/>
                <w:lang w:eastAsia="zh-CN"/>
              </w:rPr>
              <w:t>智能制造产业链</w:t>
            </w:r>
            <w:r>
              <w:rPr>
                <w:rFonts w:hint="eastAsia"/>
                <w:bCs/>
                <w:sz w:val="21"/>
                <w:lang w:eastAsia="zh-CN"/>
              </w:rPr>
              <w:t>、</w:t>
            </w:r>
            <w:r>
              <w:rPr>
                <w:bCs/>
                <w:sz w:val="21"/>
                <w:lang w:eastAsia="zh-CN"/>
              </w:rPr>
              <w:t>电子信息产业链和新兴产业</w:t>
            </w:r>
            <w:r>
              <w:rPr>
                <w:rFonts w:hint="eastAsia"/>
                <w:bCs/>
                <w:sz w:val="21"/>
                <w:lang w:eastAsia="zh-CN"/>
              </w:rPr>
              <w:t>、</w:t>
            </w:r>
            <w:r>
              <w:rPr>
                <w:bCs/>
                <w:sz w:val="21"/>
                <w:lang w:eastAsia="zh-CN"/>
              </w:rPr>
              <w:t>文旅康养产业链和现代服务业</w:t>
            </w:r>
            <w:r>
              <w:rPr>
                <w:rFonts w:hint="eastAsia"/>
                <w:bCs/>
                <w:sz w:val="21"/>
                <w:lang w:eastAsia="zh-CN"/>
              </w:rPr>
              <w:t>、</w:t>
            </w:r>
            <w:r>
              <w:rPr>
                <w:bCs/>
                <w:sz w:val="21"/>
                <w:lang w:eastAsia="zh-CN"/>
              </w:rPr>
              <w:t>汽车制造产业链</w:t>
            </w:r>
            <w:r>
              <w:rPr>
                <w:rFonts w:hint="eastAsia"/>
                <w:bCs/>
                <w:sz w:val="21"/>
                <w:lang w:eastAsia="zh-CN"/>
              </w:rPr>
              <w:t>、</w:t>
            </w:r>
            <w:r>
              <w:rPr>
                <w:bCs/>
                <w:sz w:val="21"/>
                <w:lang w:eastAsia="zh-CN"/>
              </w:rPr>
              <w:t>交通运输产业链</w:t>
            </w:r>
            <w:r>
              <w:rPr>
                <w:rFonts w:hint="eastAsia"/>
                <w:bCs/>
                <w:sz w:val="21"/>
                <w:lang w:eastAsia="zh-CN"/>
              </w:rPr>
              <w:t>、</w:t>
            </w:r>
            <w:r>
              <w:rPr>
                <w:bCs/>
                <w:sz w:val="21"/>
                <w:lang w:eastAsia="zh-CN"/>
              </w:rPr>
              <w:t>商贸流通产业链</w:t>
            </w:r>
            <w:r>
              <w:rPr>
                <w:rFonts w:hint="eastAsia"/>
                <w:bCs/>
                <w:sz w:val="21"/>
                <w:lang w:eastAsia="zh-CN"/>
              </w:rPr>
              <w:t>、</w:t>
            </w:r>
            <w:r>
              <w:rPr>
                <w:bCs/>
                <w:sz w:val="21"/>
                <w:lang w:eastAsia="zh-CN"/>
              </w:rPr>
              <w:t>文化产业链</w:t>
            </w:r>
            <w:r>
              <w:rPr>
                <w:rFonts w:hint="eastAsia"/>
                <w:bCs/>
                <w:sz w:val="21"/>
                <w:lang w:eastAsia="zh-CN"/>
              </w:rPr>
              <w:t>、</w:t>
            </w:r>
            <w:r>
              <w:rPr>
                <w:bCs/>
                <w:sz w:val="21"/>
                <w:lang w:eastAsia="zh-CN"/>
              </w:rPr>
              <w:t>婴幼儿保育行业</w:t>
            </w:r>
            <w:r>
              <w:rPr>
                <w:rFonts w:hint="eastAsia"/>
                <w:bCs/>
                <w:sz w:val="21"/>
                <w:lang w:eastAsia="zh-CN"/>
              </w:rPr>
              <w:t>。</w:t>
            </w:r>
          </w:p>
        </w:tc>
      </w:tr>
      <w:tr w14:paraId="1218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tcBorders>
              <w:tl2br w:val="nil"/>
              <w:tr2bl w:val="nil"/>
            </w:tcBorders>
            <w:shd w:val="clear" w:color="auto" w:fill="FFFFFF"/>
            <w:vAlign w:val="center"/>
          </w:tcPr>
          <w:p w14:paraId="4F20F248">
            <w:pPr>
              <w:jc w:val="center"/>
              <w:rPr>
                <w:bCs/>
                <w:sz w:val="21"/>
                <w:lang w:eastAsia="zh-CN"/>
              </w:rPr>
            </w:pPr>
            <w:r>
              <w:rPr>
                <w:rFonts w:hint="eastAsia"/>
                <w:bCs/>
                <w:sz w:val="21"/>
                <w:lang w:eastAsia="zh-CN"/>
              </w:rPr>
              <w:t>重庆市工艺美术学校</w:t>
            </w:r>
          </w:p>
        </w:tc>
        <w:tc>
          <w:tcPr>
            <w:tcW w:w="2315" w:type="pct"/>
            <w:tcBorders>
              <w:tl2br w:val="nil"/>
              <w:tr2bl w:val="nil"/>
            </w:tcBorders>
            <w:shd w:val="clear" w:color="auto" w:fill="FFFFFF"/>
            <w:vAlign w:val="center"/>
          </w:tcPr>
          <w:p w14:paraId="3DFBA66C">
            <w:pPr>
              <w:jc w:val="both"/>
              <w:rPr>
                <w:bCs/>
                <w:sz w:val="21"/>
                <w:lang w:eastAsia="zh-CN"/>
              </w:rPr>
            </w:pPr>
            <w:r>
              <w:rPr>
                <w:rFonts w:hint="eastAsia"/>
                <w:bCs/>
                <w:sz w:val="21"/>
                <w:lang w:eastAsia="zh-CN"/>
              </w:rPr>
              <w:t>1.经多轮研判，明确动漫与游戏制作、工艺美术、绘画为三大核心专业</w:t>
            </w:r>
            <w:r>
              <w:rPr>
                <w:rFonts w:hint="eastAsia"/>
                <w:bCs/>
                <w:sz w:val="21"/>
                <w:lang w:eastAsia="zh-CN"/>
              </w:rPr>
              <w:br w:type="textWrapping"/>
            </w:r>
            <w:r>
              <w:rPr>
                <w:rFonts w:hint="eastAsia"/>
                <w:bCs/>
                <w:sz w:val="21"/>
                <w:lang w:eastAsia="zh-CN"/>
              </w:rPr>
              <w:t>2.联合完美世界等头部企业，依托全国数字创意产业产教融合共同体，优化人才培养目标与规格，升级课程体系和实训基地</w:t>
            </w:r>
            <w:r>
              <w:rPr>
                <w:rFonts w:hint="eastAsia"/>
                <w:bCs/>
                <w:sz w:val="21"/>
                <w:lang w:eastAsia="zh-CN"/>
              </w:rPr>
              <w:br w:type="textWrapping"/>
            </w:r>
            <w:r>
              <w:rPr>
                <w:rFonts w:hint="eastAsia"/>
                <w:bCs/>
                <w:sz w:val="21"/>
                <w:lang w:eastAsia="zh-CN"/>
              </w:rPr>
              <w:t>3.持续培育优势专业，推进两大市级揭榜挂帅项目</w:t>
            </w:r>
          </w:p>
        </w:tc>
        <w:tc>
          <w:tcPr>
            <w:tcW w:w="1891" w:type="pct"/>
            <w:tcBorders>
              <w:tl2br w:val="nil"/>
              <w:tr2bl w:val="nil"/>
            </w:tcBorders>
            <w:shd w:val="clear" w:color="auto" w:fill="FFFFFF"/>
            <w:vAlign w:val="center"/>
          </w:tcPr>
          <w:p w14:paraId="7A2C5725">
            <w:pPr>
              <w:jc w:val="left"/>
              <w:rPr>
                <w:bCs/>
                <w:sz w:val="21"/>
                <w:lang w:eastAsia="zh-CN"/>
              </w:rPr>
            </w:pPr>
            <w:r>
              <w:rPr>
                <w:rFonts w:hint="eastAsia"/>
                <w:bCs/>
                <w:sz w:val="21"/>
                <w:lang w:eastAsia="zh-CN"/>
              </w:rPr>
              <w:t>动漫与游戏制作、工艺美术、绘画为三大核心专业，</w:t>
            </w:r>
            <w:r>
              <w:rPr>
                <w:bCs/>
                <w:sz w:val="21"/>
                <w:lang w:eastAsia="zh-CN"/>
              </w:rPr>
              <w:t>专业与地方产业匹配度达87%，学校锚定打造重庆标杆专业目标</w:t>
            </w:r>
            <w:r>
              <w:rPr>
                <w:rFonts w:hint="eastAsia"/>
                <w:bCs/>
                <w:sz w:val="21"/>
                <w:lang w:eastAsia="zh-CN"/>
              </w:rPr>
              <w:t>。可</w:t>
            </w:r>
            <w:r>
              <w:rPr>
                <w:bCs/>
                <w:sz w:val="21"/>
                <w:lang w:eastAsia="zh-CN"/>
              </w:rPr>
              <w:t>对接</w:t>
            </w:r>
            <w:r>
              <w:rPr>
                <w:rFonts w:hint="eastAsia"/>
                <w:bCs/>
                <w:sz w:val="21"/>
                <w:lang w:eastAsia="zh-CN"/>
              </w:rPr>
              <w:t>文化艺术产业、现代服务产业等。</w:t>
            </w:r>
          </w:p>
        </w:tc>
      </w:tr>
      <w:tr w14:paraId="55F7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tcBorders>
              <w:tl2br w:val="nil"/>
              <w:tr2bl w:val="nil"/>
            </w:tcBorders>
            <w:shd w:val="clear" w:color="auto" w:fill="FFFFFF"/>
            <w:vAlign w:val="center"/>
          </w:tcPr>
          <w:p w14:paraId="43615BC2">
            <w:pPr>
              <w:jc w:val="center"/>
              <w:rPr>
                <w:bCs/>
                <w:sz w:val="21"/>
                <w:lang w:eastAsia="zh-CN"/>
              </w:rPr>
            </w:pPr>
            <w:r>
              <w:rPr>
                <w:rFonts w:hint="eastAsia"/>
                <w:bCs/>
                <w:sz w:val="21"/>
                <w:lang w:eastAsia="zh-CN"/>
              </w:rPr>
              <w:t>重庆建筑高级技工学校</w:t>
            </w:r>
          </w:p>
        </w:tc>
        <w:tc>
          <w:tcPr>
            <w:tcW w:w="2315" w:type="pct"/>
            <w:tcBorders>
              <w:tl2br w:val="nil"/>
              <w:tr2bl w:val="nil"/>
            </w:tcBorders>
            <w:shd w:val="clear" w:color="auto" w:fill="FFFFFF"/>
            <w:vAlign w:val="center"/>
          </w:tcPr>
          <w:p w14:paraId="0909F70C">
            <w:pPr>
              <w:jc w:val="left"/>
              <w:rPr>
                <w:bCs/>
                <w:sz w:val="21"/>
                <w:lang w:eastAsia="zh-CN"/>
              </w:rPr>
            </w:pPr>
            <w:r>
              <w:rPr>
                <w:rFonts w:hint="eastAsia"/>
                <w:bCs/>
                <w:sz w:val="21"/>
                <w:lang w:eastAsia="zh-CN"/>
              </w:rPr>
              <w:t>专业布局深度契合重庆“智能建造、先进制造、现代服务”主导产业，建筑类对接新型城镇化基建人才需求，智能制造类紧扣汽车产业升级与数字经济技术缺口，现代服务类呼应文旅及生活服务业岗位</w:t>
            </w:r>
          </w:p>
        </w:tc>
        <w:tc>
          <w:tcPr>
            <w:tcW w:w="1891" w:type="pct"/>
            <w:tcBorders>
              <w:tl2br w:val="nil"/>
              <w:tr2bl w:val="nil"/>
            </w:tcBorders>
            <w:shd w:val="clear" w:color="auto" w:fill="FFFFFF"/>
            <w:vAlign w:val="center"/>
          </w:tcPr>
          <w:p w14:paraId="5E574B78">
            <w:pPr>
              <w:jc w:val="left"/>
              <w:rPr>
                <w:bCs/>
                <w:sz w:val="21"/>
                <w:lang w:eastAsia="zh-CN"/>
              </w:rPr>
            </w:pPr>
            <w:r>
              <w:rPr>
                <w:rFonts w:hint="eastAsia"/>
                <w:bCs/>
                <w:sz w:val="21"/>
                <w:lang w:eastAsia="zh-CN"/>
              </w:rPr>
              <w:t>建筑类、智能制造类专业与区域产业匹配度超85%，推动区域产业高质量发展。可</w:t>
            </w:r>
            <w:r>
              <w:rPr>
                <w:bCs/>
                <w:sz w:val="21"/>
                <w:lang w:eastAsia="zh-CN"/>
              </w:rPr>
              <w:t>对接汽车制造产业链</w:t>
            </w:r>
            <w:r>
              <w:rPr>
                <w:rFonts w:hint="eastAsia"/>
                <w:bCs/>
                <w:sz w:val="21"/>
                <w:lang w:eastAsia="zh-CN"/>
              </w:rPr>
              <w:t>、文旅及生活服务等。</w:t>
            </w:r>
          </w:p>
        </w:tc>
      </w:tr>
      <w:tr w14:paraId="5F74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tcBorders>
              <w:tl2br w:val="nil"/>
              <w:tr2bl w:val="nil"/>
            </w:tcBorders>
            <w:shd w:val="clear" w:color="auto" w:fill="FFFFFF"/>
            <w:vAlign w:val="center"/>
          </w:tcPr>
          <w:p w14:paraId="037B90A1">
            <w:pPr>
              <w:jc w:val="center"/>
              <w:rPr>
                <w:bCs/>
                <w:sz w:val="21"/>
                <w:lang w:eastAsia="zh-CN"/>
              </w:rPr>
            </w:pPr>
            <w:r>
              <w:rPr>
                <w:rFonts w:hint="eastAsia"/>
                <w:bCs/>
                <w:sz w:val="21"/>
                <w:lang w:eastAsia="zh-CN"/>
              </w:rPr>
              <w:t>重庆市聚英技工学校</w:t>
            </w:r>
          </w:p>
        </w:tc>
        <w:tc>
          <w:tcPr>
            <w:tcW w:w="2315" w:type="pct"/>
            <w:tcBorders>
              <w:tl2br w:val="nil"/>
              <w:tr2bl w:val="nil"/>
            </w:tcBorders>
            <w:shd w:val="clear" w:color="auto" w:fill="FFFFFF"/>
            <w:vAlign w:val="center"/>
          </w:tcPr>
          <w:p w14:paraId="36681ECB">
            <w:pPr>
              <w:jc w:val="left"/>
              <w:rPr>
                <w:bCs/>
                <w:sz w:val="21"/>
                <w:lang w:eastAsia="zh-CN"/>
              </w:rPr>
            </w:pPr>
            <w:r>
              <w:rPr>
                <w:rFonts w:hint="eastAsia"/>
                <w:bCs/>
                <w:sz w:val="21"/>
                <w:lang w:eastAsia="zh-CN"/>
              </w:rPr>
              <w:t>1.秉持“专业跟产业、技能贴岗位”，紧扣重庆主导产业与民生需求，形成“产业—专业—人才”闭环</w:t>
            </w:r>
            <w:r>
              <w:rPr>
                <w:rFonts w:hint="eastAsia"/>
                <w:bCs/>
                <w:sz w:val="21"/>
                <w:lang w:eastAsia="zh-CN"/>
              </w:rPr>
              <w:br w:type="textWrapping"/>
            </w:r>
            <w:r>
              <w:rPr>
                <w:rFonts w:hint="eastAsia"/>
                <w:bCs/>
                <w:sz w:val="21"/>
                <w:lang w:eastAsia="zh-CN"/>
              </w:rPr>
              <w:t>2.定期走访长安汽车等重点企业，动态监测人才需求，精准捕捉产业与岗位变化</w:t>
            </w:r>
            <w:r>
              <w:rPr>
                <w:rFonts w:hint="eastAsia"/>
                <w:bCs/>
                <w:sz w:val="21"/>
                <w:lang w:eastAsia="zh-CN"/>
              </w:rPr>
              <w:br w:type="textWrapping"/>
            </w:r>
            <w:r>
              <w:rPr>
                <w:rFonts w:hint="eastAsia"/>
                <w:bCs/>
                <w:sz w:val="21"/>
                <w:lang w:eastAsia="zh-CN"/>
              </w:rPr>
              <w:t>3.打造新能源汽车制造与检测等五大核心专业</w:t>
            </w:r>
          </w:p>
        </w:tc>
        <w:tc>
          <w:tcPr>
            <w:tcW w:w="1891" w:type="pct"/>
            <w:tcBorders>
              <w:tl2br w:val="nil"/>
              <w:tr2bl w:val="nil"/>
            </w:tcBorders>
            <w:shd w:val="clear" w:color="auto" w:fill="FFFFFF"/>
            <w:vAlign w:val="center"/>
          </w:tcPr>
          <w:p w14:paraId="53723553">
            <w:pPr>
              <w:jc w:val="left"/>
              <w:rPr>
                <w:bCs/>
                <w:sz w:val="21"/>
                <w:lang w:eastAsia="zh-CN"/>
              </w:rPr>
            </w:pPr>
            <w:r>
              <w:rPr>
                <w:rFonts w:hint="eastAsia"/>
                <w:bCs/>
                <w:sz w:val="21"/>
                <w:lang w:eastAsia="zh-CN"/>
              </w:rPr>
              <w:t>构建“工科引领、服务协同、特色突出”的专业格局，可对接</w:t>
            </w:r>
            <w:r>
              <w:rPr>
                <w:bCs/>
                <w:sz w:val="21"/>
                <w:lang w:eastAsia="zh-CN"/>
              </w:rPr>
              <w:t>汽车制造产业</w:t>
            </w:r>
            <w:r>
              <w:rPr>
                <w:rFonts w:hint="eastAsia"/>
                <w:bCs/>
                <w:sz w:val="21"/>
                <w:lang w:eastAsia="zh-CN"/>
              </w:rPr>
              <w:t>等。</w:t>
            </w:r>
          </w:p>
        </w:tc>
      </w:tr>
      <w:tr w14:paraId="6FF2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tcBorders>
              <w:tl2br w:val="nil"/>
              <w:tr2bl w:val="nil"/>
            </w:tcBorders>
            <w:shd w:val="clear" w:color="auto" w:fill="FFFFFF"/>
            <w:vAlign w:val="center"/>
          </w:tcPr>
          <w:p w14:paraId="17524970">
            <w:pPr>
              <w:jc w:val="center"/>
              <w:rPr>
                <w:bCs/>
                <w:sz w:val="21"/>
                <w:lang w:eastAsia="zh-CN"/>
              </w:rPr>
            </w:pPr>
            <w:r>
              <w:rPr>
                <w:rFonts w:hint="eastAsia"/>
                <w:bCs/>
                <w:sz w:val="21"/>
                <w:lang w:eastAsia="zh-CN"/>
              </w:rPr>
              <w:t>重庆文理技工学校</w:t>
            </w:r>
          </w:p>
        </w:tc>
        <w:tc>
          <w:tcPr>
            <w:tcW w:w="2315" w:type="pct"/>
            <w:tcBorders>
              <w:tl2br w:val="nil"/>
              <w:tr2bl w:val="nil"/>
            </w:tcBorders>
            <w:shd w:val="clear" w:color="auto" w:fill="FFFFFF"/>
            <w:vAlign w:val="center"/>
          </w:tcPr>
          <w:p w14:paraId="4AD7FFE4">
            <w:pPr>
              <w:jc w:val="left"/>
              <w:rPr>
                <w:bCs/>
                <w:sz w:val="21"/>
                <w:lang w:eastAsia="zh-CN"/>
              </w:rPr>
            </w:pPr>
            <w:r>
              <w:rPr>
                <w:rFonts w:hint="eastAsia"/>
                <w:bCs/>
                <w:sz w:val="21"/>
                <w:lang w:eastAsia="zh-CN"/>
              </w:rPr>
              <w:t>聚焦产业发展与人才培养需求，设置装备制造类、文化艺术类两大专业大类，装备制造类涵盖汽车制造与检修、机电技术应用专业，文化艺术类开设美术绘画专业</w:t>
            </w:r>
          </w:p>
        </w:tc>
        <w:tc>
          <w:tcPr>
            <w:tcW w:w="1891" w:type="pct"/>
            <w:tcBorders>
              <w:tl2br w:val="nil"/>
              <w:tr2bl w:val="nil"/>
            </w:tcBorders>
            <w:shd w:val="clear" w:color="auto" w:fill="FFFFFF"/>
            <w:vAlign w:val="center"/>
          </w:tcPr>
          <w:p w14:paraId="5B809C20">
            <w:pPr>
              <w:jc w:val="left"/>
              <w:rPr>
                <w:bCs/>
                <w:sz w:val="21"/>
                <w:lang w:eastAsia="zh-CN"/>
              </w:rPr>
            </w:pPr>
            <w:r>
              <w:rPr>
                <w:rFonts w:hint="eastAsia"/>
                <w:bCs/>
                <w:sz w:val="21"/>
                <w:lang w:eastAsia="zh-CN"/>
              </w:rPr>
              <w:t>可对接</w:t>
            </w:r>
            <w:r>
              <w:rPr>
                <w:bCs/>
                <w:sz w:val="21"/>
                <w:lang w:eastAsia="zh-CN"/>
              </w:rPr>
              <w:t>汽车制造产业链</w:t>
            </w:r>
            <w:r>
              <w:rPr>
                <w:rFonts w:hint="eastAsia"/>
                <w:bCs/>
                <w:sz w:val="21"/>
                <w:lang w:eastAsia="zh-CN"/>
              </w:rPr>
              <w:t>、文创设计产业等。</w:t>
            </w:r>
          </w:p>
        </w:tc>
      </w:tr>
      <w:tr w14:paraId="5094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tcBorders>
              <w:tl2br w:val="nil"/>
              <w:tr2bl w:val="nil"/>
            </w:tcBorders>
            <w:shd w:val="clear" w:color="auto" w:fill="FFFFFF"/>
            <w:vAlign w:val="center"/>
          </w:tcPr>
          <w:p w14:paraId="42DABDF9">
            <w:pPr>
              <w:jc w:val="center"/>
              <w:rPr>
                <w:bCs/>
                <w:sz w:val="21"/>
                <w:lang w:eastAsia="zh-CN"/>
              </w:rPr>
            </w:pPr>
            <w:r>
              <w:rPr>
                <w:rFonts w:hint="eastAsia"/>
                <w:bCs/>
                <w:sz w:val="21"/>
                <w:lang w:eastAsia="zh-CN"/>
              </w:rPr>
              <w:t>重庆舞蹈学校</w:t>
            </w:r>
          </w:p>
        </w:tc>
        <w:tc>
          <w:tcPr>
            <w:tcW w:w="2315" w:type="pct"/>
            <w:tcBorders>
              <w:tl2br w:val="nil"/>
              <w:tr2bl w:val="nil"/>
            </w:tcBorders>
            <w:shd w:val="clear" w:color="auto" w:fill="FFFFFF"/>
            <w:vAlign w:val="center"/>
          </w:tcPr>
          <w:p w14:paraId="5CB6DACA">
            <w:pPr>
              <w:jc w:val="left"/>
              <w:rPr>
                <w:bCs/>
                <w:sz w:val="21"/>
                <w:lang w:eastAsia="zh-CN"/>
              </w:rPr>
            </w:pPr>
            <w:r>
              <w:rPr>
                <w:rFonts w:hint="eastAsia"/>
                <w:bCs/>
                <w:sz w:val="21"/>
                <w:lang w:eastAsia="zh-CN"/>
              </w:rPr>
              <w:t>紧密对接重庆文化强市战略，舞蹈表演专业着重强化学生的舞台实践能力培养，绘画专业聚焦夯实学生高考基础，系统规划教学体系</w:t>
            </w:r>
          </w:p>
        </w:tc>
        <w:tc>
          <w:tcPr>
            <w:tcW w:w="1891" w:type="pct"/>
            <w:tcBorders>
              <w:tl2br w:val="nil"/>
              <w:tr2bl w:val="nil"/>
            </w:tcBorders>
            <w:shd w:val="clear" w:color="auto" w:fill="FFFFFF"/>
            <w:vAlign w:val="center"/>
          </w:tcPr>
          <w:p w14:paraId="6DF44F59">
            <w:pPr>
              <w:jc w:val="left"/>
              <w:rPr>
                <w:bCs/>
                <w:sz w:val="21"/>
                <w:lang w:eastAsia="zh-CN"/>
              </w:rPr>
            </w:pPr>
            <w:r>
              <w:rPr>
                <w:rFonts w:hint="eastAsia"/>
                <w:bCs/>
                <w:sz w:val="21"/>
                <w:lang w:eastAsia="zh-CN"/>
              </w:rPr>
              <w:t>可对接舞蹈演艺产业、文旅融合产业、艺术教育产业、文创设计产业等。</w:t>
            </w:r>
          </w:p>
        </w:tc>
      </w:tr>
    </w:tbl>
    <w:p w14:paraId="7C46106F">
      <w:pPr>
        <w:pStyle w:val="4"/>
        <w:spacing w:before="163" w:after="163"/>
      </w:pPr>
      <w:bookmarkStart w:id="47" w:name="_Toc31002"/>
      <w:r>
        <w:rPr>
          <w:rFonts w:hint="eastAsia"/>
        </w:rPr>
        <w:t xml:space="preserve">2.2.2 </w:t>
      </w:r>
      <w:r>
        <w:rPr>
          <w:rFonts w:hint="eastAsia" w:ascii="方正黑体_GBK" w:hAnsi="方正黑体_GBK" w:eastAsia="方正黑体_GBK" w:cs="方正黑体_GBK"/>
        </w:rPr>
        <w:t>打造特色优质专业</w:t>
      </w:r>
      <w:bookmarkEnd w:id="47"/>
    </w:p>
    <w:p w14:paraId="26F16484">
      <w:pPr>
        <w:ind w:firstLine="480" w:firstLineChars="200"/>
        <w:rPr>
          <w:lang w:eastAsia="zh-CN"/>
        </w:rPr>
      </w:pPr>
      <w:r>
        <w:rPr>
          <w:rFonts w:hint="eastAsia"/>
          <w:lang w:eastAsia="zh-CN"/>
        </w:rPr>
        <w:t>全区中职</w:t>
      </w:r>
      <w:r>
        <w:rPr>
          <w:lang w:eastAsia="zh-CN"/>
        </w:rPr>
        <w:t>学校立足区域产业特色与自身发展定位，协同推进专业群建设</w:t>
      </w:r>
      <w:r>
        <w:rPr>
          <w:rFonts w:hint="eastAsia"/>
          <w:lang w:eastAsia="zh-CN"/>
        </w:rPr>
        <w:t>。</w:t>
      </w:r>
      <w:r>
        <w:rPr>
          <w:lang w:eastAsia="zh-CN"/>
        </w:rPr>
        <w:t>重庆市九龙坡职业教育中心</w:t>
      </w:r>
      <w:r>
        <w:rPr>
          <w:rFonts w:hint="eastAsia"/>
          <w:lang w:eastAsia="zh-CN"/>
        </w:rPr>
        <w:t>整体设计专业布局，建立顶层设计、内涵建设、机制创新和成效评价“五位一体”的专业建设体系，形成了以电子商务、物联网技术应用、汽车运用与维修、新能源汽车运用与维修等4个优质专业，引领机器人技术应用、智能网联汽车技术等16个支撑专业的“4+16”的专业发展格局。</w:t>
      </w:r>
      <w:r>
        <w:rPr>
          <w:lang w:eastAsia="zh-CN"/>
        </w:rPr>
        <w:t>重庆市工艺美术学校</w:t>
      </w:r>
      <w:r>
        <w:rPr>
          <w:rFonts w:hint="eastAsia"/>
          <w:lang w:eastAsia="zh-CN"/>
        </w:rPr>
        <w:t>持续加强优势专业培育，努力建设重庆市标杆专业，本年度动漫与游戏制作专业市级“职业教育揭榜挂帅项目”、工艺美术专业市级“2025年职业教育贯通人才培养——‘五金’新基建揭榜挂帅项目”正稳步推进。重庆建筑高级技工</w:t>
      </w:r>
      <w:r>
        <w:rPr>
          <w:lang w:eastAsia="zh-CN"/>
        </w:rPr>
        <w:t>学校围绕产业集群需求建3个特色专业群</w:t>
      </w:r>
      <w:r>
        <w:rPr>
          <w:rFonts w:hint="eastAsia"/>
          <w:lang w:eastAsia="zh-CN"/>
        </w:rPr>
        <w:t>，</w:t>
      </w:r>
      <w:r>
        <w:rPr>
          <w:lang w:eastAsia="zh-CN"/>
        </w:rPr>
        <w:t>建筑工程群构建施工</w:t>
      </w:r>
      <w:r>
        <w:rPr>
          <w:rFonts w:hint="eastAsia"/>
          <w:lang w:eastAsia="zh-CN"/>
        </w:rPr>
        <w:t>—</w:t>
      </w:r>
      <w:r>
        <w:rPr>
          <w:lang w:eastAsia="zh-CN"/>
        </w:rPr>
        <w:t>安装</w:t>
      </w:r>
      <w:r>
        <w:rPr>
          <w:rFonts w:hint="eastAsia"/>
          <w:lang w:eastAsia="zh-CN"/>
        </w:rPr>
        <w:t>—</w:t>
      </w:r>
      <w:r>
        <w:rPr>
          <w:lang w:eastAsia="zh-CN"/>
        </w:rPr>
        <w:t>造价全流程培养体系；智能制造群整合多专业聚焦智能装备与数字技术融合；现代服务群联动多专业覆盖多元岗位，各群课程互通、资源共享精准对接产业需求。</w:t>
      </w:r>
      <w:r>
        <w:rPr>
          <w:rFonts w:hint="eastAsia"/>
          <w:lang w:eastAsia="zh-CN"/>
        </w:rPr>
        <w:t>重庆市聚英技工学校依托重庆产业特色，以五大核心专业为支撑，打造智能制造服务、现代生活服务两大特色专业群，形成“核心引领、关联互补、资源共享”模式，整合资源、互补育人。</w:t>
      </w:r>
    </w:p>
    <w:p w14:paraId="79219D37">
      <w:pPr>
        <w:pStyle w:val="7"/>
        <w:ind w:firstLine="422" w:firstLineChars="200"/>
        <w:jc w:val="center"/>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3</w:t>
      </w:r>
      <w:r>
        <w:rPr>
          <w:rFonts w:hint="default" w:ascii="Times New Roman" w:hAnsi="Times New Roman" w:eastAsia="黑体" w:cs="Times New Roman"/>
          <w:b/>
          <w:bCs/>
          <w:color w:val="2E54A1" w:themeColor="accent1" w:themeShade="BF"/>
          <w:sz w:val="21"/>
          <w:szCs w:val="21"/>
        </w:rPr>
        <w:fldChar w:fldCharType="end"/>
      </w:r>
      <w:bookmarkStart w:id="48" w:name="_Toc19845"/>
      <w:r>
        <w:rPr>
          <w:rFonts w:hint="default" w:ascii="Times New Roman" w:hAnsi="Times New Roman" w:eastAsia="黑体" w:cs="Times New Roman"/>
          <w:b/>
          <w:bCs/>
          <w:color w:val="2E54A1" w:themeColor="accent1" w:themeShade="BF"/>
          <w:sz w:val="21"/>
          <w:szCs w:val="21"/>
        </w:rPr>
        <w:t>】  重庆市九龙坡职业教育中心</w:t>
      </w:r>
      <w:r>
        <w:rPr>
          <w:rFonts w:hint="eastAsia" w:eastAsia="黑体" w:cs="Times New Roman"/>
          <w:b/>
          <w:bCs/>
          <w:color w:val="2E54A1" w:themeColor="accent1" w:themeShade="BF"/>
          <w:sz w:val="21"/>
          <w:szCs w:val="21"/>
          <w:lang w:eastAsia="zh-CN"/>
        </w:rPr>
        <w:t>探索</w:t>
      </w:r>
      <w:r>
        <w:rPr>
          <w:rFonts w:hint="default" w:ascii="Times New Roman" w:hAnsi="Times New Roman" w:eastAsia="黑体" w:cs="Times New Roman"/>
          <w:b/>
          <w:bCs/>
          <w:color w:val="2E54A1" w:themeColor="accent1" w:themeShade="BF"/>
          <w:sz w:val="21"/>
          <w:szCs w:val="21"/>
        </w:rPr>
        <w:t>汽车专业实战课堂</w:t>
      </w:r>
      <w:bookmarkEnd w:id="48"/>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526F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333ECA51">
            <w:pPr>
              <w:ind w:firstLine="420" w:firstLineChars="200"/>
              <w:rPr>
                <w:rFonts w:eastAsia="楷体" w:cs="Times New Roman"/>
                <w:sz w:val="21"/>
                <w:szCs w:val="21"/>
                <w:lang w:eastAsia="zh-CN"/>
              </w:rPr>
            </w:pPr>
            <w:r>
              <w:rPr>
                <w:rFonts w:eastAsia="楷体" w:cs="Times New Roman"/>
                <w:sz w:val="21"/>
                <w:szCs w:val="21"/>
                <w:lang w:eastAsia="zh-CN"/>
              </w:rPr>
              <w:t>为了更好地适应现代汽车行业的快速发展和人才培养需求，</w:t>
            </w:r>
            <w:r>
              <w:rPr>
                <w:rFonts w:hint="eastAsia" w:eastAsia="楷体" w:cs="Times New Roman"/>
                <w:sz w:val="21"/>
                <w:szCs w:val="21"/>
                <w:lang w:eastAsia="zh-CN"/>
              </w:rPr>
              <w:t>学校</w:t>
            </w:r>
            <w:r>
              <w:rPr>
                <w:rFonts w:eastAsia="楷体" w:cs="Times New Roman"/>
                <w:sz w:val="21"/>
                <w:szCs w:val="21"/>
                <w:lang w:eastAsia="zh-CN"/>
              </w:rPr>
              <w:t>汽车专业群精心打造了一个集校企合作、虚拟与实际操作相结合、注重过程管理的实战化教学环境。一是依托产业学院和技能大师工作室，共定教学目标、课程标准、培养规模和评价标准；共同开发教材、选拔和培养教师学生、建设实训基地，构建</w:t>
            </w:r>
            <w:r>
              <w:rPr>
                <w:rFonts w:hint="eastAsia" w:eastAsia="楷体" w:cs="Times New Roman"/>
                <w:sz w:val="21"/>
                <w:szCs w:val="21"/>
                <w:lang w:eastAsia="zh-CN"/>
              </w:rPr>
              <w:t>“</w:t>
            </w:r>
            <w:r>
              <w:rPr>
                <w:rFonts w:eastAsia="楷体" w:cs="Times New Roman"/>
                <w:sz w:val="21"/>
                <w:szCs w:val="21"/>
                <w:lang w:eastAsia="zh-CN"/>
              </w:rPr>
              <w:t>四定四同</w:t>
            </w:r>
            <w:r>
              <w:rPr>
                <w:rFonts w:hint="eastAsia" w:eastAsia="楷体" w:cs="Times New Roman"/>
                <w:sz w:val="21"/>
                <w:szCs w:val="21"/>
                <w:lang w:eastAsia="zh-CN"/>
              </w:rPr>
              <w:t>”</w:t>
            </w:r>
            <w:r>
              <w:rPr>
                <w:rFonts w:eastAsia="楷体" w:cs="Times New Roman"/>
                <w:sz w:val="21"/>
                <w:szCs w:val="21"/>
                <w:lang w:eastAsia="zh-CN"/>
              </w:rPr>
              <w:t>教学体系。二是研发</w:t>
            </w:r>
            <w:r>
              <w:rPr>
                <w:rFonts w:hint="eastAsia" w:eastAsia="楷体" w:cs="Times New Roman"/>
                <w:sz w:val="21"/>
                <w:szCs w:val="21"/>
                <w:lang w:eastAsia="zh-CN"/>
              </w:rPr>
              <w:t>“</w:t>
            </w:r>
            <w:r>
              <w:rPr>
                <w:rFonts w:eastAsia="楷体" w:cs="Times New Roman"/>
                <w:sz w:val="21"/>
                <w:szCs w:val="21"/>
                <w:lang w:eastAsia="zh-CN"/>
              </w:rPr>
              <w:t>新形态教材+虚实教学平台+实训视频库</w:t>
            </w:r>
            <w:r>
              <w:rPr>
                <w:rFonts w:hint="eastAsia" w:eastAsia="楷体" w:cs="Times New Roman"/>
                <w:sz w:val="21"/>
                <w:szCs w:val="21"/>
                <w:lang w:eastAsia="zh-CN"/>
              </w:rPr>
              <w:t>”</w:t>
            </w:r>
            <w:r>
              <w:rPr>
                <w:rFonts w:eastAsia="楷体" w:cs="Times New Roman"/>
                <w:sz w:val="21"/>
                <w:szCs w:val="21"/>
                <w:lang w:eastAsia="zh-CN"/>
              </w:rPr>
              <w:t>的教学手段。三是根据岗位典型工作流程，制定</w:t>
            </w:r>
            <w:r>
              <w:rPr>
                <w:rFonts w:hint="eastAsia" w:eastAsia="楷体" w:cs="Times New Roman"/>
                <w:sz w:val="21"/>
                <w:szCs w:val="21"/>
                <w:lang w:eastAsia="zh-CN"/>
              </w:rPr>
              <w:t>“</w:t>
            </w:r>
            <w:r>
              <w:rPr>
                <w:rFonts w:eastAsia="楷体" w:cs="Times New Roman"/>
                <w:sz w:val="21"/>
                <w:szCs w:val="21"/>
                <w:lang w:eastAsia="zh-CN"/>
              </w:rPr>
              <w:t>判、修、验、访</w:t>
            </w:r>
            <w:r>
              <w:rPr>
                <w:rFonts w:hint="eastAsia" w:eastAsia="楷体" w:cs="Times New Roman"/>
                <w:sz w:val="21"/>
                <w:szCs w:val="21"/>
                <w:lang w:eastAsia="zh-CN"/>
              </w:rPr>
              <w:t>”</w:t>
            </w:r>
            <w:r>
              <w:rPr>
                <w:rFonts w:eastAsia="楷体" w:cs="Times New Roman"/>
                <w:sz w:val="21"/>
                <w:szCs w:val="21"/>
                <w:lang w:eastAsia="zh-CN"/>
              </w:rPr>
              <w:t>四步教学环节，从而提升学生岗位实训能力。</w:t>
            </w:r>
          </w:p>
          <w:p w14:paraId="0AE45A53">
            <w:pPr>
              <w:ind w:firstLine="420" w:firstLineChars="200"/>
              <w:rPr>
                <w:rFonts w:eastAsia="楷体" w:cs="Times New Roman"/>
                <w:sz w:val="21"/>
                <w:szCs w:val="21"/>
                <w:lang w:eastAsia="zh-CN"/>
              </w:rPr>
            </w:pPr>
            <w:r>
              <w:rPr>
                <w:rFonts w:eastAsia="楷体" w:cs="Times New Roman"/>
                <w:sz w:val="21"/>
                <w:szCs w:val="21"/>
                <w:lang w:eastAsia="zh-CN"/>
              </w:rPr>
              <w:t>实践成效明显，校企共编典型故障集1本、教材2本、专利4项；11名教师考取技师资格；学生参加一带一路暨金砖国家大赛获全国二等奖，教师团队获全国三等奖；学生参加技能大赛获市级一等奖2项，二等奖3项。</w:t>
            </w:r>
          </w:p>
          <w:p w14:paraId="238C4229">
            <w:pPr>
              <w:ind w:firstLine="420" w:firstLineChars="200"/>
              <w:rPr>
                <w:rFonts w:eastAsia="楷体" w:cs="Times New Roman"/>
                <w:sz w:val="21"/>
                <w:szCs w:val="21"/>
                <w:lang w:eastAsia="zh-CN"/>
              </w:rPr>
            </w:pPr>
          </w:p>
          <w:p w14:paraId="7569CDE8">
            <w:pPr>
              <w:spacing w:line="240" w:lineRule="auto"/>
              <w:jc w:val="center"/>
              <w:rPr>
                <w:sz w:val="21"/>
                <w:szCs w:val="21"/>
                <w:lang w:eastAsia="zh-CN"/>
              </w:rPr>
            </w:pPr>
            <w:r>
              <w:rPr>
                <w:sz w:val="21"/>
                <w:szCs w:val="21"/>
                <w:lang w:eastAsia="zh-CN"/>
              </w:rPr>
              <w:drawing>
                <wp:inline distT="0" distB="0" distL="114300" distR="114300">
                  <wp:extent cx="3780155" cy="2078355"/>
                  <wp:effectExtent l="0" t="0" r="8890" b="5080"/>
                  <wp:docPr id="2"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
                          <pic:cNvPicPr>
                            <a:picLocks noChangeAspect="1"/>
                          </pic:cNvPicPr>
                        </pic:nvPicPr>
                        <pic:blipFill>
                          <a:blip r:embed="rId20"/>
                          <a:stretch>
                            <a:fillRect/>
                          </a:stretch>
                        </pic:blipFill>
                        <pic:spPr>
                          <a:xfrm>
                            <a:off x="0" y="0"/>
                            <a:ext cx="3780155" cy="2078355"/>
                          </a:xfrm>
                          <a:prstGeom prst="rect">
                            <a:avLst/>
                          </a:prstGeom>
                          <a:noFill/>
                          <a:ln>
                            <a:noFill/>
                          </a:ln>
                        </pic:spPr>
                      </pic:pic>
                    </a:graphicData>
                  </a:graphic>
                </wp:inline>
              </w:drawing>
            </w:r>
          </w:p>
          <w:p w14:paraId="770D407A">
            <w:pPr>
              <w:pStyle w:val="7"/>
              <w:rPr>
                <w:rFonts w:hint="eastAsia" w:eastAsia="楷体"/>
                <w:sz w:val="21"/>
                <w:szCs w:val="21"/>
                <w:lang w:eastAsia="zh-CN"/>
              </w:rPr>
            </w:pPr>
            <w:bookmarkStart w:id="49" w:name="_Toc31972"/>
            <w:bookmarkStart w:id="50" w:name="_Toc6041"/>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5</w:t>
            </w:r>
            <w:r>
              <w:rPr>
                <w:sz w:val="21"/>
                <w:szCs w:val="21"/>
              </w:rPr>
              <w:fldChar w:fldCharType="end"/>
            </w:r>
            <w:bookmarkStart w:id="51" w:name="_Toc3657"/>
            <w:r>
              <w:rPr>
                <w:rFonts w:hint="eastAsia"/>
                <w:sz w:val="21"/>
                <w:szCs w:val="21"/>
                <w:lang w:val="en-US" w:eastAsia="zh-CN"/>
              </w:rPr>
              <w:t xml:space="preserve">  </w:t>
            </w:r>
            <w:r>
              <w:rPr>
                <w:rFonts w:hint="eastAsia"/>
                <w:sz w:val="21"/>
                <w:szCs w:val="21"/>
              </w:rPr>
              <w:t>重庆市九龙坡职业教育中心</w:t>
            </w:r>
            <w:r>
              <w:rPr>
                <w:sz w:val="21"/>
                <w:szCs w:val="21"/>
              </w:rPr>
              <w:t>实战课堂教学策略</w:t>
            </w:r>
            <w:bookmarkEnd w:id="49"/>
            <w:bookmarkEnd w:id="50"/>
            <w:bookmarkEnd w:id="51"/>
            <w:r>
              <w:rPr>
                <w:rFonts w:hint="eastAsia"/>
                <w:sz w:val="21"/>
                <w:szCs w:val="21"/>
                <w:lang w:eastAsia="zh-CN"/>
              </w:rPr>
              <w:t>图示</w:t>
            </w:r>
          </w:p>
        </w:tc>
      </w:tr>
    </w:tbl>
    <w:p w14:paraId="1C25CACF">
      <w:pPr>
        <w:pStyle w:val="4"/>
        <w:spacing w:before="163" w:after="163"/>
      </w:pPr>
      <w:bookmarkStart w:id="52" w:name="_Toc28004"/>
      <w:r>
        <w:rPr>
          <w:rFonts w:hint="eastAsia"/>
        </w:rPr>
        <w:t xml:space="preserve">2.2.3 </w:t>
      </w:r>
      <w:r>
        <w:rPr>
          <w:rFonts w:hint="eastAsia" w:ascii="方正黑体_GBK" w:hAnsi="方正黑体_GBK" w:eastAsia="方正黑体_GBK" w:cs="方正黑体_GBK"/>
        </w:rPr>
        <w:t>推进贯通培养模式</w:t>
      </w:r>
      <w:bookmarkEnd w:id="52"/>
    </w:p>
    <w:p w14:paraId="70E220E4">
      <w:pPr>
        <w:ind w:firstLine="480" w:firstLineChars="200"/>
        <w:rPr>
          <w:lang w:eastAsia="zh-CN"/>
        </w:rPr>
      </w:pPr>
      <w:r>
        <w:rPr>
          <w:rFonts w:hint="eastAsia"/>
          <w:lang w:eastAsia="zh-CN"/>
        </w:rPr>
        <w:t>九龙坡区持续深化纵向贯通的职业教育体系建设，积极稳健推动区域中高本有机衔接，围绕“3+2”“3+4”等模式展开多元化探索实践，充分发挥引领作用，指导区内中职学校与市内优质高等职业院校开展深度合作，实现资源共享、优势互补。重庆市九龙坡职业教育中心深化与高职院校衔接合作，2025年与7所院校开展“3+2”分段制联合培养，覆盖18个专业，近三年累计培养学生1582人；与重庆移通学院开展新能源汽车运用与维修专业“3+4”中本贯通培养；积极推进贯通培养模式创新与质量提升，承接“揭榜挂帅”项目，其中工业机器人技术应用“3+2”项目在多方面形成可推广成果，电子商务专业申报新项目并开展相关探索以强化示范性与实效性。</w:t>
      </w:r>
      <w:r>
        <w:rPr>
          <w:lang w:eastAsia="zh-CN"/>
        </w:rPr>
        <w:t>重庆市工艺美术学校动漫与游戏制作等7个专业（占学校专业总数58.33%）与5所高职院校对应专业开展</w:t>
      </w:r>
      <w:r>
        <w:rPr>
          <w:rFonts w:hint="eastAsia"/>
          <w:lang w:eastAsia="zh-CN"/>
        </w:rPr>
        <w:t>“</w:t>
      </w:r>
      <w:r>
        <w:rPr>
          <w:lang w:eastAsia="zh-CN"/>
        </w:rPr>
        <w:t>3+2</w:t>
      </w:r>
      <w:r>
        <w:rPr>
          <w:rFonts w:hint="eastAsia"/>
          <w:lang w:eastAsia="zh-CN"/>
        </w:rPr>
        <w:t>”</w:t>
      </w:r>
      <w:r>
        <w:rPr>
          <w:lang w:eastAsia="zh-CN"/>
        </w:rPr>
        <w:t>贯通培养</w:t>
      </w:r>
      <w:r>
        <w:rPr>
          <w:rFonts w:hint="eastAsia"/>
          <w:lang w:eastAsia="zh-CN"/>
        </w:rPr>
        <w:t>，</w:t>
      </w:r>
      <w:r>
        <w:rPr>
          <w:lang w:eastAsia="zh-CN"/>
        </w:rPr>
        <w:t>各专业与对应院校围绕人才培养方案修订、课程与实训基地建设等开展20余次研讨活动，形成7份贯通人才培养方案，联合开展14次学生学业质量评价、13次教研与教师培训活动。</w:t>
      </w:r>
    </w:p>
    <w:p w14:paraId="2E14C5C9">
      <w:pPr>
        <w:pStyle w:val="7"/>
      </w:pPr>
      <w:r>
        <w:t>表</w:t>
      </w:r>
      <w:r>
        <w:fldChar w:fldCharType="begin"/>
      </w:r>
      <w:r>
        <w:instrText xml:space="preserve"> SEQ 表 \* ARABIC </w:instrText>
      </w:r>
      <w:r>
        <w:fldChar w:fldCharType="separate"/>
      </w:r>
      <w:r>
        <w:t>9</w:t>
      </w:r>
      <w:r>
        <w:fldChar w:fldCharType="end"/>
      </w:r>
      <w:bookmarkStart w:id="53" w:name="_Toc26266"/>
      <w:r>
        <w:t xml:space="preserve">  </w:t>
      </w:r>
      <w:r>
        <w:rPr>
          <w:rFonts w:hint="eastAsia"/>
        </w:rPr>
        <w:t>全区中职学校</w:t>
      </w:r>
      <w:r>
        <w:t>中高贯通培养一览表</w:t>
      </w:r>
      <w:bookmarkEnd w:id="53"/>
    </w:p>
    <w:tbl>
      <w:tblPr>
        <w:tblStyle w:val="22"/>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2913"/>
        <w:gridCol w:w="1545"/>
        <w:gridCol w:w="2712"/>
      </w:tblGrid>
      <w:tr w14:paraId="0DD0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9" w:type="dxa"/>
            <w:shd w:val="clear" w:color="auto" w:fill="DAE3F5"/>
            <w:vAlign w:val="center"/>
          </w:tcPr>
          <w:p w14:paraId="6DF48CB4">
            <w:pPr>
              <w:jc w:val="center"/>
              <w:rPr>
                <w:bCs/>
                <w:color w:val="auto"/>
                <w:sz w:val="20"/>
                <w:szCs w:val="20"/>
                <w:lang w:eastAsia="zh-CN"/>
              </w:rPr>
            </w:pPr>
            <w:r>
              <w:rPr>
                <w:rFonts w:hint="eastAsia"/>
                <w:bCs/>
                <w:color w:val="auto"/>
                <w:sz w:val="20"/>
                <w:szCs w:val="20"/>
                <w:lang w:eastAsia="zh-CN"/>
              </w:rPr>
              <w:t>学校</w:t>
            </w:r>
          </w:p>
        </w:tc>
        <w:tc>
          <w:tcPr>
            <w:tcW w:w="2913" w:type="dxa"/>
            <w:shd w:val="clear" w:color="auto" w:fill="DAE3F5"/>
            <w:vAlign w:val="center"/>
          </w:tcPr>
          <w:p w14:paraId="59C6C9AE">
            <w:pPr>
              <w:jc w:val="center"/>
              <w:rPr>
                <w:bCs/>
                <w:color w:val="auto"/>
                <w:sz w:val="20"/>
                <w:szCs w:val="20"/>
                <w:lang w:eastAsia="zh-CN"/>
              </w:rPr>
            </w:pPr>
            <w:r>
              <w:rPr>
                <w:bCs/>
                <w:color w:val="auto"/>
                <w:sz w:val="20"/>
                <w:szCs w:val="20"/>
                <w:lang w:eastAsia="zh-CN"/>
              </w:rPr>
              <w:t>专业简称</w:t>
            </w:r>
          </w:p>
        </w:tc>
        <w:tc>
          <w:tcPr>
            <w:tcW w:w="1545" w:type="dxa"/>
            <w:shd w:val="clear" w:color="auto" w:fill="DAE3F5"/>
            <w:vAlign w:val="center"/>
          </w:tcPr>
          <w:p w14:paraId="3A33EE74">
            <w:pPr>
              <w:jc w:val="center"/>
              <w:rPr>
                <w:bCs/>
                <w:color w:val="auto"/>
                <w:sz w:val="20"/>
                <w:szCs w:val="20"/>
              </w:rPr>
            </w:pPr>
            <w:r>
              <w:rPr>
                <w:bCs/>
                <w:color w:val="auto"/>
                <w:sz w:val="20"/>
                <w:szCs w:val="20"/>
                <w:lang w:eastAsia="zh-CN"/>
              </w:rPr>
              <w:t>贯通培养形式</w:t>
            </w:r>
          </w:p>
        </w:tc>
        <w:tc>
          <w:tcPr>
            <w:tcW w:w="2712" w:type="dxa"/>
            <w:shd w:val="clear" w:color="auto" w:fill="DAE3F5"/>
            <w:vAlign w:val="center"/>
          </w:tcPr>
          <w:p w14:paraId="754FB499">
            <w:pPr>
              <w:jc w:val="center"/>
              <w:rPr>
                <w:bCs/>
                <w:color w:val="auto"/>
                <w:sz w:val="20"/>
                <w:szCs w:val="20"/>
              </w:rPr>
            </w:pPr>
            <w:r>
              <w:rPr>
                <w:bCs/>
                <w:color w:val="auto"/>
                <w:sz w:val="20"/>
                <w:szCs w:val="20"/>
                <w:lang w:eastAsia="zh-CN"/>
              </w:rPr>
              <w:t>合作院校</w:t>
            </w:r>
          </w:p>
        </w:tc>
      </w:tr>
      <w:tr w14:paraId="3715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restart"/>
            <w:tcBorders>
              <w:tl2br w:val="nil"/>
              <w:tr2bl w:val="nil"/>
            </w:tcBorders>
            <w:shd w:val="clear" w:color="auto" w:fill="FFFFFF"/>
            <w:noWrap/>
            <w:vAlign w:val="center"/>
          </w:tcPr>
          <w:p w14:paraId="0CB31433">
            <w:pPr>
              <w:jc w:val="center"/>
              <w:rPr>
                <w:bCs/>
                <w:color w:val="auto"/>
                <w:sz w:val="20"/>
                <w:szCs w:val="20"/>
                <w:lang w:eastAsia="zh-CN"/>
              </w:rPr>
            </w:pPr>
            <w:r>
              <w:rPr>
                <w:rFonts w:hint="eastAsia"/>
                <w:bCs/>
                <w:color w:val="auto"/>
                <w:sz w:val="20"/>
                <w:szCs w:val="20"/>
                <w:lang w:eastAsia="zh-CN"/>
              </w:rPr>
              <w:t>重庆市九龙坡职业教育中心</w:t>
            </w:r>
          </w:p>
        </w:tc>
        <w:tc>
          <w:tcPr>
            <w:tcW w:w="2913" w:type="dxa"/>
            <w:tcBorders>
              <w:tl2br w:val="nil"/>
              <w:tr2bl w:val="nil"/>
            </w:tcBorders>
            <w:shd w:val="clear" w:color="auto" w:fill="FFFFFF"/>
            <w:noWrap/>
            <w:vAlign w:val="center"/>
          </w:tcPr>
          <w:p w14:paraId="4D1AA478">
            <w:pPr>
              <w:jc w:val="center"/>
              <w:rPr>
                <w:bCs/>
                <w:color w:val="auto"/>
                <w:sz w:val="20"/>
                <w:szCs w:val="20"/>
                <w:lang w:eastAsia="zh-CN"/>
              </w:rPr>
            </w:pPr>
            <w:r>
              <w:rPr>
                <w:bCs/>
                <w:color w:val="auto"/>
                <w:sz w:val="20"/>
                <w:szCs w:val="20"/>
                <w:lang w:eastAsia="zh-CN"/>
              </w:rPr>
              <w:t>数控技术应用</w:t>
            </w:r>
          </w:p>
        </w:tc>
        <w:tc>
          <w:tcPr>
            <w:tcW w:w="1545" w:type="dxa"/>
            <w:tcBorders>
              <w:tl2br w:val="nil"/>
              <w:tr2bl w:val="nil"/>
            </w:tcBorders>
            <w:shd w:val="clear" w:color="auto" w:fill="FFFFFF"/>
            <w:noWrap/>
            <w:vAlign w:val="center"/>
          </w:tcPr>
          <w:p w14:paraId="1224756D">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1BB9844E">
            <w:pPr>
              <w:jc w:val="center"/>
              <w:rPr>
                <w:bCs/>
                <w:color w:val="auto"/>
                <w:sz w:val="20"/>
                <w:szCs w:val="20"/>
                <w:lang w:eastAsia="zh-CN"/>
              </w:rPr>
            </w:pPr>
            <w:r>
              <w:rPr>
                <w:bCs/>
                <w:color w:val="auto"/>
                <w:sz w:val="20"/>
                <w:szCs w:val="20"/>
                <w:lang w:eastAsia="zh-CN"/>
              </w:rPr>
              <w:t>重庆能源职业学院</w:t>
            </w:r>
          </w:p>
        </w:tc>
      </w:tr>
      <w:tr w14:paraId="7BC2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4D712336">
            <w:pPr>
              <w:jc w:val="center"/>
              <w:rPr>
                <w:bCs/>
                <w:color w:val="auto"/>
                <w:sz w:val="20"/>
                <w:szCs w:val="20"/>
                <w:lang w:eastAsia="zh-CN"/>
              </w:rPr>
            </w:pPr>
          </w:p>
        </w:tc>
        <w:tc>
          <w:tcPr>
            <w:tcW w:w="2913" w:type="dxa"/>
            <w:tcBorders>
              <w:tl2br w:val="nil"/>
              <w:tr2bl w:val="nil"/>
            </w:tcBorders>
            <w:shd w:val="clear" w:color="auto" w:fill="FFFFFF"/>
            <w:noWrap/>
            <w:vAlign w:val="center"/>
          </w:tcPr>
          <w:p w14:paraId="0860A65D">
            <w:pPr>
              <w:jc w:val="center"/>
              <w:rPr>
                <w:bCs/>
                <w:color w:val="auto"/>
                <w:sz w:val="20"/>
                <w:szCs w:val="20"/>
                <w:lang w:eastAsia="zh-CN"/>
              </w:rPr>
            </w:pPr>
            <w:r>
              <w:rPr>
                <w:bCs/>
                <w:color w:val="auto"/>
                <w:sz w:val="20"/>
                <w:szCs w:val="20"/>
                <w:lang w:eastAsia="zh-CN"/>
              </w:rPr>
              <w:t>机电技术应用</w:t>
            </w:r>
          </w:p>
        </w:tc>
        <w:tc>
          <w:tcPr>
            <w:tcW w:w="1545" w:type="dxa"/>
            <w:tcBorders>
              <w:tl2br w:val="nil"/>
              <w:tr2bl w:val="nil"/>
            </w:tcBorders>
            <w:shd w:val="clear" w:color="auto" w:fill="FFFFFF"/>
            <w:noWrap/>
            <w:vAlign w:val="center"/>
          </w:tcPr>
          <w:p w14:paraId="7EDAE5CB">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noWrap/>
            <w:vAlign w:val="center"/>
          </w:tcPr>
          <w:p w14:paraId="2EAE9CCD">
            <w:pPr>
              <w:jc w:val="center"/>
              <w:rPr>
                <w:bCs/>
                <w:color w:val="auto"/>
                <w:sz w:val="20"/>
                <w:szCs w:val="20"/>
                <w:lang w:eastAsia="zh-CN"/>
              </w:rPr>
            </w:pPr>
            <w:r>
              <w:rPr>
                <w:bCs/>
                <w:color w:val="auto"/>
                <w:sz w:val="20"/>
                <w:szCs w:val="20"/>
                <w:lang w:eastAsia="zh-CN"/>
              </w:rPr>
              <w:t>重庆交通职业学院</w:t>
            </w:r>
          </w:p>
        </w:tc>
      </w:tr>
      <w:tr w14:paraId="1AE1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62903AC1">
            <w:pPr>
              <w:jc w:val="center"/>
              <w:rPr>
                <w:bCs/>
                <w:color w:val="auto"/>
                <w:sz w:val="20"/>
                <w:szCs w:val="20"/>
                <w:lang w:eastAsia="zh-CN"/>
              </w:rPr>
            </w:pPr>
          </w:p>
        </w:tc>
        <w:tc>
          <w:tcPr>
            <w:tcW w:w="2913" w:type="dxa"/>
            <w:tcBorders>
              <w:tl2br w:val="nil"/>
              <w:tr2bl w:val="nil"/>
            </w:tcBorders>
            <w:shd w:val="clear" w:color="auto" w:fill="FFFFFF"/>
            <w:noWrap/>
            <w:vAlign w:val="center"/>
          </w:tcPr>
          <w:p w14:paraId="522AEDD5">
            <w:pPr>
              <w:jc w:val="center"/>
              <w:rPr>
                <w:bCs/>
                <w:color w:val="auto"/>
                <w:sz w:val="20"/>
                <w:szCs w:val="20"/>
                <w:lang w:eastAsia="zh-CN"/>
              </w:rPr>
            </w:pPr>
            <w:r>
              <w:rPr>
                <w:bCs/>
                <w:color w:val="auto"/>
                <w:sz w:val="20"/>
                <w:szCs w:val="20"/>
                <w:lang w:eastAsia="zh-CN"/>
              </w:rPr>
              <w:t>工业机器人技术应用</w:t>
            </w:r>
          </w:p>
        </w:tc>
        <w:tc>
          <w:tcPr>
            <w:tcW w:w="1545" w:type="dxa"/>
            <w:tcBorders>
              <w:tl2br w:val="nil"/>
              <w:tr2bl w:val="nil"/>
            </w:tcBorders>
            <w:shd w:val="clear" w:color="auto" w:fill="FFFFFF"/>
            <w:noWrap/>
            <w:vAlign w:val="center"/>
          </w:tcPr>
          <w:p w14:paraId="53F2D78C">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26440787">
            <w:pPr>
              <w:jc w:val="center"/>
              <w:rPr>
                <w:bCs/>
                <w:color w:val="auto"/>
                <w:sz w:val="20"/>
                <w:szCs w:val="20"/>
                <w:lang w:eastAsia="zh-CN"/>
              </w:rPr>
            </w:pPr>
            <w:r>
              <w:rPr>
                <w:bCs/>
                <w:color w:val="auto"/>
                <w:sz w:val="20"/>
                <w:szCs w:val="20"/>
                <w:lang w:eastAsia="zh-CN"/>
              </w:rPr>
              <w:t>重庆工业职业技术学院</w:t>
            </w:r>
          </w:p>
        </w:tc>
      </w:tr>
      <w:tr w14:paraId="2AFC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5A2770A5">
            <w:pPr>
              <w:jc w:val="center"/>
              <w:rPr>
                <w:bCs/>
                <w:color w:val="auto"/>
                <w:sz w:val="20"/>
                <w:szCs w:val="20"/>
                <w:lang w:eastAsia="zh-CN"/>
              </w:rPr>
            </w:pPr>
          </w:p>
        </w:tc>
        <w:tc>
          <w:tcPr>
            <w:tcW w:w="2913" w:type="dxa"/>
            <w:tcBorders>
              <w:tl2br w:val="nil"/>
              <w:tr2bl w:val="nil"/>
            </w:tcBorders>
            <w:shd w:val="clear" w:color="auto" w:fill="FFFFFF"/>
            <w:noWrap/>
            <w:vAlign w:val="center"/>
          </w:tcPr>
          <w:p w14:paraId="36196294">
            <w:pPr>
              <w:jc w:val="center"/>
              <w:rPr>
                <w:bCs/>
                <w:color w:val="auto"/>
                <w:sz w:val="20"/>
                <w:szCs w:val="20"/>
                <w:lang w:eastAsia="zh-CN"/>
              </w:rPr>
            </w:pPr>
            <w:r>
              <w:rPr>
                <w:bCs/>
                <w:color w:val="auto"/>
                <w:sz w:val="20"/>
                <w:szCs w:val="20"/>
                <w:lang w:eastAsia="zh-CN"/>
              </w:rPr>
              <w:t>汽车运用与维修</w:t>
            </w:r>
          </w:p>
        </w:tc>
        <w:tc>
          <w:tcPr>
            <w:tcW w:w="1545" w:type="dxa"/>
            <w:tcBorders>
              <w:tl2br w:val="nil"/>
              <w:tr2bl w:val="nil"/>
            </w:tcBorders>
            <w:shd w:val="clear" w:color="auto" w:fill="FFFFFF"/>
            <w:noWrap/>
            <w:vAlign w:val="center"/>
          </w:tcPr>
          <w:p w14:paraId="06E78C2E">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7BF96DF7">
            <w:pPr>
              <w:jc w:val="center"/>
              <w:rPr>
                <w:bCs/>
                <w:color w:val="auto"/>
                <w:sz w:val="20"/>
                <w:szCs w:val="20"/>
                <w:lang w:eastAsia="zh-CN"/>
              </w:rPr>
            </w:pPr>
            <w:r>
              <w:rPr>
                <w:bCs/>
                <w:color w:val="auto"/>
                <w:sz w:val="20"/>
                <w:szCs w:val="20"/>
                <w:lang w:eastAsia="zh-CN"/>
              </w:rPr>
              <w:t>重庆交通职业学院</w:t>
            </w:r>
          </w:p>
        </w:tc>
      </w:tr>
      <w:tr w14:paraId="316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3673E1B6">
            <w:pPr>
              <w:jc w:val="center"/>
              <w:rPr>
                <w:bCs/>
                <w:color w:val="auto"/>
                <w:sz w:val="20"/>
                <w:szCs w:val="20"/>
                <w:lang w:eastAsia="zh-CN"/>
              </w:rPr>
            </w:pPr>
          </w:p>
        </w:tc>
        <w:tc>
          <w:tcPr>
            <w:tcW w:w="2913" w:type="dxa"/>
            <w:tcBorders>
              <w:tl2br w:val="nil"/>
              <w:tr2bl w:val="nil"/>
            </w:tcBorders>
            <w:shd w:val="clear" w:color="auto" w:fill="FFFFFF"/>
            <w:noWrap/>
            <w:vAlign w:val="center"/>
          </w:tcPr>
          <w:p w14:paraId="16A6DF95">
            <w:pPr>
              <w:jc w:val="center"/>
              <w:rPr>
                <w:bCs/>
                <w:color w:val="auto"/>
                <w:sz w:val="20"/>
                <w:szCs w:val="20"/>
                <w:lang w:eastAsia="zh-CN"/>
              </w:rPr>
            </w:pPr>
            <w:r>
              <w:rPr>
                <w:bCs/>
                <w:color w:val="auto"/>
                <w:sz w:val="20"/>
                <w:szCs w:val="20"/>
                <w:lang w:eastAsia="zh-CN"/>
              </w:rPr>
              <w:t>新能源汽车运用与维修</w:t>
            </w:r>
          </w:p>
        </w:tc>
        <w:tc>
          <w:tcPr>
            <w:tcW w:w="1545" w:type="dxa"/>
            <w:tcBorders>
              <w:tl2br w:val="nil"/>
              <w:tr2bl w:val="nil"/>
            </w:tcBorders>
            <w:shd w:val="clear" w:color="auto" w:fill="FFFFFF"/>
            <w:noWrap/>
            <w:vAlign w:val="center"/>
          </w:tcPr>
          <w:p w14:paraId="1ADC1027">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0764646A">
            <w:pPr>
              <w:jc w:val="center"/>
              <w:rPr>
                <w:bCs/>
                <w:color w:val="auto"/>
                <w:sz w:val="20"/>
                <w:szCs w:val="20"/>
                <w:lang w:eastAsia="zh-CN"/>
              </w:rPr>
            </w:pPr>
            <w:r>
              <w:rPr>
                <w:bCs/>
                <w:color w:val="auto"/>
                <w:sz w:val="20"/>
                <w:szCs w:val="20"/>
                <w:lang w:eastAsia="zh-CN"/>
              </w:rPr>
              <w:t>重庆交通职业学院</w:t>
            </w:r>
          </w:p>
        </w:tc>
      </w:tr>
      <w:tr w14:paraId="484A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3A92B7A2">
            <w:pPr>
              <w:jc w:val="center"/>
              <w:rPr>
                <w:bCs/>
                <w:color w:val="auto"/>
                <w:sz w:val="20"/>
                <w:szCs w:val="20"/>
                <w:lang w:eastAsia="zh-CN"/>
              </w:rPr>
            </w:pPr>
          </w:p>
        </w:tc>
        <w:tc>
          <w:tcPr>
            <w:tcW w:w="2913" w:type="dxa"/>
            <w:tcBorders>
              <w:tl2br w:val="nil"/>
              <w:tr2bl w:val="nil"/>
            </w:tcBorders>
            <w:shd w:val="clear" w:color="auto" w:fill="FFFFFF"/>
            <w:noWrap/>
            <w:vAlign w:val="center"/>
          </w:tcPr>
          <w:p w14:paraId="299B958C">
            <w:pPr>
              <w:jc w:val="center"/>
              <w:rPr>
                <w:bCs/>
                <w:color w:val="auto"/>
                <w:sz w:val="20"/>
                <w:szCs w:val="20"/>
                <w:lang w:eastAsia="zh-CN"/>
              </w:rPr>
            </w:pPr>
            <w:r>
              <w:rPr>
                <w:bCs/>
                <w:color w:val="auto"/>
                <w:sz w:val="20"/>
                <w:szCs w:val="20"/>
                <w:lang w:eastAsia="zh-CN"/>
              </w:rPr>
              <w:t>航空服务</w:t>
            </w:r>
          </w:p>
        </w:tc>
        <w:tc>
          <w:tcPr>
            <w:tcW w:w="1545" w:type="dxa"/>
            <w:tcBorders>
              <w:tl2br w:val="nil"/>
              <w:tr2bl w:val="nil"/>
            </w:tcBorders>
            <w:shd w:val="clear" w:color="auto" w:fill="FFFFFF"/>
            <w:vAlign w:val="center"/>
          </w:tcPr>
          <w:p w14:paraId="50C4F194">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2E748CD0">
            <w:pPr>
              <w:jc w:val="center"/>
              <w:rPr>
                <w:bCs/>
                <w:color w:val="auto"/>
                <w:sz w:val="20"/>
                <w:szCs w:val="20"/>
                <w:lang w:eastAsia="zh-CN"/>
              </w:rPr>
            </w:pPr>
            <w:r>
              <w:rPr>
                <w:bCs/>
                <w:color w:val="auto"/>
                <w:sz w:val="20"/>
                <w:szCs w:val="20"/>
                <w:lang w:eastAsia="zh-CN"/>
              </w:rPr>
              <w:t>重庆文化艺术职业学院</w:t>
            </w:r>
          </w:p>
        </w:tc>
      </w:tr>
      <w:tr w14:paraId="260C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7B1DA4F1">
            <w:pPr>
              <w:jc w:val="center"/>
              <w:rPr>
                <w:bCs/>
                <w:color w:val="auto"/>
                <w:sz w:val="20"/>
                <w:szCs w:val="20"/>
                <w:lang w:eastAsia="zh-CN"/>
              </w:rPr>
            </w:pPr>
          </w:p>
        </w:tc>
        <w:tc>
          <w:tcPr>
            <w:tcW w:w="2913" w:type="dxa"/>
            <w:tcBorders>
              <w:tl2br w:val="nil"/>
              <w:tr2bl w:val="nil"/>
            </w:tcBorders>
            <w:shd w:val="clear" w:color="auto" w:fill="FFFFFF"/>
            <w:noWrap/>
            <w:vAlign w:val="center"/>
          </w:tcPr>
          <w:p w14:paraId="3B4DA58A">
            <w:pPr>
              <w:jc w:val="center"/>
              <w:rPr>
                <w:bCs/>
                <w:color w:val="auto"/>
                <w:sz w:val="20"/>
                <w:szCs w:val="20"/>
                <w:lang w:eastAsia="zh-CN"/>
              </w:rPr>
            </w:pPr>
            <w:r>
              <w:rPr>
                <w:bCs/>
                <w:color w:val="auto"/>
                <w:sz w:val="20"/>
                <w:szCs w:val="20"/>
                <w:lang w:eastAsia="zh-CN"/>
              </w:rPr>
              <w:t>城市轨道交通车辆运用与检修</w:t>
            </w:r>
          </w:p>
        </w:tc>
        <w:tc>
          <w:tcPr>
            <w:tcW w:w="1545" w:type="dxa"/>
            <w:tcBorders>
              <w:tl2br w:val="nil"/>
              <w:tr2bl w:val="nil"/>
            </w:tcBorders>
            <w:shd w:val="clear" w:color="auto" w:fill="FFFFFF"/>
            <w:vAlign w:val="center"/>
          </w:tcPr>
          <w:p w14:paraId="2CD47FDE">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6F3A2E3A">
            <w:pPr>
              <w:jc w:val="center"/>
              <w:rPr>
                <w:bCs/>
                <w:color w:val="auto"/>
                <w:sz w:val="20"/>
                <w:szCs w:val="20"/>
                <w:lang w:eastAsia="zh-CN"/>
              </w:rPr>
            </w:pPr>
            <w:r>
              <w:rPr>
                <w:bCs/>
                <w:color w:val="auto"/>
                <w:sz w:val="20"/>
                <w:szCs w:val="20"/>
                <w:lang w:eastAsia="zh-CN"/>
              </w:rPr>
              <w:t>重庆交通职业学院</w:t>
            </w:r>
          </w:p>
        </w:tc>
      </w:tr>
      <w:tr w14:paraId="7675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457DF331">
            <w:pPr>
              <w:jc w:val="center"/>
              <w:rPr>
                <w:bCs/>
                <w:color w:val="auto"/>
                <w:sz w:val="20"/>
                <w:szCs w:val="20"/>
                <w:lang w:eastAsia="zh-CN"/>
              </w:rPr>
            </w:pPr>
          </w:p>
        </w:tc>
        <w:tc>
          <w:tcPr>
            <w:tcW w:w="2913" w:type="dxa"/>
            <w:tcBorders>
              <w:tl2br w:val="nil"/>
              <w:tr2bl w:val="nil"/>
            </w:tcBorders>
            <w:shd w:val="clear" w:color="auto" w:fill="FFFFFF"/>
            <w:noWrap/>
            <w:vAlign w:val="center"/>
          </w:tcPr>
          <w:p w14:paraId="0BE786CE">
            <w:pPr>
              <w:jc w:val="center"/>
              <w:rPr>
                <w:bCs/>
                <w:color w:val="auto"/>
                <w:sz w:val="20"/>
                <w:szCs w:val="20"/>
                <w:lang w:eastAsia="zh-CN"/>
              </w:rPr>
            </w:pPr>
            <w:r>
              <w:rPr>
                <w:bCs/>
                <w:color w:val="auto"/>
                <w:sz w:val="20"/>
                <w:szCs w:val="20"/>
                <w:lang w:eastAsia="zh-CN"/>
              </w:rPr>
              <w:t>物联网技术应用</w:t>
            </w:r>
          </w:p>
        </w:tc>
        <w:tc>
          <w:tcPr>
            <w:tcW w:w="1545" w:type="dxa"/>
            <w:tcBorders>
              <w:tl2br w:val="nil"/>
              <w:tr2bl w:val="nil"/>
            </w:tcBorders>
            <w:shd w:val="clear" w:color="auto" w:fill="FFFFFF"/>
            <w:vAlign w:val="center"/>
          </w:tcPr>
          <w:p w14:paraId="4C2B44CF">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32FB86FA">
            <w:pPr>
              <w:jc w:val="center"/>
              <w:rPr>
                <w:bCs/>
                <w:color w:val="auto"/>
                <w:sz w:val="20"/>
                <w:szCs w:val="20"/>
                <w:lang w:eastAsia="zh-CN"/>
              </w:rPr>
            </w:pPr>
            <w:r>
              <w:rPr>
                <w:bCs/>
                <w:color w:val="auto"/>
                <w:sz w:val="20"/>
                <w:szCs w:val="20"/>
                <w:lang w:eastAsia="zh-CN"/>
              </w:rPr>
              <w:t>重庆交通职业学院</w:t>
            </w:r>
          </w:p>
        </w:tc>
      </w:tr>
      <w:tr w14:paraId="0207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2516C955">
            <w:pPr>
              <w:jc w:val="center"/>
              <w:rPr>
                <w:bCs/>
                <w:color w:val="auto"/>
                <w:sz w:val="20"/>
                <w:szCs w:val="20"/>
                <w:lang w:eastAsia="zh-CN"/>
              </w:rPr>
            </w:pPr>
          </w:p>
        </w:tc>
        <w:tc>
          <w:tcPr>
            <w:tcW w:w="2913" w:type="dxa"/>
            <w:tcBorders>
              <w:tl2br w:val="nil"/>
              <w:tr2bl w:val="nil"/>
            </w:tcBorders>
            <w:shd w:val="clear" w:color="auto" w:fill="FFFFFF"/>
            <w:noWrap/>
            <w:vAlign w:val="center"/>
          </w:tcPr>
          <w:p w14:paraId="76367A26">
            <w:pPr>
              <w:jc w:val="center"/>
              <w:rPr>
                <w:bCs/>
                <w:color w:val="auto"/>
                <w:sz w:val="20"/>
                <w:szCs w:val="20"/>
                <w:lang w:eastAsia="zh-CN"/>
              </w:rPr>
            </w:pPr>
            <w:r>
              <w:rPr>
                <w:bCs/>
                <w:color w:val="auto"/>
                <w:sz w:val="20"/>
                <w:szCs w:val="20"/>
                <w:lang w:eastAsia="zh-CN"/>
              </w:rPr>
              <w:t>计算机应用</w:t>
            </w:r>
          </w:p>
        </w:tc>
        <w:tc>
          <w:tcPr>
            <w:tcW w:w="1545" w:type="dxa"/>
            <w:tcBorders>
              <w:tl2br w:val="nil"/>
              <w:tr2bl w:val="nil"/>
            </w:tcBorders>
            <w:shd w:val="clear" w:color="auto" w:fill="FFFFFF"/>
            <w:vAlign w:val="center"/>
          </w:tcPr>
          <w:p w14:paraId="22F8ED75">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42BA597A">
            <w:pPr>
              <w:jc w:val="center"/>
              <w:rPr>
                <w:bCs/>
                <w:color w:val="auto"/>
                <w:sz w:val="20"/>
                <w:szCs w:val="20"/>
                <w:lang w:eastAsia="zh-CN"/>
              </w:rPr>
            </w:pPr>
            <w:r>
              <w:rPr>
                <w:bCs/>
                <w:color w:val="auto"/>
                <w:sz w:val="20"/>
                <w:szCs w:val="20"/>
                <w:lang w:eastAsia="zh-CN"/>
              </w:rPr>
              <w:t>重庆交通职业学院</w:t>
            </w:r>
          </w:p>
        </w:tc>
      </w:tr>
      <w:tr w14:paraId="450C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71A46663">
            <w:pPr>
              <w:jc w:val="center"/>
              <w:rPr>
                <w:bCs/>
                <w:color w:val="auto"/>
                <w:sz w:val="20"/>
                <w:szCs w:val="20"/>
                <w:lang w:eastAsia="zh-CN"/>
              </w:rPr>
            </w:pPr>
          </w:p>
        </w:tc>
        <w:tc>
          <w:tcPr>
            <w:tcW w:w="2913" w:type="dxa"/>
            <w:tcBorders>
              <w:tl2br w:val="nil"/>
              <w:tr2bl w:val="nil"/>
            </w:tcBorders>
            <w:shd w:val="clear" w:color="auto" w:fill="FFFFFF"/>
            <w:noWrap/>
            <w:vAlign w:val="center"/>
          </w:tcPr>
          <w:p w14:paraId="4AF8C8AC">
            <w:pPr>
              <w:jc w:val="center"/>
              <w:rPr>
                <w:bCs/>
                <w:color w:val="auto"/>
                <w:sz w:val="20"/>
                <w:szCs w:val="20"/>
                <w:lang w:eastAsia="zh-CN"/>
              </w:rPr>
            </w:pPr>
            <w:r>
              <w:rPr>
                <w:bCs/>
                <w:color w:val="auto"/>
                <w:sz w:val="20"/>
                <w:szCs w:val="20"/>
                <w:lang w:eastAsia="zh-CN"/>
              </w:rPr>
              <w:t>大数据技术应用</w:t>
            </w:r>
          </w:p>
        </w:tc>
        <w:tc>
          <w:tcPr>
            <w:tcW w:w="1545" w:type="dxa"/>
            <w:tcBorders>
              <w:tl2br w:val="nil"/>
              <w:tr2bl w:val="nil"/>
            </w:tcBorders>
            <w:shd w:val="clear" w:color="auto" w:fill="FFFFFF"/>
            <w:vAlign w:val="center"/>
          </w:tcPr>
          <w:p w14:paraId="45373DD5">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734BFBED">
            <w:pPr>
              <w:jc w:val="center"/>
              <w:rPr>
                <w:bCs/>
                <w:color w:val="auto"/>
                <w:sz w:val="20"/>
                <w:szCs w:val="20"/>
                <w:lang w:eastAsia="zh-CN"/>
              </w:rPr>
            </w:pPr>
            <w:r>
              <w:rPr>
                <w:bCs/>
                <w:color w:val="auto"/>
                <w:sz w:val="20"/>
                <w:szCs w:val="20"/>
                <w:lang w:eastAsia="zh-CN"/>
              </w:rPr>
              <w:t>重庆交通职业学院</w:t>
            </w:r>
          </w:p>
        </w:tc>
      </w:tr>
      <w:tr w14:paraId="0558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136FA0E9">
            <w:pPr>
              <w:jc w:val="center"/>
              <w:rPr>
                <w:bCs/>
                <w:color w:val="auto"/>
                <w:sz w:val="20"/>
                <w:szCs w:val="20"/>
                <w:lang w:eastAsia="zh-CN"/>
              </w:rPr>
            </w:pPr>
          </w:p>
        </w:tc>
        <w:tc>
          <w:tcPr>
            <w:tcW w:w="2913" w:type="dxa"/>
            <w:tcBorders>
              <w:tl2br w:val="nil"/>
              <w:tr2bl w:val="nil"/>
            </w:tcBorders>
            <w:shd w:val="clear" w:color="auto" w:fill="FFFFFF"/>
            <w:noWrap/>
            <w:vAlign w:val="center"/>
          </w:tcPr>
          <w:p w14:paraId="3C7CD7AC">
            <w:pPr>
              <w:jc w:val="center"/>
              <w:rPr>
                <w:bCs/>
                <w:color w:val="auto"/>
                <w:sz w:val="20"/>
                <w:szCs w:val="20"/>
                <w:lang w:eastAsia="zh-CN"/>
              </w:rPr>
            </w:pPr>
            <w:r>
              <w:rPr>
                <w:bCs/>
                <w:color w:val="auto"/>
                <w:sz w:val="20"/>
                <w:szCs w:val="20"/>
                <w:lang w:eastAsia="zh-CN"/>
              </w:rPr>
              <w:t>婴幼儿托育</w:t>
            </w:r>
          </w:p>
        </w:tc>
        <w:tc>
          <w:tcPr>
            <w:tcW w:w="1545" w:type="dxa"/>
            <w:tcBorders>
              <w:tl2br w:val="nil"/>
              <w:tr2bl w:val="nil"/>
            </w:tcBorders>
            <w:shd w:val="clear" w:color="auto" w:fill="FFFFFF"/>
            <w:vAlign w:val="center"/>
          </w:tcPr>
          <w:p w14:paraId="1C6AB0D6">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440EC2EE">
            <w:pPr>
              <w:jc w:val="center"/>
              <w:rPr>
                <w:bCs/>
                <w:color w:val="auto"/>
                <w:sz w:val="20"/>
                <w:szCs w:val="20"/>
                <w:lang w:eastAsia="zh-CN"/>
              </w:rPr>
            </w:pPr>
            <w:r>
              <w:rPr>
                <w:bCs/>
                <w:color w:val="auto"/>
                <w:sz w:val="20"/>
                <w:szCs w:val="20"/>
                <w:lang w:eastAsia="zh-CN"/>
              </w:rPr>
              <w:t>重庆交通职业学院</w:t>
            </w:r>
          </w:p>
        </w:tc>
      </w:tr>
      <w:tr w14:paraId="066D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4248DFD6">
            <w:pPr>
              <w:jc w:val="center"/>
              <w:rPr>
                <w:bCs/>
                <w:color w:val="auto"/>
                <w:sz w:val="20"/>
                <w:szCs w:val="20"/>
                <w:lang w:eastAsia="zh-CN"/>
              </w:rPr>
            </w:pPr>
          </w:p>
        </w:tc>
        <w:tc>
          <w:tcPr>
            <w:tcW w:w="2913" w:type="dxa"/>
            <w:tcBorders>
              <w:tl2br w:val="nil"/>
              <w:tr2bl w:val="nil"/>
            </w:tcBorders>
            <w:shd w:val="clear" w:color="auto" w:fill="FFFFFF"/>
            <w:noWrap/>
            <w:vAlign w:val="center"/>
          </w:tcPr>
          <w:p w14:paraId="00BFDACE">
            <w:pPr>
              <w:jc w:val="center"/>
              <w:rPr>
                <w:bCs/>
                <w:color w:val="auto"/>
                <w:sz w:val="20"/>
                <w:szCs w:val="20"/>
                <w:lang w:eastAsia="zh-CN"/>
              </w:rPr>
            </w:pPr>
            <w:r>
              <w:rPr>
                <w:bCs/>
                <w:color w:val="auto"/>
                <w:sz w:val="20"/>
                <w:szCs w:val="20"/>
                <w:lang w:eastAsia="zh-CN"/>
              </w:rPr>
              <w:t>会计事务</w:t>
            </w:r>
          </w:p>
        </w:tc>
        <w:tc>
          <w:tcPr>
            <w:tcW w:w="1545" w:type="dxa"/>
            <w:tcBorders>
              <w:tl2br w:val="nil"/>
              <w:tr2bl w:val="nil"/>
            </w:tcBorders>
            <w:shd w:val="clear" w:color="auto" w:fill="FFFFFF"/>
            <w:vAlign w:val="center"/>
          </w:tcPr>
          <w:p w14:paraId="5B39BDF1">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5138ADBA">
            <w:pPr>
              <w:jc w:val="center"/>
              <w:rPr>
                <w:bCs/>
                <w:color w:val="auto"/>
                <w:sz w:val="20"/>
                <w:szCs w:val="20"/>
                <w:lang w:eastAsia="zh-CN"/>
              </w:rPr>
            </w:pPr>
            <w:r>
              <w:rPr>
                <w:bCs/>
                <w:color w:val="auto"/>
                <w:sz w:val="20"/>
                <w:szCs w:val="20"/>
                <w:lang w:eastAsia="zh-CN"/>
              </w:rPr>
              <w:t>重庆工业职业技术学院</w:t>
            </w:r>
          </w:p>
        </w:tc>
      </w:tr>
      <w:tr w14:paraId="7A2B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36FDBC24">
            <w:pPr>
              <w:jc w:val="center"/>
              <w:rPr>
                <w:bCs/>
                <w:color w:val="auto"/>
                <w:sz w:val="20"/>
                <w:szCs w:val="20"/>
                <w:lang w:eastAsia="zh-CN"/>
              </w:rPr>
            </w:pPr>
          </w:p>
        </w:tc>
        <w:tc>
          <w:tcPr>
            <w:tcW w:w="2913" w:type="dxa"/>
            <w:tcBorders>
              <w:tl2br w:val="nil"/>
              <w:tr2bl w:val="nil"/>
            </w:tcBorders>
            <w:shd w:val="clear" w:color="auto" w:fill="FFFFFF"/>
            <w:noWrap/>
            <w:vAlign w:val="center"/>
          </w:tcPr>
          <w:p w14:paraId="3F278AEB">
            <w:pPr>
              <w:jc w:val="center"/>
              <w:rPr>
                <w:bCs/>
                <w:color w:val="auto"/>
                <w:sz w:val="20"/>
                <w:szCs w:val="20"/>
                <w:lang w:eastAsia="zh-CN"/>
              </w:rPr>
            </w:pPr>
            <w:r>
              <w:rPr>
                <w:bCs/>
                <w:color w:val="auto"/>
                <w:sz w:val="20"/>
                <w:szCs w:val="20"/>
                <w:lang w:eastAsia="zh-CN"/>
              </w:rPr>
              <w:t>电子商务</w:t>
            </w:r>
          </w:p>
        </w:tc>
        <w:tc>
          <w:tcPr>
            <w:tcW w:w="1545" w:type="dxa"/>
            <w:tcBorders>
              <w:tl2br w:val="nil"/>
              <w:tr2bl w:val="nil"/>
            </w:tcBorders>
            <w:shd w:val="clear" w:color="auto" w:fill="FFFFFF"/>
            <w:vAlign w:val="center"/>
          </w:tcPr>
          <w:p w14:paraId="6B092B0A">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59C51E62">
            <w:pPr>
              <w:jc w:val="center"/>
              <w:rPr>
                <w:bCs/>
                <w:color w:val="auto"/>
                <w:sz w:val="20"/>
                <w:szCs w:val="20"/>
                <w:lang w:eastAsia="zh-CN"/>
              </w:rPr>
            </w:pPr>
            <w:r>
              <w:rPr>
                <w:bCs/>
                <w:color w:val="auto"/>
                <w:sz w:val="20"/>
                <w:szCs w:val="20"/>
                <w:lang w:eastAsia="zh-CN"/>
              </w:rPr>
              <w:t>重庆交通职业学院</w:t>
            </w:r>
          </w:p>
        </w:tc>
      </w:tr>
      <w:tr w14:paraId="7A7F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7364256C">
            <w:pPr>
              <w:jc w:val="center"/>
              <w:rPr>
                <w:bCs/>
                <w:color w:val="auto"/>
                <w:sz w:val="20"/>
                <w:szCs w:val="20"/>
                <w:lang w:eastAsia="zh-CN"/>
              </w:rPr>
            </w:pPr>
          </w:p>
        </w:tc>
        <w:tc>
          <w:tcPr>
            <w:tcW w:w="2913" w:type="dxa"/>
            <w:tcBorders>
              <w:tl2br w:val="nil"/>
              <w:tr2bl w:val="nil"/>
            </w:tcBorders>
            <w:shd w:val="clear" w:color="auto" w:fill="FFFFFF"/>
            <w:noWrap/>
            <w:vAlign w:val="center"/>
          </w:tcPr>
          <w:p w14:paraId="63FC8E74">
            <w:pPr>
              <w:jc w:val="center"/>
              <w:rPr>
                <w:bCs/>
                <w:color w:val="auto"/>
                <w:sz w:val="20"/>
                <w:szCs w:val="20"/>
                <w:lang w:eastAsia="zh-CN"/>
              </w:rPr>
            </w:pPr>
            <w:r>
              <w:rPr>
                <w:bCs/>
                <w:color w:val="auto"/>
                <w:sz w:val="20"/>
                <w:szCs w:val="20"/>
                <w:lang w:eastAsia="zh-CN"/>
              </w:rPr>
              <w:t>旅游服务与管理</w:t>
            </w:r>
          </w:p>
        </w:tc>
        <w:tc>
          <w:tcPr>
            <w:tcW w:w="1545" w:type="dxa"/>
            <w:tcBorders>
              <w:tl2br w:val="nil"/>
              <w:tr2bl w:val="nil"/>
            </w:tcBorders>
            <w:shd w:val="clear" w:color="auto" w:fill="FFFFFF"/>
            <w:vAlign w:val="center"/>
          </w:tcPr>
          <w:p w14:paraId="6AF1D978">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5B30CEEC">
            <w:pPr>
              <w:jc w:val="center"/>
              <w:rPr>
                <w:bCs/>
                <w:color w:val="auto"/>
                <w:sz w:val="20"/>
                <w:szCs w:val="20"/>
                <w:lang w:eastAsia="zh-CN"/>
              </w:rPr>
            </w:pPr>
            <w:r>
              <w:rPr>
                <w:bCs/>
                <w:color w:val="auto"/>
                <w:sz w:val="20"/>
                <w:szCs w:val="20"/>
                <w:lang w:eastAsia="zh-CN"/>
              </w:rPr>
              <w:t>重庆工程职业技术学院</w:t>
            </w:r>
          </w:p>
        </w:tc>
      </w:tr>
      <w:tr w14:paraId="47E0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78A88184">
            <w:pPr>
              <w:jc w:val="center"/>
              <w:rPr>
                <w:bCs/>
                <w:color w:val="auto"/>
                <w:sz w:val="20"/>
                <w:szCs w:val="20"/>
                <w:lang w:eastAsia="zh-CN"/>
              </w:rPr>
            </w:pPr>
          </w:p>
        </w:tc>
        <w:tc>
          <w:tcPr>
            <w:tcW w:w="2913" w:type="dxa"/>
            <w:tcBorders>
              <w:tl2br w:val="nil"/>
              <w:tr2bl w:val="nil"/>
            </w:tcBorders>
            <w:shd w:val="clear" w:color="auto" w:fill="FFFFFF"/>
            <w:noWrap/>
            <w:vAlign w:val="center"/>
          </w:tcPr>
          <w:p w14:paraId="737DAE72">
            <w:pPr>
              <w:jc w:val="center"/>
              <w:rPr>
                <w:bCs/>
                <w:color w:val="auto"/>
                <w:sz w:val="20"/>
                <w:szCs w:val="20"/>
                <w:lang w:eastAsia="zh-CN"/>
              </w:rPr>
            </w:pPr>
            <w:r>
              <w:rPr>
                <w:bCs/>
                <w:color w:val="auto"/>
                <w:sz w:val="20"/>
                <w:szCs w:val="20"/>
                <w:lang w:eastAsia="zh-CN"/>
              </w:rPr>
              <w:t>中餐烹饪</w:t>
            </w:r>
          </w:p>
        </w:tc>
        <w:tc>
          <w:tcPr>
            <w:tcW w:w="1545" w:type="dxa"/>
            <w:tcBorders>
              <w:tl2br w:val="nil"/>
              <w:tr2bl w:val="nil"/>
            </w:tcBorders>
            <w:shd w:val="clear" w:color="auto" w:fill="FFFFFF"/>
            <w:vAlign w:val="center"/>
          </w:tcPr>
          <w:p w14:paraId="379A313E">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315FEBAB">
            <w:pPr>
              <w:jc w:val="center"/>
              <w:rPr>
                <w:bCs/>
                <w:color w:val="auto"/>
                <w:sz w:val="20"/>
                <w:szCs w:val="20"/>
                <w:lang w:eastAsia="zh-CN"/>
              </w:rPr>
            </w:pPr>
            <w:r>
              <w:rPr>
                <w:bCs/>
                <w:color w:val="auto"/>
                <w:sz w:val="20"/>
                <w:szCs w:val="20"/>
                <w:lang w:eastAsia="zh-CN"/>
              </w:rPr>
              <w:t>重庆交通职业学院</w:t>
            </w:r>
          </w:p>
        </w:tc>
      </w:tr>
      <w:tr w14:paraId="6975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17D64835">
            <w:pPr>
              <w:jc w:val="center"/>
              <w:rPr>
                <w:bCs/>
                <w:color w:val="auto"/>
                <w:sz w:val="20"/>
                <w:szCs w:val="20"/>
                <w:lang w:eastAsia="zh-CN"/>
              </w:rPr>
            </w:pPr>
          </w:p>
        </w:tc>
        <w:tc>
          <w:tcPr>
            <w:tcW w:w="2913" w:type="dxa"/>
            <w:tcBorders>
              <w:tl2br w:val="nil"/>
              <w:tr2bl w:val="nil"/>
            </w:tcBorders>
            <w:shd w:val="clear" w:color="auto" w:fill="FFFFFF"/>
            <w:noWrap/>
            <w:vAlign w:val="center"/>
          </w:tcPr>
          <w:p w14:paraId="129CCB02">
            <w:pPr>
              <w:jc w:val="center"/>
              <w:rPr>
                <w:bCs/>
                <w:color w:val="auto"/>
                <w:sz w:val="20"/>
                <w:szCs w:val="20"/>
                <w:lang w:eastAsia="zh-CN"/>
              </w:rPr>
            </w:pPr>
            <w:r>
              <w:rPr>
                <w:bCs/>
                <w:color w:val="auto"/>
                <w:sz w:val="20"/>
                <w:szCs w:val="20"/>
                <w:lang w:eastAsia="zh-CN"/>
              </w:rPr>
              <w:t>艺术设计与制作</w:t>
            </w:r>
          </w:p>
        </w:tc>
        <w:tc>
          <w:tcPr>
            <w:tcW w:w="1545" w:type="dxa"/>
            <w:tcBorders>
              <w:tl2br w:val="nil"/>
              <w:tr2bl w:val="nil"/>
            </w:tcBorders>
            <w:shd w:val="clear" w:color="auto" w:fill="FFFFFF"/>
            <w:vAlign w:val="center"/>
          </w:tcPr>
          <w:p w14:paraId="2424D695">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3448D737">
            <w:pPr>
              <w:jc w:val="center"/>
              <w:rPr>
                <w:bCs/>
                <w:color w:val="auto"/>
                <w:sz w:val="20"/>
                <w:szCs w:val="20"/>
                <w:lang w:eastAsia="zh-CN"/>
              </w:rPr>
            </w:pPr>
            <w:r>
              <w:rPr>
                <w:bCs/>
                <w:color w:val="auto"/>
                <w:sz w:val="20"/>
                <w:szCs w:val="20"/>
                <w:lang w:eastAsia="zh-CN"/>
              </w:rPr>
              <w:t>重庆能源职业学院</w:t>
            </w:r>
          </w:p>
        </w:tc>
      </w:tr>
      <w:tr w14:paraId="110F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4D2356E1">
            <w:pPr>
              <w:jc w:val="center"/>
              <w:rPr>
                <w:bCs/>
                <w:color w:val="auto"/>
                <w:sz w:val="20"/>
                <w:szCs w:val="20"/>
                <w:lang w:eastAsia="zh-CN"/>
              </w:rPr>
            </w:pPr>
          </w:p>
        </w:tc>
        <w:tc>
          <w:tcPr>
            <w:tcW w:w="2913" w:type="dxa"/>
            <w:tcBorders>
              <w:tl2br w:val="nil"/>
              <w:tr2bl w:val="nil"/>
            </w:tcBorders>
            <w:shd w:val="clear" w:color="auto" w:fill="FFFFFF"/>
            <w:noWrap/>
            <w:vAlign w:val="center"/>
          </w:tcPr>
          <w:p w14:paraId="5FC8CF47">
            <w:pPr>
              <w:jc w:val="center"/>
              <w:rPr>
                <w:bCs/>
                <w:color w:val="auto"/>
                <w:sz w:val="20"/>
                <w:szCs w:val="20"/>
                <w:lang w:eastAsia="zh-CN"/>
              </w:rPr>
            </w:pPr>
            <w:r>
              <w:rPr>
                <w:bCs/>
                <w:color w:val="auto"/>
                <w:sz w:val="20"/>
                <w:szCs w:val="20"/>
                <w:lang w:eastAsia="zh-CN"/>
              </w:rPr>
              <w:t>数字影像技术</w:t>
            </w:r>
          </w:p>
        </w:tc>
        <w:tc>
          <w:tcPr>
            <w:tcW w:w="1545" w:type="dxa"/>
            <w:tcBorders>
              <w:tl2br w:val="nil"/>
              <w:tr2bl w:val="nil"/>
            </w:tcBorders>
            <w:shd w:val="clear" w:color="auto" w:fill="FFFFFF"/>
            <w:vAlign w:val="center"/>
          </w:tcPr>
          <w:p w14:paraId="35C4B2F5">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56122483">
            <w:pPr>
              <w:jc w:val="center"/>
              <w:rPr>
                <w:bCs/>
                <w:color w:val="auto"/>
                <w:sz w:val="20"/>
                <w:szCs w:val="20"/>
                <w:lang w:eastAsia="zh-CN"/>
              </w:rPr>
            </w:pPr>
            <w:r>
              <w:rPr>
                <w:bCs/>
                <w:color w:val="auto"/>
                <w:sz w:val="20"/>
                <w:szCs w:val="20"/>
                <w:lang w:eastAsia="zh-CN"/>
              </w:rPr>
              <w:t>重庆交通职业学院</w:t>
            </w:r>
          </w:p>
        </w:tc>
      </w:tr>
      <w:tr w14:paraId="4F7A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20C6F50D">
            <w:pPr>
              <w:jc w:val="center"/>
              <w:rPr>
                <w:bCs/>
                <w:color w:val="auto"/>
                <w:sz w:val="20"/>
                <w:szCs w:val="20"/>
                <w:lang w:eastAsia="zh-CN"/>
              </w:rPr>
            </w:pPr>
          </w:p>
        </w:tc>
        <w:tc>
          <w:tcPr>
            <w:tcW w:w="2913" w:type="dxa"/>
            <w:tcBorders>
              <w:tl2br w:val="nil"/>
              <w:tr2bl w:val="nil"/>
            </w:tcBorders>
            <w:shd w:val="clear" w:color="auto" w:fill="FFFFFF"/>
            <w:noWrap/>
            <w:vAlign w:val="center"/>
          </w:tcPr>
          <w:p w14:paraId="0BB3C566">
            <w:pPr>
              <w:jc w:val="center"/>
              <w:rPr>
                <w:bCs/>
                <w:color w:val="auto"/>
                <w:sz w:val="20"/>
                <w:szCs w:val="20"/>
                <w:lang w:eastAsia="zh-CN"/>
              </w:rPr>
            </w:pPr>
            <w:r>
              <w:rPr>
                <w:bCs/>
                <w:color w:val="auto"/>
                <w:sz w:val="20"/>
                <w:szCs w:val="20"/>
                <w:lang w:eastAsia="zh-CN"/>
              </w:rPr>
              <w:t>幼儿保育</w:t>
            </w:r>
          </w:p>
        </w:tc>
        <w:tc>
          <w:tcPr>
            <w:tcW w:w="1545" w:type="dxa"/>
            <w:tcBorders>
              <w:tl2br w:val="nil"/>
              <w:tr2bl w:val="nil"/>
            </w:tcBorders>
            <w:shd w:val="clear" w:color="auto" w:fill="FFFFFF"/>
            <w:vAlign w:val="center"/>
          </w:tcPr>
          <w:p w14:paraId="0AA88D16">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7F392CDA">
            <w:pPr>
              <w:jc w:val="center"/>
              <w:rPr>
                <w:bCs/>
                <w:color w:val="auto"/>
                <w:sz w:val="20"/>
                <w:szCs w:val="20"/>
                <w:lang w:eastAsia="zh-CN"/>
              </w:rPr>
            </w:pPr>
            <w:r>
              <w:rPr>
                <w:bCs/>
                <w:color w:val="auto"/>
                <w:sz w:val="20"/>
                <w:szCs w:val="20"/>
                <w:lang w:eastAsia="zh-CN"/>
              </w:rPr>
              <w:t>重庆交通职业学院</w:t>
            </w:r>
          </w:p>
        </w:tc>
      </w:tr>
      <w:tr w14:paraId="0DB3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2D585E1E">
            <w:pPr>
              <w:jc w:val="center"/>
              <w:rPr>
                <w:bCs/>
                <w:color w:val="auto"/>
                <w:sz w:val="20"/>
                <w:szCs w:val="20"/>
                <w:lang w:eastAsia="zh-CN"/>
              </w:rPr>
            </w:pPr>
          </w:p>
        </w:tc>
        <w:tc>
          <w:tcPr>
            <w:tcW w:w="2913" w:type="dxa"/>
            <w:tcBorders>
              <w:tl2br w:val="nil"/>
              <w:tr2bl w:val="nil"/>
            </w:tcBorders>
            <w:shd w:val="clear" w:color="auto" w:fill="FFFFFF"/>
            <w:noWrap/>
            <w:vAlign w:val="center"/>
          </w:tcPr>
          <w:p w14:paraId="321F6663">
            <w:pPr>
              <w:jc w:val="center"/>
              <w:rPr>
                <w:bCs/>
                <w:color w:val="auto"/>
                <w:sz w:val="20"/>
                <w:szCs w:val="20"/>
                <w:lang w:eastAsia="zh-CN"/>
              </w:rPr>
            </w:pPr>
            <w:r>
              <w:rPr>
                <w:bCs/>
                <w:color w:val="auto"/>
                <w:sz w:val="20"/>
                <w:szCs w:val="20"/>
                <w:lang w:eastAsia="zh-CN"/>
              </w:rPr>
              <w:t>新能源汽车运用与维修</w:t>
            </w:r>
          </w:p>
        </w:tc>
        <w:tc>
          <w:tcPr>
            <w:tcW w:w="1545" w:type="dxa"/>
            <w:tcBorders>
              <w:tl2br w:val="nil"/>
              <w:tr2bl w:val="nil"/>
            </w:tcBorders>
            <w:shd w:val="clear" w:color="auto" w:fill="FFFFFF"/>
            <w:vAlign w:val="center"/>
          </w:tcPr>
          <w:p w14:paraId="79A7B45C">
            <w:pPr>
              <w:jc w:val="center"/>
              <w:rPr>
                <w:bCs/>
                <w:color w:val="auto"/>
                <w:sz w:val="20"/>
                <w:szCs w:val="20"/>
                <w:lang w:eastAsia="zh-CN"/>
              </w:rPr>
            </w:pPr>
            <w:r>
              <w:rPr>
                <w:bCs/>
                <w:color w:val="auto"/>
                <w:sz w:val="20"/>
                <w:szCs w:val="20"/>
                <w:lang w:eastAsia="zh-CN"/>
              </w:rPr>
              <w:t>中本3+4</w:t>
            </w:r>
          </w:p>
        </w:tc>
        <w:tc>
          <w:tcPr>
            <w:tcW w:w="2712" w:type="dxa"/>
            <w:tcBorders>
              <w:tl2br w:val="nil"/>
              <w:tr2bl w:val="nil"/>
            </w:tcBorders>
            <w:shd w:val="clear" w:color="auto" w:fill="FFFFFF"/>
            <w:vAlign w:val="center"/>
          </w:tcPr>
          <w:p w14:paraId="31BF29CE">
            <w:pPr>
              <w:jc w:val="center"/>
              <w:rPr>
                <w:bCs/>
                <w:color w:val="auto"/>
                <w:sz w:val="20"/>
                <w:szCs w:val="20"/>
                <w:lang w:eastAsia="zh-CN"/>
              </w:rPr>
            </w:pPr>
            <w:r>
              <w:rPr>
                <w:bCs/>
                <w:color w:val="auto"/>
                <w:sz w:val="20"/>
                <w:szCs w:val="20"/>
                <w:lang w:eastAsia="zh-CN"/>
              </w:rPr>
              <w:t>重庆移通学院</w:t>
            </w:r>
          </w:p>
        </w:tc>
      </w:tr>
      <w:tr w14:paraId="0B8E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restart"/>
            <w:tcBorders>
              <w:tl2br w:val="nil"/>
              <w:tr2bl w:val="nil"/>
            </w:tcBorders>
            <w:shd w:val="clear" w:color="auto" w:fill="FFFFFF"/>
            <w:noWrap/>
            <w:vAlign w:val="center"/>
          </w:tcPr>
          <w:p w14:paraId="3BF76713">
            <w:pPr>
              <w:jc w:val="center"/>
              <w:rPr>
                <w:bCs/>
                <w:color w:val="auto"/>
                <w:sz w:val="20"/>
                <w:szCs w:val="20"/>
                <w:lang w:eastAsia="zh-CN"/>
              </w:rPr>
            </w:pPr>
            <w:r>
              <w:rPr>
                <w:rFonts w:hint="eastAsia"/>
                <w:bCs/>
                <w:color w:val="auto"/>
                <w:sz w:val="20"/>
                <w:szCs w:val="20"/>
                <w:lang w:eastAsia="zh-CN"/>
              </w:rPr>
              <w:t>重庆市工艺美术学校</w:t>
            </w:r>
          </w:p>
        </w:tc>
        <w:tc>
          <w:tcPr>
            <w:tcW w:w="2913" w:type="dxa"/>
            <w:tcBorders>
              <w:tl2br w:val="nil"/>
              <w:tr2bl w:val="nil"/>
            </w:tcBorders>
            <w:shd w:val="clear" w:color="auto" w:fill="FFFFFF"/>
            <w:noWrap/>
            <w:vAlign w:val="center"/>
          </w:tcPr>
          <w:p w14:paraId="1D3A2563">
            <w:pPr>
              <w:jc w:val="center"/>
              <w:rPr>
                <w:bCs/>
                <w:color w:val="auto"/>
                <w:sz w:val="20"/>
                <w:szCs w:val="20"/>
                <w:lang w:eastAsia="zh-CN"/>
              </w:rPr>
            </w:pPr>
            <w:r>
              <w:rPr>
                <w:bCs/>
                <w:color w:val="auto"/>
                <w:sz w:val="20"/>
                <w:szCs w:val="20"/>
              </w:rPr>
              <w:t>工艺美术</w:t>
            </w:r>
          </w:p>
        </w:tc>
        <w:tc>
          <w:tcPr>
            <w:tcW w:w="1545" w:type="dxa"/>
            <w:tcBorders>
              <w:tl2br w:val="nil"/>
              <w:tr2bl w:val="nil"/>
            </w:tcBorders>
            <w:shd w:val="clear" w:color="auto" w:fill="FFFFFF"/>
            <w:vAlign w:val="center"/>
          </w:tcPr>
          <w:p w14:paraId="5AB90681">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073B5DE8">
            <w:pPr>
              <w:jc w:val="center"/>
              <w:rPr>
                <w:bCs/>
                <w:color w:val="auto"/>
                <w:sz w:val="20"/>
                <w:szCs w:val="20"/>
                <w:lang w:eastAsia="zh-CN"/>
              </w:rPr>
            </w:pPr>
            <w:r>
              <w:rPr>
                <w:bCs/>
                <w:color w:val="auto"/>
                <w:sz w:val="20"/>
                <w:szCs w:val="20"/>
                <w:lang w:eastAsia="zh-CN"/>
              </w:rPr>
              <w:t>重庆工业职业技术学院</w:t>
            </w:r>
          </w:p>
        </w:tc>
      </w:tr>
      <w:tr w14:paraId="66C1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6993D873">
            <w:pPr>
              <w:jc w:val="center"/>
              <w:rPr>
                <w:bCs/>
                <w:color w:val="auto"/>
                <w:sz w:val="20"/>
                <w:szCs w:val="20"/>
                <w:lang w:eastAsia="zh-CN"/>
              </w:rPr>
            </w:pPr>
          </w:p>
        </w:tc>
        <w:tc>
          <w:tcPr>
            <w:tcW w:w="2913" w:type="dxa"/>
            <w:tcBorders>
              <w:tl2br w:val="nil"/>
              <w:tr2bl w:val="nil"/>
            </w:tcBorders>
            <w:shd w:val="clear" w:color="auto" w:fill="FFFFFF"/>
            <w:noWrap/>
            <w:vAlign w:val="center"/>
          </w:tcPr>
          <w:p w14:paraId="67E3AE5C">
            <w:pPr>
              <w:jc w:val="center"/>
              <w:rPr>
                <w:bCs/>
                <w:color w:val="auto"/>
                <w:sz w:val="20"/>
                <w:szCs w:val="20"/>
                <w:lang w:eastAsia="zh-CN"/>
              </w:rPr>
            </w:pPr>
            <w:r>
              <w:rPr>
                <w:bCs/>
                <w:color w:val="auto"/>
                <w:sz w:val="20"/>
                <w:szCs w:val="20"/>
              </w:rPr>
              <w:t>艺术设计与制作</w:t>
            </w:r>
          </w:p>
        </w:tc>
        <w:tc>
          <w:tcPr>
            <w:tcW w:w="1545" w:type="dxa"/>
            <w:tcBorders>
              <w:tl2br w:val="nil"/>
              <w:tr2bl w:val="nil"/>
            </w:tcBorders>
            <w:shd w:val="clear" w:color="auto" w:fill="FFFFFF"/>
            <w:vAlign w:val="center"/>
          </w:tcPr>
          <w:p w14:paraId="24A4DF8F">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64212625">
            <w:pPr>
              <w:jc w:val="center"/>
              <w:rPr>
                <w:bCs/>
                <w:color w:val="auto"/>
                <w:sz w:val="20"/>
                <w:szCs w:val="20"/>
                <w:lang w:eastAsia="zh-CN"/>
              </w:rPr>
            </w:pPr>
            <w:r>
              <w:rPr>
                <w:bCs/>
                <w:color w:val="auto"/>
                <w:sz w:val="20"/>
                <w:szCs w:val="20"/>
                <w:lang w:eastAsia="zh-CN"/>
              </w:rPr>
              <w:t>重庆工业职业技术学院</w:t>
            </w:r>
          </w:p>
        </w:tc>
      </w:tr>
      <w:tr w14:paraId="3826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226522F1">
            <w:pPr>
              <w:jc w:val="center"/>
              <w:rPr>
                <w:bCs/>
                <w:color w:val="auto"/>
                <w:sz w:val="20"/>
                <w:szCs w:val="20"/>
                <w:lang w:eastAsia="zh-CN"/>
              </w:rPr>
            </w:pPr>
          </w:p>
        </w:tc>
        <w:tc>
          <w:tcPr>
            <w:tcW w:w="2913" w:type="dxa"/>
            <w:tcBorders>
              <w:tl2br w:val="nil"/>
              <w:tr2bl w:val="nil"/>
            </w:tcBorders>
            <w:shd w:val="clear" w:color="auto" w:fill="FFFFFF"/>
            <w:noWrap/>
            <w:vAlign w:val="center"/>
          </w:tcPr>
          <w:p w14:paraId="1CFA4E65">
            <w:pPr>
              <w:jc w:val="center"/>
              <w:rPr>
                <w:bCs/>
                <w:color w:val="auto"/>
                <w:sz w:val="20"/>
                <w:szCs w:val="20"/>
                <w:lang w:eastAsia="zh-CN"/>
              </w:rPr>
            </w:pPr>
            <w:r>
              <w:rPr>
                <w:bCs/>
                <w:color w:val="auto"/>
                <w:sz w:val="20"/>
                <w:szCs w:val="20"/>
              </w:rPr>
              <w:t>动漫与游戏制作</w:t>
            </w:r>
          </w:p>
        </w:tc>
        <w:tc>
          <w:tcPr>
            <w:tcW w:w="1545" w:type="dxa"/>
            <w:tcBorders>
              <w:tl2br w:val="nil"/>
              <w:tr2bl w:val="nil"/>
            </w:tcBorders>
            <w:shd w:val="clear" w:color="auto" w:fill="FFFFFF"/>
            <w:vAlign w:val="center"/>
          </w:tcPr>
          <w:p w14:paraId="499E402C">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5710BCC3">
            <w:pPr>
              <w:jc w:val="center"/>
              <w:rPr>
                <w:bCs/>
                <w:color w:val="auto"/>
                <w:sz w:val="20"/>
                <w:szCs w:val="20"/>
                <w:lang w:eastAsia="zh-CN"/>
              </w:rPr>
            </w:pPr>
            <w:r>
              <w:rPr>
                <w:bCs/>
                <w:color w:val="auto"/>
                <w:sz w:val="20"/>
                <w:szCs w:val="20"/>
                <w:lang w:eastAsia="zh-CN"/>
              </w:rPr>
              <w:t>重庆电子科技职业大学</w:t>
            </w:r>
          </w:p>
        </w:tc>
      </w:tr>
      <w:tr w14:paraId="7567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34CE5694">
            <w:pPr>
              <w:jc w:val="center"/>
              <w:rPr>
                <w:bCs/>
                <w:color w:val="auto"/>
                <w:sz w:val="20"/>
                <w:szCs w:val="20"/>
                <w:lang w:eastAsia="zh-CN"/>
              </w:rPr>
            </w:pPr>
          </w:p>
        </w:tc>
        <w:tc>
          <w:tcPr>
            <w:tcW w:w="2913" w:type="dxa"/>
            <w:tcBorders>
              <w:tl2br w:val="nil"/>
              <w:tr2bl w:val="nil"/>
            </w:tcBorders>
            <w:shd w:val="clear" w:color="auto" w:fill="FFFFFF"/>
            <w:noWrap/>
            <w:vAlign w:val="center"/>
          </w:tcPr>
          <w:p w14:paraId="6ADC4A53">
            <w:pPr>
              <w:jc w:val="center"/>
              <w:rPr>
                <w:bCs/>
                <w:color w:val="auto"/>
                <w:sz w:val="20"/>
                <w:szCs w:val="20"/>
                <w:lang w:eastAsia="zh-CN"/>
              </w:rPr>
            </w:pPr>
            <w:r>
              <w:rPr>
                <w:bCs/>
                <w:color w:val="auto"/>
                <w:sz w:val="20"/>
                <w:szCs w:val="20"/>
              </w:rPr>
              <w:t>计算机应用</w:t>
            </w:r>
          </w:p>
        </w:tc>
        <w:tc>
          <w:tcPr>
            <w:tcW w:w="1545" w:type="dxa"/>
            <w:tcBorders>
              <w:tl2br w:val="nil"/>
              <w:tr2bl w:val="nil"/>
            </w:tcBorders>
            <w:shd w:val="clear" w:color="auto" w:fill="FFFFFF"/>
            <w:vAlign w:val="center"/>
          </w:tcPr>
          <w:p w14:paraId="201C34D6">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7523B1C2">
            <w:pPr>
              <w:jc w:val="center"/>
              <w:rPr>
                <w:bCs/>
                <w:color w:val="auto"/>
                <w:sz w:val="20"/>
                <w:szCs w:val="20"/>
                <w:lang w:eastAsia="zh-CN"/>
              </w:rPr>
            </w:pPr>
            <w:r>
              <w:rPr>
                <w:bCs/>
                <w:color w:val="auto"/>
                <w:sz w:val="20"/>
                <w:szCs w:val="20"/>
                <w:lang w:eastAsia="zh-CN"/>
              </w:rPr>
              <w:t>重庆航天职业技术学院</w:t>
            </w:r>
          </w:p>
        </w:tc>
      </w:tr>
      <w:tr w14:paraId="726D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16E5E962">
            <w:pPr>
              <w:jc w:val="center"/>
              <w:rPr>
                <w:bCs/>
                <w:color w:val="auto"/>
                <w:sz w:val="20"/>
                <w:szCs w:val="20"/>
                <w:lang w:eastAsia="zh-CN"/>
              </w:rPr>
            </w:pPr>
          </w:p>
        </w:tc>
        <w:tc>
          <w:tcPr>
            <w:tcW w:w="2913" w:type="dxa"/>
            <w:tcBorders>
              <w:tl2br w:val="nil"/>
              <w:tr2bl w:val="nil"/>
            </w:tcBorders>
            <w:shd w:val="clear" w:color="auto" w:fill="FFFFFF"/>
            <w:noWrap/>
            <w:vAlign w:val="center"/>
          </w:tcPr>
          <w:p w14:paraId="0D3700E3">
            <w:pPr>
              <w:jc w:val="center"/>
              <w:rPr>
                <w:bCs/>
                <w:color w:val="auto"/>
                <w:sz w:val="20"/>
                <w:szCs w:val="20"/>
                <w:lang w:eastAsia="zh-CN"/>
              </w:rPr>
            </w:pPr>
            <w:r>
              <w:rPr>
                <w:bCs/>
                <w:color w:val="auto"/>
                <w:sz w:val="20"/>
                <w:szCs w:val="20"/>
              </w:rPr>
              <w:t>航空服务</w:t>
            </w:r>
          </w:p>
        </w:tc>
        <w:tc>
          <w:tcPr>
            <w:tcW w:w="1545" w:type="dxa"/>
            <w:tcBorders>
              <w:tl2br w:val="nil"/>
              <w:tr2bl w:val="nil"/>
            </w:tcBorders>
            <w:shd w:val="clear" w:color="auto" w:fill="FFFFFF"/>
            <w:vAlign w:val="center"/>
          </w:tcPr>
          <w:p w14:paraId="1229C55B">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6784F312">
            <w:pPr>
              <w:jc w:val="center"/>
              <w:rPr>
                <w:bCs/>
                <w:color w:val="auto"/>
                <w:sz w:val="20"/>
                <w:szCs w:val="20"/>
                <w:lang w:eastAsia="zh-CN"/>
              </w:rPr>
            </w:pPr>
            <w:r>
              <w:rPr>
                <w:bCs/>
                <w:color w:val="auto"/>
                <w:sz w:val="20"/>
                <w:szCs w:val="20"/>
                <w:lang w:eastAsia="zh-CN"/>
              </w:rPr>
              <w:t>重庆青年职业技术学院</w:t>
            </w:r>
          </w:p>
        </w:tc>
      </w:tr>
      <w:tr w14:paraId="362B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7EB12F99">
            <w:pPr>
              <w:jc w:val="center"/>
              <w:rPr>
                <w:bCs/>
                <w:color w:val="auto"/>
                <w:sz w:val="20"/>
                <w:szCs w:val="20"/>
                <w:lang w:eastAsia="zh-CN"/>
              </w:rPr>
            </w:pPr>
          </w:p>
        </w:tc>
        <w:tc>
          <w:tcPr>
            <w:tcW w:w="2913" w:type="dxa"/>
            <w:tcBorders>
              <w:tl2br w:val="nil"/>
              <w:tr2bl w:val="nil"/>
            </w:tcBorders>
            <w:shd w:val="clear" w:color="auto" w:fill="FFFFFF"/>
            <w:noWrap/>
            <w:vAlign w:val="center"/>
          </w:tcPr>
          <w:p w14:paraId="6E7C0893">
            <w:pPr>
              <w:jc w:val="center"/>
              <w:rPr>
                <w:bCs/>
                <w:color w:val="auto"/>
                <w:sz w:val="20"/>
                <w:szCs w:val="20"/>
                <w:lang w:eastAsia="zh-CN"/>
              </w:rPr>
            </w:pPr>
            <w:r>
              <w:rPr>
                <w:bCs/>
                <w:color w:val="auto"/>
                <w:sz w:val="20"/>
                <w:szCs w:val="20"/>
                <w:lang w:eastAsia="zh-CN"/>
              </w:rPr>
              <w:t>高星级饭店运营与管理</w:t>
            </w:r>
          </w:p>
        </w:tc>
        <w:tc>
          <w:tcPr>
            <w:tcW w:w="1545" w:type="dxa"/>
            <w:tcBorders>
              <w:tl2br w:val="nil"/>
              <w:tr2bl w:val="nil"/>
            </w:tcBorders>
            <w:shd w:val="clear" w:color="auto" w:fill="FFFFFF"/>
            <w:vAlign w:val="center"/>
          </w:tcPr>
          <w:p w14:paraId="2761E351">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715A7443">
            <w:pPr>
              <w:jc w:val="center"/>
              <w:rPr>
                <w:bCs/>
                <w:color w:val="auto"/>
                <w:sz w:val="20"/>
                <w:szCs w:val="20"/>
                <w:lang w:eastAsia="zh-CN"/>
              </w:rPr>
            </w:pPr>
            <w:r>
              <w:rPr>
                <w:bCs/>
                <w:color w:val="auto"/>
                <w:sz w:val="20"/>
                <w:szCs w:val="20"/>
                <w:lang w:eastAsia="zh-CN"/>
              </w:rPr>
              <w:t>重庆青年职业技术学院</w:t>
            </w:r>
          </w:p>
        </w:tc>
      </w:tr>
      <w:tr w14:paraId="60B5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9" w:type="dxa"/>
            <w:vMerge w:val="continue"/>
            <w:tcBorders>
              <w:tl2br w:val="nil"/>
              <w:tr2bl w:val="nil"/>
            </w:tcBorders>
            <w:shd w:val="clear" w:color="auto" w:fill="FFFFFF"/>
            <w:noWrap/>
            <w:vAlign w:val="center"/>
          </w:tcPr>
          <w:p w14:paraId="306C0A6A">
            <w:pPr>
              <w:jc w:val="center"/>
              <w:rPr>
                <w:bCs/>
                <w:color w:val="auto"/>
                <w:sz w:val="20"/>
                <w:szCs w:val="20"/>
                <w:lang w:eastAsia="zh-CN"/>
              </w:rPr>
            </w:pPr>
          </w:p>
        </w:tc>
        <w:tc>
          <w:tcPr>
            <w:tcW w:w="2913" w:type="dxa"/>
            <w:tcBorders>
              <w:tl2br w:val="nil"/>
              <w:tr2bl w:val="nil"/>
            </w:tcBorders>
            <w:shd w:val="clear" w:color="auto" w:fill="FFFFFF"/>
            <w:noWrap/>
            <w:vAlign w:val="center"/>
          </w:tcPr>
          <w:p w14:paraId="3BD860AC">
            <w:pPr>
              <w:jc w:val="center"/>
              <w:rPr>
                <w:bCs/>
                <w:color w:val="auto"/>
                <w:sz w:val="20"/>
                <w:szCs w:val="20"/>
                <w:lang w:eastAsia="zh-CN"/>
              </w:rPr>
            </w:pPr>
            <w:r>
              <w:rPr>
                <w:bCs/>
                <w:color w:val="auto"/>
                <w:sz w:val="20"/>
                <w:szCs w:val="20"/>
              </w:rPr>
              <w:t>数字媒体技术应用</w:t>
            </w:r>
          </w:p>
        </w:tc>
        <w:tc>
          <w:tcPr>
            <w:tcW w:w="1545" w:type="dxa"/>
            <w:tcBorders>
              <w:tl2br w:val="nil"/>
              <w:tr2bl w:val="nil"/>
            </w:tcBorders>
            <w:shd w:val="clear" w:color="auto" w:fill="FFFFFF"/>
            <w:vAlign w:val="center"/>
          </w:tcPr>
          <w:p w14:paraId="770169FE">
            <w:pPr>
              <w:jc w:val="center"/>
              <w:rPr>
                <w:bCs/>
                <w:color w:val="auto"/>
                <w:sz w:val="20"/>
                <w:szCs w:val="20"/>
                <w:lang w:eastAsia="zh-CN"/>
              </w:rPr>
            </w:pPr>
            <w:r>
              <w:rPr>
                <w:bCs/>
                <w:color w:val="auto"/>
                <w:sz w:val="20"/>
                <w:szCs w:val="20"/>
                <w:lang w:eastAsia="zh-CN"/>
              </w:rPr>
              <w:t>中高职3+2</w:t>
            </w:r>
          </w:p>
        </w:tc>
        <w:tc>
          <w:tcPr>
            <w:tcW w:w="2712" w:type="dxa"/>
            <w:tcBorders>
              <w:tl2br w:val="nil"/>
              <w:tr2bl w:val="nil"/>
            </w:tcBorders>
            <w:shd w:val="clear" w:color="auto" w:fill="FFFFFF"/>
            <w:vAlign w:val="center"/>
          </w:tcPr>
          <w:p w14:paraId="0C4C285E">
            <w:pPr>
              <w:jc w:val="center"/>
              <w:rPr>
                <w:bCs/>
                <w:color w:val="auto"/>
                <w:sz w:val="20"/>
                <w:szCs w:val="20"/>
                <w:lang w:eastAsia="zh-CN"/>
              </w:rPr>
            </w:pPr>
            <w:r>
              <w:rPr>
                <w:bCs/>
                <w:color w:val="auto"/>
                <w:sz w:val="20"/>
                <w:szCs w:val="20"/>
                <w:lang w:eastAsia="zh-CN"/>
              </w:rPr>
              <w:t>重庆电力高等专科学校</w:t>
            </w:r>
          </w:p>
        </w:tc>
      </w:tr>
    </w:tbl>
    <w:p w14:paraId="270938CC">
      <w:pPr>
        <w:pStyle w:val="4"/>
        <w:spacing w:before="163" w:after="163"/>
      </w:pPr>
      <w:bookmarkStart w:id="54" w:name="_Toc6564"/>
      <w:r>
        <w:rPr>
          <w:rFonts w:hint="eastAsia"/>
        </w:rPr>
        <w:t xml:space="preserve">2.2.4 </w:t>
      </w:r>
      <w:r>
        <w:rPr>
          <w:rFonts w:hint="eastAsia" w:ascii="方正黑体_GBK" w:hAnsi="方正黑体_GBK" w:eastAsia="方正黑体_GBK" w:cs="方正黑体_GBK"/>
        </w:rPr>
        <w:t>推进区域标准建设</w:t>
      </w:r>
      <w:bookmarkEnd w:id="54"/>
    </w:p>
    <w:p w14:paraId="27D4C380">
      <w:pPr>
        <w:ind w:firstLine="480" w:firstLineChars="200"/>
        <w:rPr>
          <w:lang w:eastAsia="zh-CN"/>
        </w:rPr>
      </w:pPr>
      <w:r>
        <w:rPr>
          <w:rFonts w:hint="eastAsia"/>
          <w:lang w:eastAsia="zh-CN"/>
        </w:rPr>
        <w:t>为顺应产业加速升级的时代浪潮，紧密贴合职业教育高质量发展的内在要求，全区中职学校积极作为、主动担当，以高度的责任感和使命感大力推进专业教学标准的制定与修订工作，力求为产业发展精准输送适配的高素质技术技能人才。重庆市九龙坡职业教育中心围绕重庆市“33618”现代制造业集群体系及区域重点产业链发展需求，重点针对智能制造、数字商务、现代服务、轨道交通四大专业群，共修订12个专业的教学标准，修订后的标准突出课程体系等特色，强化“岗课赛证”融通与数字化配套，构建特色标准体系，推动专业建设规范化、内涵化、特色化，提升人才培养与产业适配度。重庆市工艺美术学校依托动漫与游戏制作专业市级职业教育贯通人才培养项目，重点开展动漫与游戏制作专业标准体系建设，研制贯通培养教学标准1个、金教师标准1个、金基地标准1套、金课程标准11个，在市内率先形成了动漫与游戏制作专业标准体系。技工类学校严格对标《国家职业技能标准》及行业头部企业岗位要求，联合企业开发课程标准与实训项目，同步最新岗位能力指标，建立三方协同评价体系，通过技能竞赛、实习考核等方式动态评估教学质量。</w:t>
      </w:r>
    </w:p>
    <w:p w14:paraId="285CD3BA">
      <w:pPr>
        <w:pStyle w:val="3"/>
        <w:spacing w:before="327" w:after="327"/>
      </w:pPr>
      <w:bookmarkStart w:id="55" w:name="_Toc12346"/>
      <w:r>
        <w:rPr>
          <w:rFonts w:hint="eastAsia"/>
        </w:rPr>
        <w:t xml:space="preserve">2.3 </w:t>
      </w:r>
      <w:r>
        <w:rPr>
          <w:rFonts w:hint="eastAsia" w:ascii="方正黑体_GBK" w:hAnsi="方正黑体_GBK" w:eastAsia="方正黑体_GBK" w:cs="方正黑体_GBK"/>
        </w:rPr>
        <w:t>课程建设</w:t>
      </w:r>
      <w:bookmarkEnd w:id="55"/>
    </w:p>
    <w:p w14:paraId="0C335254">
      <w:pPr>
        <w:pStyle w:val="4"/>
        <w:spacing w:before="163" w:after="163"/>
        <w:rPr>
          <w:rFonts w:hint="eastAsia" w:ascii="方正黑体_GBK" w:hAnsi="方正黑体_GBK" w:eastAsia="方正黑体_GBK" w:cs="方正黑体_GBK"/>
        </w:rPr>
      </w:pPr>
      <w:bookmarkStart w:id="56" w:name="_Toc13925"/>
      <w:r>
        <w:rPr>
          <w:rFonts w:hint="eastAsia"/>
        </w:rPr>
        <w:t xml:space="preserve">2.3.1 </w:t>
      </w:r>
      <w:r>
        <w:rPr>
          <w:rFonts w:hint="eastAsia" w:ascii="方正黑体_GBK" w:hAnsi="方正黑体_GBK" w:eastAsia="方正黑体_GBK" w:cs="方正黑体_GBK"/>
        </w:rPr>
        <w:t>落实公共基础课标</w:t>
      </w:r>
      <w:bookmarkEnd w:id="56"/>
    </w:p>
    <w:p w14:paraId="27EA0622">
      <w:pPr>
        <w:ind w:firstLine="480" w:firstLineChars="200"/>
        <w:rPr>
          <w:lang w:eastAsia="zh-CN"/>
        </w:rPr>
      </w:pPr>
      <w:r>
        <w:rPr>
          <w:rFonts w:hint="eastAsia"/>
          <w:lang w:eastAsia="zh-CN"/>
        </w:rPr>
        <w:t>依据教育部《中等职业学校公共基础课程方案》要求，全区中职学校坚持开齐开足开好公共基础课程，坚持学习与落实公共基础课新课标，课程建设突出思想性、注重基础性、体现职业性、反映时代性。语文、数学、英语、思想政治、历史五门公共基础课实行区域内统一监测，加强培训提升教师对新教材的把握能力，为中职学生可持续发展奠定扎实的文化基础。</w:t>
      </w:r>
    </w:p>
    <w:p w14:paraId="57FA00DF">
      <w:pPr>
        <w:pStyle w:val="4"/>
        <w:spacing w:before="163" w:after="163"/>
      </w:pPr>
      <w:bookmarkStart w:id="57" w:name="_Toc12877"/>
      <w:r>
        <w:rPr>
          <w:rFonts w:hint="eastAsia"/>
        </w:rPr>
        <w:t xml:space="preserve">2.3.2 </w:t>
      </w:r>
      <w:r>
        <w:rPr>
          <w:rFonts w:hint="eastAsia" w:ascii="方正黑体_GBK" w:hAnsi="方正黑体_GBK" w:eastAsia="方正黑体_GBK" w:cs="方正黑体_GBK"/>
        </w:rPr>
        <w:t>筑牢专业课程体系</w:t>
      </w:r>
      <w:bookmarkEnd w:id="57"/>
    </w:p>
    <w:p w14:paraId="2D003F88">
      <w:pPr>
        <w:ind w:firstLine="480" w:firstLineChars="200"/>
        <w:rPr>
          <w:rFonts w:hint="eastAsia"/>
          <w:lang w:eastAsia="zh-CN"/>
        </w:rPr>
      </w:pPr>
      <w:r>
        <w:rPr>
          <w:rFonts w:hint="eastAsia"/>
          <w:lang w:eastAsia="zh-CN"/>
        </w:rPr>
        <w:t>全区中职学校专业课程体系注重对接产业需求，通过标准渗透、开发教材等多措并举方式，将教学场景对接职业工作场景，优化调整课程体系，不断推进产教融合、课证融通，助力学生更好地强化职业技能，满足高素质技术技能人才培养需求。</w:t>
      </w:r>
      <w:r>
        <w:rPr>
          <w:lang w:eastAsia="zh-CN"/>
        </w:rPr>
        <w:t>重庆市九龙坡职业教育中心</w:t>
      </w:r>
      <w:r>
        <w:rPr>
          <w:rFonts w:hint="eastAsia"/>
          <w:lang w:eastAsia="zh-CN"/>
        </w:rPr>
        <w:t>持续深化课堂教学改革，系统推进“模块化—项目式”教学模式在各专业中的落地应用。重庆市工艺美术学校各专业均深入企业开展人才需求调研，了解学生多元化成才对课程的需求，依据调研结果，各专业均升级专业课程体系，动漫与游戏制作专业将AI相关课程加入课程体系，修订三维游戏制作与应用课程标准；工艺美术专业将虚拟仿真技术与非遗层次结合，并据此升级课程体系。重庆建筑高级技工学校打破专业壁垒，以产业集群为核心搭建模块化课程生态，各专业群拆分基础通用、专业核心、岗位拓展三大模块，支持学生灵活组合课程，智能制造群实现物联网与新能源汽车课程渗透，现代服务群将礼仪课程与旅游、烹饪专业结合，提升学生综合素养。</w:t>
      </w:r>
    </w:p>
    <w:p w14:paraId="236498CC">
      <w:pPr>
        <w:ind w:firstLine="480" w:firstLineChars="200"/>
        <w:rPr>
          <w:rFonts w:hint="eastAsia"/>
          <w:lang w:eastAsia="zh-CN"/>
        </w:rPr>
      </w:pPr>
    </w:p>
    <w:p w14:paraId="6FA780C9">
      <w:pPr>
        <w:pStyle w:val="7"/>
        <w:ind w:firstLine="422" w:firstLineChars="200"/>
        <w:jc w:val="center"/>
        <w:rPr>
          <w:rFonts w:hint="default" w:ascii="Times New Roman" w:hAnsi="Times New Roman" w:eastAsia="黑体" w:cs="Times New Roman"/>
          <w:b/>
          <w:bCs/>
          <w:color w:val="2E54A1" w:themeColor="accent1" w:themeShade="BF"/>
          <w:sz w:val="21"/>
          <w:szCs w:val="21"/>
        </w:rPr>
      </w:pPr>
    </w:p>
    <w:p w14:paraId="42A565C1">
      <w:pPr>
        <w:pStyle w:val="7"/>
        <w:ind w:firstLine="422" w:firstLineChars="200"/>
        <w:jc w:val="center"/>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4</w:t>
      </w:r>
      <w:r>
        <w:rPr>
          <w:rFonts w:hint="default" w:ascii="Times New Roman" w:hAnsi="Times New Roman" w:eastAsia="黑体" w:cs="Times New Roman"/>
          <w:b/>
          <w:bCs/>
          <w:color w:val="2E54A1" w:themeColor="accent1" w:themeShade="BF"/>
          <w:sz w:val="21"/>
          <w:szCs w:val="21"/>
        </w:rPr>
        <w:fldChar w:fldCharType="end"/>
      </w:r>
      <w:bookmarkStart w:id="58" w:name="_Toc29208"/>
      <w:r>
        <w:rPr>
          <w:rFonts w:hint="default" w:ascii="Times New Roman" w:hAnsi="Times New Roman" w:eastAsia="黑体" w:cs="Times New Roman"/>
          <w:b/>
          <w:bCs/>
          <w:color w:val="2E54A1" w:themeColor="accent1" w:themeShade="BF"/>
          <w:sz w:val="21"/>
          <w:szCs w:val="21"/>
        </w:rPr>
        <w:t>】  重庆市九龙坡职业教育中心AI赋能直播营销课程</w:t>
      </w:r>
      <w:bookmarkEnd w:id="58"/>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2788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68FE2FCC">
            <w:pPr>
              <w:ind w:firstLine="420" w:firstLineChars="200"/>
              <w:rPr>
                <w:rFonts w:eastAsia="楷体" w:cs="Times New Roman"/>
                <w:sz w:val="21"/>
                <w:szCs w:val="21"/>
                <w:lang w:eastAsia="zh-CN"/>
              </w:rPr>
            </w:pPr>
            <w:r>
              <w:rPr>
                <w:rFonts w:eastAsia="楷体" w:cs="Times New Roman"/>
                <w:sz w:val="21"/>
                <w:szCs w:val="21"/>
                <w:lang w:eastAsia="zh-CN"/>
              </w:rPr>
              <w:t>电商直播产业需求迫切，但传统《直播营销》课存在场景脱节、评价主观、学生素养不足等问题。学校以AI赋能为核心，融合语文、音乐元素，构建</w:t>
            </w:r>
            <w:r>
              <w:rPr>
                <w:rFonts w:hint="eastAsia" w:eastAsia="楷体" w:cs="Times New Roman"/>
                <w:sz w:val="21"/>
                <w:szCs w:val="21"/>
                <w:lang w:eastAsia="zh-CN"/>
              </w:rPr>
              <w:t>“</w:t>
            </w:r>
            <w:r>
              <w:rPr>
                <w:rFonts w:eastAsia="楷体" w:cs="Times New Roman"/>
                <w:sz w:val="21"/>
                <w:szCs w:val="21"/>
                <w:lang w:eastAsia="zh-CN"/>
              </w:rPr>
              <w:t>AI+语乐融合+智慧评价</w:t>
            </w:r>
            <w:r>
              <w:rPr>
                <w:rFonts w:hint="eastAsia" w:eastAsia="楷体" w:cs="Times New Roman"/>
                <w:sz w:val="21"/>
                <w:szCs w:val="21"/>
                <w:lang w:eastAsia="zh-CN"/>
              </w:rPr>
              <w:t>”</w:t>
            </w:r>
            <w:r>
              <w:rPr>
                <w:rFonts w:eastAsia="楷体" w:cs="Times New Roman"/>
                <w:sz w:val="21"/>
                <w:szCs w:val="21"/>
                <w:lang w:eastAsia="zh-CN"/>
              </w:rPr>
              <w:t>的《直播营销》智慧课堂新范式。一是建</w:t>
            </w:r>
            <w:r>
              <w:rPr>
                <w:rFonts w:hint="eastAsia" w:eastAsia="楷体" w:cs="Times New Roman"/>
                <w:sz w:val="21"/>
                <w:szCs w:val="21"/>
                <w:lang w:eastAsia="zh-CN"/>
              </w:rPr>
              <w:t>“</w:t>
            </w:r>
            <w:r>
              <w:rPr>
                <w:rFonts w:eastAsia="楷体" w:cs="Times New Roman"/>
                <w:sz w:val="21"/>
                <w:szCs w:val="21"/>
                <w:lang w:eastAsia="zh-CN"/>
              </w:rPr>
              <w:t>三维协同</w:t>
            </w:r>
            <w:r>
              <w:rPr>
                <w:rFonts w:hint="eastAsia" w:eastAsia="楷体" w:cs="Times New Roman"/>
                <w:sz w:val="21"/>
                <w:szCs w:val="21"/>
                <w:lang w:eastAsia="zh-CN"/>
              </w:rPr>
              <w:t>”</w:t>
            </w:r>
            <w:r>
              <w:rPr>
                <w:rFonts w:eastAsia="楷体" w:cs="Times New Roman"/>
                <w:sz w:val="21"/>
                <w:szCs w:val="21"/>
                <w:lang w:eastAsia="zh-CN"/>
              </w:rPr>
              <w:t>AI生态，用</w:t>
            </w:r>
            <w:r>
              <w:rPr>
                <w:rFonts w:hint="eastAsia" w:eastAsia="楷体" w:cs="Times New Roman"/>
                <w:sz w:val="21"/>
                <w:szCs w:val="21"/>
                <w:lang w:eastAsia="zh-CN"/>
              </w:rPr>
              <w:t>“</w:t>
            </w:r>
            <w:r>
              <w:rPr>
                <w:rFonts w:eastAsia="楷体" w:cs="Times New Roman"/>
                <w:sz w:val="21"/>
                <w:szCs w:val="21"/>
                <w:lang w:eastAsia="zh-CN"/>
              </w:rPr>
              <w:t>文心一言</w:t>
            </w:r>
            <w:r>
              <w:rPr>
                <w:rFonts w:hint="eastAsia" w:eastAsia="楷体" w:cs="Times New Roman"/>
                <w:sz w:val="21"/>
                <w:szCs w:val="21"/>
                <w:lang w:eastAsia="zh-CN"/>
              </w:rPr>
              <w:t>”</w:t>
            </w:r>
            <w:r>
              <w:rPr>
                <w:rFonts w:eastAsia="楷体" w:cs="Times New Roman"/>
                <w:sz w:val="21"/>
                <w:szCs w:val="21"/>
                <w:lang w:eastAsia="zh-CN"/>
              </w:rPr>
              <w:t>生成脚本并优化，借QQ音乐建B</w:t>
            </w:r>
            <w:r>
              <w:rPr>
                <w:rFonts w:hint="eastAsia" w:eastAsia="楷体" w:cs="Times New Roman"/>
                <w:sz w:val="21"/>
                <w:szCs w:val="21"/>
                <w:lang w:eastAsia="zh-CN"/>
              </w:rPr>
              <w:t>G</w:t>
            </w:r>
            <w:r>
              <w:rPr>
                <w:rFonts w:eastAsia="楷体" w:cs="Times New Roman"/>
                <w:sz w:val="21"/>
                <w:szCs w:val="21"/>
                <w:lang w:eastAsia="zh-CN"/>
              </w:rPr>
              <w:t>M库；在虚拟直播间演练，</w:t>
            </w:r>
            <w:r>
              <w:rPr>
                <w:rFonts w:hint="eastAsia" w:eastAsia="楷体" w:cs="Times New Roman"/>
                <w:sz w:val="21"/>
                <w:szCs w:val="21"/>
                <w:lang w:eastAsia="zh-CN"/>
              </w:rPr>
              <w:t>“</w:t>
            </w:r>
            <w:r>
              <w:rPr>
                <w:rFonts w:eastAsia="楷体" w:cs="Times New Roman"/>
                <w:sz w:val="21"/>
                <w:szCs w:val="21"/>
                <w:lang w:eastAsia="zh-CN"/>
              </w:rPr>
              <w:t>讯飞星火</w:t>
            </w:r>
            <w:r>
              <w:rPr>
                <w:rFonts w:hint="eastAsia" w:eastAsia="楷体" w:cs="Times New Roman"/>
                <w:sz w:val="21"/>
                <w:szCs w:val="21"/>
                <w:lang w:eastAsia="zh-CN"/>
              </w:rPr>
              <w:t>”</w:t>
            </w:r>
            <w:r>
              <w:rPr>
                <w:rFonts w:eastAsia="楷体" w:cs="Times New Roman"/>
                <w:sz w:val="21"/>
                <w:szCs w:val="21"/>
                <w:lang w:eastAsia="zh-CN"/>
              </w:rPr>
              <w:t>实时测评语音表情；AI助教采集数据替代主观打分。二是融</w:t>
            </w:r>
            <w:r>
              <w:rPr>
                <w:rFonts w:hint="eastAsia" w:eastAsia="楷体" w:cs="Times New Roman"/>
                <w:sz w:val="21"/>
                <w:szCs w:val="21"/>
                <w:lang w:eastAsia="zh-CN"/>
              </w:rPr>
              <w:t>“</w:t>
            </w:r>
            <w:r>
              <w:rPr>
                <w:rFonts w:eastAsia="楷体" w:cs="Times New Roman"/>
                <w:sz w:val="21"/>
                <w:szCs w:val="21"/>
                <w:lang w:eastAsia="zh-CN"/>
              </w:rPr>
              <w:t>语乐</w:t>
            </w:r>
            <w:r>
              <w:rPr>
                <w:rFonts w:hint="eastAsia" w:eastAsia="楷体" w:cs="Times New Roman"/>
                <w:sz w:val="21"/>
                <w:szCs w:val="21"/>
                <w:lang w:eastAsia="zh-CN"/>
              </w:rPr>
              <w:t>”</w:t>
            </w:r>
            <w:r>
              <w:rPr>
                <w:rFonts w:eastAsia="楷体" w:cs="Times New Roman"/>
                <w:sz w:val="21"/>
                <w:szCs w:val="21"/>
                <w:lang w:eastAsia="zh-CN"/>
              </w:rPr>
              <w:t>开发项目，对AI文案进行语文打磨，搭配适配音乐，打造</w:t>
            </w:r>
            <w:r>
              <w:rPr>
                <w:rFonts w:hint="eastAsia" w:eastAsia="楷体" w:cs="Times New Roman"/>
                <w:sz w:val="21"/>
                <w:szCs w:val="21"/>
                <w:lang w:eastAsia="zh-CN"/>
              </w:rPr>
              <w:t>“</w:t>
            </w:r>
            <w:r>
              <w:rPr>
                <w:rFonts w:eastAsia="楷体" w:cs="Times New Roman"/>
                <w:sz w:val="21"/>
                <w:szCs w:val="21"/>
                <w:lang w:eastAsia="zh-CN"/>
              </w:rPr>
              <w:t>渝货精品</w:t>
            </w:r>
            <w:r>
              <w:rPr>
                <w:rFonts w:hint="eastAsia" w:eastAsia="楷体" w:cs="Times New Roman"/>
                <w:sz w:val="21"/>
                <w:szCs w:val="21"/>
                <w:lang w:eastAsia="zh-CN"/>
              </w:rPr>
              <w:t>”</w:t>
            </w:r>
            <w:r>
              <w:rPr>
                <w:rFonts w:eastAsia="楷体" w:cs="Times New Roman"/>
                <w:sz w:val="21"/>
                <w:szCs w:val="21"/>
                <w:lang w:eastAsia="zh-CN"/>
              </w:rPr>
              <w:t>直播内容。三是立数据驱动评价体系，构建</w:t>
            </w:r>
            <w:r>
              <w:rPr>
                <w:rFonts w:hint="eastAsia" w:eastAsia="楷体" w:cs="Times New Roman"/>
                <w:sz w:val="21"/>
                <w:szCs w:val="21"/>
                <w:lang w:eastAsia="zh-CN"/>
              </w:rPr>
              <w:t>“</w:t>
            </w:r>
            <w:r>
              <w:rPr>
                <w:rFonts w:eastAsia="楷体" w:cs="Times New Roman"/>
                <w:sz w:val="21"/>
                <w:szCs w:val="21"/>
                <w:lang w:eastAsia="zh-CN"/>
              </w:rPr>
              <w:t>过程数据+AI诊断+实战成果</w:t>
            </w:r>
            <w:r>
              <w:rPr>
                <w:rFonts w:hint="eastAsia" w:eastAsia="楷体" w:cs="Times New Roman"/>
                <w:sz w:val="21"/>
                <w:szCs w:val="21"/>
                <w:lang w:eastAsia="zh-CN"/>
              </w:rPr>
              <w:t>”</w:t>
            </w:r>
            <w:r>
              <w:rPr>
                <w:rFonts w:eastAsia="楷体" w:cs="Times New Roman"/>
                <w:sz w:val="21"/>
                <w:szCs w:val="21"/>
                <w:lang w:eastAsia="zh-CN"/>
              </w:rPr>
              <w:t>三维模型，结合直播销售额形成综合评价。学生获</w:t>
            </w:r>
            <w:r>
              <w:rPr>
                <w:rFonts w:hint="eastAsia" w:eastAsia="楷体" w:cs="Times New Roman"/>
                <w:sz w:val="21"/>
                <w:szCs w:val="21"/>
                <w:lang w:eastAsia="zh-CN"/>
              </w:rPr>
              <w:t>“</w:t>
            </w:r>
            <w:r>
              <w:rPr>
                <w:rFonts w:eastAsia="楷体" w:cs="Times New Roman"/>
                <w:sz w:val="21"/>
                <w:szCs w:val="21"/>
                <w:lang w:eastAsia="zh-CN"/>
              </w:rPr>
              <w:t>直播电商</w:t>
            </w:r>
            <w:r>
              <w:rPr>
                <w:rFonts w:hint="eastAsia" w:eastAsia="楷体" w:cs="Times New Roman"/>
                <w:sz w:val="21"/>
                <w:szCs w:val="21"/>
                <w:lang w:eastAsia="zh-CN"/>
              </w:rPr>
              <w:t>”</w:t>
            </w:r>
            <w:r>
              <w:rPr>
                <w:rFonts w:eastAsia="楷体" w:cs="Times New Roman"/>
                <w:sz w:val="21"/>
                <w:szCs w:val="21"/>
                <w:lang w:eastAsia="zh-CN"/>
              </w:rPr>
              <w:t>赛项国家级奖4项、省部级奖5项，助农直播单场销售额破5000元。教师获市级教学能力赛二等奖，出版相关教材，实践入选市级</w:t>
            </w:r>
            <w:r>
              <w:rPr>
                <w:rFonts w:hint="eastAsia" w:eastAsia="楷体" w:cs="Times New Roman"/>
                <w:sz w:val="21"/>
                <w:szCs w:val="21"/>
                <w:lang w:eastAsia="zh-CN"/>
              </w:rPr>
              <w:t>“</w:t>
            </w:r>
            <w:r>
              <w:rPr>
                <w:rFonts w:eastAsia="楷体" w:cs="Times New Roman"/>
                <w:sz w:val="21"/>
                <w:szCs w:val="21"/>
                <w:lang w:eastAsia="zh-CN"/>
              </w:rPr>
              <w:t>课堂革命</w:t>
            </w:r>
            <w:r>
              <w:rPr>
                <w:rFonts w:hint="eastAsia" w:eastAsia="楷体" w:cs="Times New Roman"/>
                <w:sz w:val="21"/>
                <w:szCs w:val="21"/>
                <w:lang w:eastAsia="zh-CN"/>
              </w:rPr>
              <w:t>”</w:t>
            </w:r>
            <w:r>
              <w:rPr>
                <w:rFonts w:eastAsia="楷体" w:cs="Times New Roman"/>
                <w:sz w:val="21"/>
                <w:szCs w:val="21"/>
                <w:lang w:eastAsia="zh-CN"/>
              </w:rPr>
              <w:t>案例，吸引30余所院校交流，为中职电商教学提供范本</w:t>
            </w:r>
            <w:r>
              <w:rPr>
                <w:rFonts w:hint="eastAsia" w:eastAsia="楷体" w:cs="Times New Roman"/>
                <w:sz w:val="21"/>
                <w:szCs w:val="21"/>
                <w:lang w:eastAsia="zh-CN"/>
              </w:rPr>
              <w:t>。</w:t>
            </w:r>
          </w:p>
          <w:p w14:paraId="7A7CA59C">
            <w:pPr>
              <w:spacing w:line="240" w:lineRule="auto"/>
              <w:jc w:val="center"/>
              <w:rPr>
                <w:sz w:val="21"/>
                <w:szCs w:val="21"/>
                <w:lang w:eastAsia="zh-CN"/>
              </w:rPr>
            </w:pPr>
            <w:r>
              <w:rPr>
                <w:sz w:val="21"/>
                <w:szCs w:val="21"/>
                <w:lang w:eastAsia="zh-CN"/>
              </w:rPr>
              <w:drawing>
                <wp:inline distT="0" distB="0" distL="114300" distR="114300">
                  <wp:extent cx="3780155" cy="2126615"/>
                  <wp:effectExtent l="0" t="0" r="0" b="0"/>
                  <wp:docPr id="28"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图片1"/>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3780155" cy="2126615"/>
                          </a:xfrm>
                          <a:prstGeom prst="rect">
                            <a:avLst/>
                          </a:prstGeom>
                          <a:noFill/>
                          <a:ln>
                            <a:noFill/>
                          </a:ln>
                        </pic:spPr>
                      </pic:pic>
                    </a:graphicData>
                  </a:graphic>
                </wp:inline>
              </w:drawing>
            </w:r>
          </w:p>
          <w:p w14:paraId="1AEA3F38">
            <w:pPr>
              <w:pStyle w:val="7"/>
              <w:rPr>
                <w:sz w:val="21"/>
                <w:szCs w:val="21"/>
              </w:rPr>
            </w:pPr>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6</w:t>
            </w:r>
            <w:r>
              <w:rPr>
                <w:sz w:val="21"/>
                <w:szCs w:val="21"/>
              </w:rPr>
              <w:fldChar w:fldCharType="end"/>
            </w:r>
            <w:bookmarkStart w:id="59" w:name="_Toc3774"/>
            <w:r>
              <w:rPr>
                <w:rFonts w:hint="eastAsia"/>
                <w:sz w:val="21"/>
                <w:szCs w:val="21"/>
                <w:lang w:val="en-US" w:eastAsia="zh-CN"/>
              </w:rPr>
              <w:t xml:space="preserve">  </w:t>
            </w:r>
            <w:r>
              <w:rPr>
                <w:rFonts w:hint="eastAsia"/>
                <w:sz w:val="21"/>
                <w:szCs w:val="21"/>
              </w:rPr>
              <w:t>重庆市九龙坡职业教育中心</w:t>
            </w:r>
            <w:r>
              <w:rPr>
                <w:sz w:val="21"/>
                <w:szCs w:val="21"/>
              </w:rPr>
              <w:t>AI赋能直播营销课程结构图</w:t>
            </w:r>
            <w:bookmarkEnd w:id="59"/>
          </w:p>
        </w:tc>
      </w:tr>
    </w:tbl>
    <w:p w14:paraId="29E9F6B7">
      <w:pPr>
        <w:pStyle w:val="4"/>
        <w:spacing w:before="163" w:after="163"/>
      </w:pPr>
      <w:bookmarkStart w:id="60" w:name="_Toc3790"/>
      <w:r>
        <w:rPr>
          <w:rFonts w:hint="eastAsia"/>
        </w:rPr>
        <w:t xml:space="preserve">2.3.3 </w:t>
      </w:r>
      <w:r>
        <w:rPr>
          <w:rFonts w:hint="eastAsia" w:ascii="方正黑体_GBK" w:hAnsi="方正黑体_GBK" w:eastAsia="方正黑体_GBK" w:cs="方正黑体_GBK"/>
        </w:rPr>
        <w:t>健全贯通培养机制</w:t>
      </w:r>
      <w:bookmarkEnd w:id="60"/>
    </w:p>
    <w:p w14:paraId="0FAAA645">
      <w:pPr>
        <w:ind w:firstLine="480" w:firstLineChars="200"/>
        <w:rPr>
          <w:lang w:eastAsia="zh-CN"/>
        </w:rPr>
      </w:pPr>
      <w:r>
        <w:rPr>
          <w:rFonts w:hint="eastAsia"/>
          <w:lang w:eastAsia="zh-CN"/>
        </w:rPr>
        <w:t>全区中等职业学校以中高本课程衔接为核心要点，着力健全贯通培养机制，全面且深入地完善课程衔接体系，致力于为学生搭建起更加顺畅、高效的成长通道。重庆市九龙坡职业教育中心持续完善综合高中课程模块，以语文、数学、外语等文化基础课程为核心根基，增设物理、历史、思想政治等9门选择性必修课程，配套开设学科素养、生涯规划、跨学科实践等特色拓展课程，形成综合高中课程架构；学校深化贯通培养机制建设，新制定并修订完善16个中高职贯通（三二分段制）人才培养方案，为中职学生搭建稳定通畅的升学通道。重庆市聚英技工学校深化中高衔接课程建设，搭建贯通桥梁。紧扣高职分类考试要求，构建“中职基础+高职衔接”课程体系，编制适配升学的专业讲义，实现教学与升学、职业需求精准对接。</w:t>
      </w:r>
    </w:p>
    <w:p w14:paraId="20B96C1A">
      <w:pPr>
        <w:spacing w:line="240" w:lineRule="auto"/>
        <w:jc w:val="center"/>
        <w:rPr>
          <w:lang w:eastAsia="zh-CN"/>
        </w:rPr>
      </w:pPr>
      <w:r>
        <w:rPr>
          <w:lang w:eastAsia="zh-CN"/>
        </w:rPr>
        <w:drawing>
          <wp:inline distT="0" distB="0" distL="114300" distR="114300">
            <wp:extent cx="3780155" cy="3098165"/>
            <wp:effectExtent l="0" t="0" r="8890" b="0"/>
            <wp:docPr id="32" name="图片 10" descr="“1531”课程体系图（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1531”课程体系图（2.4.1）"/>
                    <pic:cNvPicPr>
                      <a:picLocks noChangeAspect="1"/>
                    </pic:cNvPicPr>
                  </pic:nvPicPr>
                  <pic:blipFill>
                    <a:blip r:embed="rId22"/>
                    <a:stretch>
                      <a:fillRect/>
                    </a:stretch>
                  </pic:blipFill>
                  <pic:spPr>
                    <a:xfrm>
                      <a:off x="0" y="0"/>
                      <a:ext cx="3780155" cy="3098165"/>
                    </a:xfrm>
                    <a:prstGeom prst="rect">
                      <a:avLst/>
                    </a:prstGeom>
                    <a:noFill/>
                    <a:ln>
                      <a:noFill/>
                    </a:ln>
                  </pic:spPr>
                </pic:pic>
              </a:graphicData>
            </a:graphic>
          </wp:inline>
        </w:drawing>
      </w:r>
    </w:p>
    <w:p w14:paraId="0474DC6B">
      <w:pPr>
        <w:pStyle w:val="7"/>
      </w:pPr>
      <w:bookmarkStart w:id="61" w:name="_Toc18720"/>
      <w:bookmarkStart w:id="62" w:name="_Toc25322"/>
      <w:r>
        <w:t>图</w:t>
      </w:r>
      <w:r>
        <w:fldChar w:fldCharType="begin"/>
      </w:r>
      <w:r>
        <w:instrText xml:space="preserve"> SEQ 图 \* ARABIC </w:instrText>
      </w:r>
      <w:r>
        <w:fldChar w:fldCharType="separate"/>
      </w:r>
      <w:r>
        <w:t>7</w:t>
      </w:r>
      <w:r>
        <w:fldChar w:fldCharType="end"/>
      </w:r>
      <w:bookmarkStart w:id="63" w:name="_Toc13469"/>
      <w:r>
        <w:rPr>
          <w:rFonts w:hint="eastAsia"/>
          <w:lang w:val="en-US" w:eastAsia="zh-CN"/>
        </w:rPr>
        <w:t xml:space="preserve">  </w:t>
      </w:r>
      <w:r>
        <w:rPr>
          <w:rFonts w:hint="eastAsia"/>
        </w:rPr>
        <w:t>重庆市九龙坡职业教育中心</w:t>
      </w:r>
      <w:r>
        <w:rPr>
          <w:rFonts w:hint="eastAsia"/>
          <w:lang w:eastAsia="zh-CN"/>
        </w:rPr>
        <w:t>“</w:t>
      </w:r>
      <w:r>
        <w:t>1531</w:t>
      </w:r>
      <w:r>
        <w:rPr>
          <w:rFonts w:hint="eastAsia"/>
          <w:lang w:eastAsia="zh-CN"/>
        </w:rPr>
        <w:t>”</w:t>
      </w:r>
      <w:r>
        <w:t>课程体系图</w:t>
      </w:r>
      <w:bookmarkEnd w:id="61"/>
      <w:bookmarkEnd w:id="62"/>
      <w:bookmarkEnd w:id="63"/>
    </w:p>
    <w:p w14:paraId="1238A67A">
      <w:pPr>
        <w:pStyle w:val="4"/>
        <w:spacing w:before="163" w:after="163"/>
        <w:rPr>
          <w:rFonts w:hint="eastAsia" w:ascii="方正黑体_GBK" w:hAnsi="方正黑体_GBK" w:eastAsia="方正黑体_GBK" w:cs="方正黑体_GBK"/>
        </w:rPr>
      </w:pPr>
      <w:bookmarkStart w:id="64" w:name="_Toc22099"/>
      <w:r>
        <w:rPr>
          <w:rFonts w:hint="eastAsia"/>
        </w:rPr>
        <w:t xml:space="preserve">2.3.4 </w:t>
      </w:r>
      <w:r>
        <w:rPr>
          <w:rFonts w:hint="eastAsia" w:ascii="方正黑体_GBK" w:hAnsi="方正黑体_GBK" w:eastAsia="方正黑体_GBK" w:cs="方正黑体_GBK"/>
        </w:rPr>
        <w:t>加强课程资源建设</w:t>
      </w:r>
      <w:bookmarkEnd w:id="64"/>
    </w:p>
    <w:p w14:paraId="2257533D">
      <w:pPr>
        <w:ind w:firstLine="480" w:firstLineChars="200"/>
        <w:rPr>
          <w:lang w:eastAsia="zh-CN"/>
        </w:rPr>
      </w:pPr>
      <w:r>
        <w:rPr>
          <w:rFonts w:hint="eastAsia"/>
          <w:lang w:eastAsia="zh-CN"/>
        </w:rPr>
        <w:t>全区中职学校不断完善课程管理和考核机制，加强在线精品课程建设，促进优质教育资源共享，持续提高课堂教学质量。</w:t>
      </w:r>
      <w:r>
        <w:rPr>
          <w:lang w:eastAsia="zh-CN"/>
        </w:rPr>
        <w:t>重庆市九龙坡职业教育中心依托数字化教学资源库建设、精品课程开发与智慧教学工具引入，不断丰富教学内容与形式</w:t>
      </w:r>
      <w:r>
        <w:rPr>
          <w:rFonts w:hint="eastAsia"/>
          <w:lang w:eastAsia="zh-CN"/>
        </w:rPr>
        <w:t>。重庆市工艺美术学校协同建设课程资源</w:t>
      </w:r>
      <w:r>
        <w:rPr>
          <w:lang w:eastAsia="zh-CN"/>
        </w:rPr>
        <w:t>，组建</w:t>
      </w:r>
      <w:r>
        <w:rPr>
          <w:rFonts w:hint="eastAsia"/>
          <w:lang w:eastAsia="zh-CN"/>
        </w:rPr>
        <w:t>“</w:t>
      </w:r>
      <w:r>
        <w:rPr>
          <w:lang w:eastAsia="zh-CN"/>
        </w:rPr>
        <w:t>跨界融合</w:t>
      </w:r>
      <w:r>
        <w:rPr>
          <w:rFonts w:hint="eastAsia"/>
          <w:lang w:eastAsia="zh-CN"/>
        </w:rPr>
        <w:t>”</w:t>
      </w:r>
      <w:r>
        <w:rPr>
          <w:lang w:eastAsia="zh-CN"/>
        </w:rPr>
        <w:t>课程建设团队，建立课程资源三级审核机制，</w:t>
      </w:r>
      <w:r>
        <w:rPr>
          <w:rFonts w:hint="eastAsia"/>
          <w:lang w:eastAsia="zh-CN"/>
        </w:rPr>
        <w:t>学校</w:t>
      </w:r>
      <w:r>
        <w:rPr>
          <w:lang w:eastAsia="zh-CN"/>
        </w:rPr>
        <w:t>现有市级精品在线课程1门、市级职业教育专业教学资源库1个，数字课程资源总量达300</w:t>
      </w:r>
      <w:r>
        <w:rPr>
          <w:rFonts w:hint="eastAsia"/>
          <w:lang w:eastAsia="zh-CN"/>
        </w:rPr>
        <w:t>G，</w:t>
      </w:r>
      <w:r>
        <w:rPr>
          <w:lang w:eastAsia="zh-CN"/>
        </w:rPr>
        <w:t>本年度开发精品在线课程1门，更新100余门各专业核心与基础课程资源，动漫与游戏制作专业的《校企双元、三方协同、四新融入——数字课程资源建设赋能中职教育高质量发展》荣获重庆市数字教育资源建设典型案例一等奖。</w:t>
      </w:r>
    </w:p>
    <w:p w14:paraId="7B655DE3">
      <w:pPr>
        <w:pStyle w:val="7"/>
        <w:ind w:firstLine="422" w:firstLineChars="200"/>
        <w:jc w:val="center"/>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5</w:t>
      </w:r>
      <w:r>
        <w:rPr>
          <w:rFonts w:hint="default" w:ascii="Times New Roman" w:hAnsi="Times New Roman" w:eastAsia="黑体" w:cs="Times New Roman"/>
          <w:b/>
          <w:bCs/>
          <w:color w:val="2E54A1" w:themeColor="accent1" w:themeShade="BF"/>
          <w:sz w:val="21"/>
          <w:szCs w:val="21"/>
        </w:rPr>
        <w:fldChar w:fldCharType="end"/>
      </w:r>
      <w:bookmarkStart w:id="65" w:name="_Toc26236"/>
      <w:r>
        <w:rPr>
          <w:rFonts w:hint="default" w:ascii="Times New Roman" w:hAnsi="Times New Roman" w:eastAsia="黑体" w:cs="Times New Roman"/>
          <w:b/>
          <w:bCs/>
          <w:color w:val="2E54A1" w:themeColor="accent1" w:themeShade="BF"/>
          <w:sz w:val="21"/>
          <w:szCs w:val="21"/>
        </w:rPr>
        <w:t>】  重庆市工艺美术学校课程资源建设实践</w:t>
      </w:r>
      <w:bookmarkEnd w:id="65"/>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363C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0FB53846">
            <w:pPr>
              <w:ind w:firstLine="420" w:firstLineChars="200"/>
              <w:rPr>
                <w:sz w:val="21"/>
                <w:szCs w:val="21"/>
                <w:lang w:eastAsia="zh-CN"/>
              </w:rPr>
            </w:pPr>
            <w:r>
              <w:rPr>
                <w:rFonts w:hint="eastAsia" w:eastAsia="楷体" w:cs="Times New Roman"/>
                <w:sz w:val="21"/>
                <w:szCs w:val="21"/>
                <w:lang w:eastAsia="zh-CN"/>
              </w:rPr>
              <w:t>重庆市工艺美术学校动漫与游戏制作专业聚焦课程内容与行业技术迭代脱节、教学资源与产业实践需求错位、思政教育融入专业教学不够深入等关键问题，构建了“校企双元、三方协同、四新融入”课程资源建设实践。一是校企共建课程中心，建立行业动态跟踪与“四新”适配清单机制，确保课程前沿性；二是实行“三组长”制，创新实施由职教专家、企业导师、专业教师组成的“三组长制”，高效协同各方资源，共同开发项目化课程与数字化教学资源；三是及时融入“四新”，将“新技术、新产业、新业态、新模式”动态融入课程标准、教材编写及课堂教学，全面推行中国特色学徒制与项目驱动教学；四是以数字赋能推进课堂革命，运用人工智能辅助个性化学习与过程性评价。本模式促进了专业人才培养质量跃升，专业内涵实力</w:t>
            </w:r>
            <w:r>
              <w:rPr>
                <w:rFonts w:eastAsia="楷体" w:cs="Times New Roman"/>
                <w:sz w:val="21"/>
                <w:szCs w:val="21"/>
                <w:lang w:eastAsia="zh-CN"/>
              </w:rPr>
              <w:t>凸显，2025年，</w:t>
            </w:r>
            <w:r>
              <w:rPr>
                <w:rFonts w:hint="eastAsia" w:eastAsia="楷体" w:cs="Times New Roman"/>
                <w:sz w:val="21"/>
                <w:szCs w:val="21"/>
                <w:lang w:eastAsia="zh-CN"/>
              </w:rPr>
              <w:t>本专业荣获重庆市数字资源建设典型案例一等奖，为中职院校课程建设提供参考样板。</w:t>
            </w:r>
          </w:p>
        </w:tc>
      </w:tr>
    </w:tbl>
    <w:p w14:paraId="4AF2A2BD">
      <w:pPr>
        <w:pStyle w:val="4"/>
        <w:spacing w:before="163" w:after="163"/>
      </w:pPr>
      <w:bookmarkStart w:id="66" w:name="_Toc16281"/>
      <w:r>
        <w:rPr>
          <w:rFonts w:hint="eastAsia"/>
        </w:rPr>
        <w:t xml:space="preserve">2.3.5 </w:t>
      </w:r>
      <w:r>
        <w:rPr>
          <w:rFonts w:hint="eastAsia" w:ascii="方正黑体_GBK" w:hAnsi="方正黑体_GBK" w:eastAsia="方正黑体_GBK" w:cs="方正黑体_GBK"/>
        </w:rPr>
        <w:t>从严把控课程质量</w:t>
      </w:r>
      <w:bookmarkEnd w:id="66"/>
    </w:p>
    <w:p w14:paraId="595A0513">
      <w:pPr>
        <w:ind w:firstLine="480" w:firstLineChars="200"/>
        <w:rPr>
          <w:lang w:eastAsia="zh-CN"/>
        </w:rPr>
      </w:pPr>
      <w:r>
        <w:rPr>
          <w:rFonts w:hint="eastAsia"/>
          <w:lang w:eastAsia="zh-CN"/>
        </w:rPr>
        <w:t>在职业教育迈向高质量发展过程中，严把课程质量关、构建完善的评价闭环管理体系，是提升教育教学品质、培育高素质技能人才的核心要义。重庆市九龙坡职业教育中心完善涵盖教师教学能力、学生学习成效等多维度的综合评价体系，建立教学督导台账，实现全过程动态监控，实行“月度教学常规检查”，开展校内视导、督导，听评课182节、巡课4534节，进行10次评教与学风考核、5次作业抽查（2812人次）并开展全面质量监测。重庆市工艺美术学校制定科学合理、操作性强的课程资源评价，实现了评价主体多元化、评价内容多维化和评价过程动态化，“以评促建”推进“金课”建设。重庆建筑高级技工学校依托实训基地推行“教、学、做一体化”模式，搭配多元化评价体系，重点考核实操与问题解决能力，筑牢技能培养核心。重庆市聚英技工学校结合行业技术与办学实际，制定涵盖目标、内容、方法、评价等维度的课程质量标准，明确教学规范，为课程实施提供标准化依据。</w:t>
      </w:r>
    </w:p>
    <w:p w14:paraId="6D8190A0">
      <w:pPr>
        <w:pStyle w:val="3"/>
        <w:spacing w:before="327" w:after="327"/>
      </w:pPr>
      <w:bookmarkStart w:id="67" w:name="_Toc32631"/>
      <w:r>
        <w:rPr>
          <w:rFonts w:hint="eastAsia"/>
        </w:rPr>
        <w:t xml:space="preserve">2.4 </w:t>
      </w:r>
      <w:r>
        <w:rPr>
          <w:rFonts w:hint="eastAsia" w:ascii="方正黑体_GBK" w:hAnsi="方正黑体_GBK" w:eastAsia="方正黑体_GBK" w:cs="方正黑体_GBK"/>
        </w:rPr>
        <w:t>教材建设</w:t>
      </w:r>
      <w:bookmarkEnd w:id="67"/>
    </w:p>
    <w:p w14:paraId="1E964B74">
      <w:pPr>
        <w:pStyle w:val="4"/>
        <w:spacing w:before="163" w:after="163"/>
      </w:pPr>
      <w:bookmarkStart w:id="68" w:name="_Toc23353"/>
      <w:r>
        <w:rPr>
          <w:rFonts w:hint="eastAsia"/>
        </w:rPr>
        <w:t xml:space="preserve">2.4.1 </w:t>
      </w:r>
      <w:r>
        <w:rPr>
          <w:rFonts w:hint="eastAsia" w:ascii="方正黑体_GBK" w:hAnsi="方正黑体_GBK" w:eastAsia="方正黑体_GBK" w:cs="方正黑体_GBK"/>
        </w:rPr>
        <w:t>严格规范教材选用</w:t>
      </w:r>
      <w:bookmarkEnd w:id="68"/>
    </w:p>
    <w:p w14:paraId="06D96867">
      <w:pPr>
        <w:ind w:firstLine="480" w:firstLineChars="200"/>
        <w:rPr>
          <w:lang w:eastAsia="zh-CN"/>
        </w:rPr>
      </w:pPr>
      <w:r>
        <w:rPr>
          <w:lang w:eastAsia="zh-CN"/>
        </w:rPr>
        <w:t>根据教育部《关于印发〈职业院校教材管理办法〉的通知》</w:t>
      </w:r>
      <w:r>
        <w:rPr>
          <w:rFonts w:hint="eastAsia"/>
          <w:lang w:eastAsia="zh-CN"/>
        </w:rPr>
        <w:t>等</w:t>
      </w:r>
      <w:r>
        <w:rPr>
          <w:lang w:eastAsia="zh-CN"/>
        </w:rPr>
        <w:t>文件精神，依据《职业院校教材管理办法》要求，</w:t>
      </w:r>
      <w:r>
        <w:rPr>
          <w:rFonts w:hint="eastAsia"/>
          <w:lang w:eastAsia="zh-CN"/>
        </w:rPr>
        <w:t>区</w:t>
      </w:r>
      <w:r>
        <w:rPr>
          <w:lang w:eastAsia="zh-CN"/>
        </w:rPr>
        <w:t>教委不断健全教材选用制度，积极推进国家</w:t>
      </w:r>
      <w:r>
        <w:rPr>
          <w:rFonts w:hint="eastAsia"/>
          <w:lang w:eastAsia="zh-CN"/>
        </w:rPr>
        <w:t>“</w:t>
      </w:r>
      <w:r>
        <w:rPr>
          <w:lang w:eastAsia="zh-CN"/>
        </w:rPr>
        <w:t>十四五</w:t>
      </w:r>
      <w:r>
        <w:rPr>
          <w:rFonts w:hint="eastAsia"/>
          <w:lang w:eastAsia="zh-CN"/>
        </w:rPr>
        <w:t>”</w:t>
      </w:r>
      <w:r>
        <w:rPr>
          <w:lang w:eastAsia="zh-CN"/>
        </w:rPr>
        <w:t>规划教材建设。</w:t>
      </w:r>
      <w:r>
        <w:rPr>
          <w:rFonts w:hint="eastAsia"/>
          <w:lang w:eastAsia="zh-CN"/>
        </w:rPr>
        <w:t>自2023年9月中等职业学校思想政治、语文、历史三科统编教材在全国实施起，区教委明确全区中等职业学校要按照学生人数足额配备中职</w:t>
      </w:r>
    </w:p>
    <w:p w14:paraId="5D86E0ED">
      <w:pPr>
        <w:ind w:firstLine="480" w:firstLineChars="200"/>
        <w:rPr>
          <w:lang w:eastAsia="zh-CN"/>
        </w:rPr>
      </w:pPr>
      <w:r>
        <w:rPr>
          <w:rFonts w:hint="eastAsia"/>
          <w:lang w:eastAsia="zh-CN"/>
        </w:rPr>
        <w:t>三科统编教材，做到“人手一册”。中职公共基础必修课在国家规划教材目录中选用，专业教材优先选用最新版次的国家和省级规划教材、精品教材。重庆市九龙坡职业教育中心构建“书记校长总责—分管领导主抓—部门协同落实—教研组执行”四级责任体系，成立多层级评审机构，设立纪委牵头、家委会成员代表嵌入的监督小组全程监督，规范教材教辅选用管理。重庆市工艺美术学校建立“学科教研组初审、教学服务中心二审、学校教材审核委员会终核”的三级审核制度，严格落实教材的审核发放。重庆建筑高级技工学校严格执行教材选用审批制度，由党委把关，建立“教研组研讨—学校审核—校内公示”三级审查流程，规范教材选用。</w:t>
      </w:r>
    </w:p>
    <w:p w14:paraId="1A6FD611">
      <w:pPr>
        <w:pStyle w:val="4"/>
        <w:spacing w:before="163" w:after="163"/>
      </w:pPr>
      <w:bookmarkStart w:id="69" w:name="_Toc2699"/>
      <w:r>
        <w:rPr>
          <w:rFonts w:hint="eastAsia"/>
        </w:rPr>
        <w:t xml:space="preserve">2.4.2 </w:t>
      </w:r>
      <w:r>
        <w:rPr>
          <w:rFonts w:hint="eastAsia" w:ascii="方正黑体_GBK" w:hAnsi="方正黑体_GBK" w:eastAsia="方正黑体_GBK" w:cs="方正黑体_GBK"/>
        </w:rPr>
        <w:t>积极开发新形态教材</w:t>
      </w:r>
      <w:bookmarkEnd w:id="69"/>
    </w:p>
    <w:p w14:paraId="4F740837">
      <w:pPr>
        <w:ind w:firstLine="480" w:firstLineChars="200"/>
        <w:rPr>
          <w:lang w:eastAsia="zh-CN"/>
        </w:rPr>
      </w:pPr>
      <w:r>
        <w:rPr>
          <w:rFonts w:hint="eastAsia"/>
          <w:lang w:eastAsia="zh-CN"/>
        </w:rPr>
        <w:t>全区中职学校追踪行业发展前沿，结合教师跟岗、项目研发经验，及时将新工艺、新规范融入教材内容，动态更新教材内容，积极开发新形态教材。重庆市九龙坡职业教育中心将教材建设作为提升人才培养质量核心环节，推动教材开发从“数量增长”转向“质量跃升”，构建高质量教材体系，启动《电机与电气控制技术》数字教材开发，新增4部教材入选“十四五”国家规划教材。重庆市工艺美术学校鼓励教师编写教材，支持教师编写或参与编写具有地域特色、校本特色的教材，本年度学校开发并出版数字教材1本。</w:t>
      </w:r>
    </w:p>
    <w:p w14:paraId="316C0F1B">
      <w:pPr>
        <w:spacing w:line="240" w:lineRule="auto"/>
        <w:jc w:val="center"/>
        <w:rPr>
          <w:lang w:eastAsia="zh-CN"/>
        </w:rPr>
      </w:pPr>
      <w:r>
        <w:rPr>
          <w:lang w:eastAsia="zh-CN"/>
        </w:rPr>
        <w:drawing>
          <wp:inline distT="0" distB="0" distL="114300" distR="114300">
            <wp:extent cx="3780155" cy="2473960"/>
            <wp:effectExtent l="0" t="0" r="8890" b="8890"/>
            <wp:docPr id="93" name="图片 93" descr="3b39c1520ca30551cf1c83bda937e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3b39c1520ca30551cf1c83bda937e3e7"/>
                    <pic:cNvPicPr>
                      <a:picLocks noChangeAspect="1"/>
                    </pic:cNvPicPr>
                  </pic:nvPicPr>
                  <pic:blipFill>
                    <a:blip r:embed="rId23"/>
                    <a:stretch>
                      <a:fillRect/>
                    </a:stretch>
                  </pic:blipFill>
                  <pic:spPr>
                    <a:xfrm>
                      <a:off x="0" y="0"/>
                      <a:ext cx="3780155" cy="2473960"/>
                    </a:xfrm>
                    <a:prstGeom prst="rect">
                      <a:avLst/>
                    </a:prstGeom>
                  </pic:spPr>
                </pic:pic>
              </a:graphicData>
            </a:graphic>
          </wp:inline>
        </w:drawing>
      </w:r>
    </w:p>
    <w:p w14:paraId="198C5295">
      <w:pPr>
        <w:pStyle w:val="7"/>
      </w:pPr>
      <w:r>
        <w:t>图</w:t>
      </w:r>
      <w:r>
        <w:fldChar w:fldCharType="begin"/>
      </w:r>
      <w:r>
        <w:instrText xml:space="preserve"> SEQ 图 \* ARABIC </w:instrText>
      </w:r>
      <w:r>
        <w:fldChar w:fldCharType="separate"/>
      </w:r>
      <w:r>
        <w:t>8</w:t>
      </w:r>
      <w:r>
        <w:fldChar w:fldCharType="end"/>
      </w:r>
      <w:bookmarkStart w:id="70" w:name="_Toc2548"/>
      <w:r>
        <w:rPr>
          <w:rFonts w:hint="eastAsia"/>
          <w:lang w:val="en-US" w:eastAsia="zh-CN"/>
        </w:rPr>
        <w:t xml:space="preserve">  </w:t>
      </w:r>
      <w:r>
        <w:t>重庆市九龙坡职业教育中心</w:t>
      </w:r>
      <w:r>
        <w:rPr>
          <w:rFonts w:hint="eastAsia"/>
          <w:lang w:eastAsia="zh-CN"/>
        </w:rPr>
        <w:t>“</w:t>
      </w:r>
      <w:r>
        <w:t>十四五</w:t>
      </w:r>
      <w:r>
        <w:rPr>
          <w:rFonts w:hint="eastAsia"/>
          <w:lang w:eastAsia="zh-CN"/>
        </w:rPr>
        <w:t>”</w:t>
      </w:r>
      <w:r>
        <w:t>国家规划教材</w:t>
      </w:r>
      <w:bookmarkEnd w:id="70"/>
    </w:p>
    <w:p w14:paraId="3748D474">
      <w:pPr>
        <w:pStyle w:val="3"/>
        <w:spacing w:before="327" w:after="327"/>
      </w:pPr>
      <w:bookmarkStart w:id="71" w:name="_Toc14014"/>
      <w:r>
        <w:rPr>
          <w:rFonts w:hint="eastAsia"/>
        </w:rPr>
        <w:t xml:space="preserve">2.5 </w:t>
      </w:r>
      <w:r>
        <w:rPr>
          <w:rFonts w:hint="eastAsia" w:ascii="方正黑体_GBK" w:hAnsi="方正黑体_GBK" w:eastAsia="方正黑体_GBK" w:cs="方正黑体_GBK"/>
        </w:rPr>
        <w:t>教师队伍建设</w:t>
      </w:r>
      <w:bookmarkEnd w:id="71"/>
    </w:p>
    <w:p w14:paraId="000B3412">
      <w:pPr>
        <w:pStyle w:val="4"/>
        <w:spacing w:before="163" w:after="163"/>
      </w:pPr>
      <w:bookmarkStart w:id="72" w:name="_Toc15835"/>
      <w:r>
        <w:rPr>
          <w:rFonts w:hint="eastAsia"/>
        </w:rPr>
        <w:t xml:space="preserve">2.5.1 </w:t>
      </w:r>
      <w:r>
        <w:rPr>
          <w:rFonts w:hint="eastAsia" w:ascii="方正黑体_GBK" w:hAnsi="方正黑体_GBK" w:eastAsia="方正黑体_GBK" w:cs="方正黑体_GBK"/>
        </w:rPr>
        <w:t>加强师德师风建设</w:t>
      </w:r>
      <w:bookmarkEnd w:id="72"/>
    </w:p>
    <w:p w14:paraId="48D9466B">
      <w:pPr>
        <w:ind w:firstLine="480" w:firstLineChars="200"/>
        <w:rPr>
          <w:lang w:eastAsia="zh-CN"/>
        </w:rPr>
      </w:pPr>
      <w:r>
        <w:rPr>
          <w:rFonts w:hint="eastAsia"/>
          <w:lang w:eastAsia="zh-CN"/>
        </w:rPr>
        <w:t>全区中职学校高度重视师德师风建设，将其作为教师队伍建设的首要任务与重点工作常抓不懈。一方面，强化思想引领与制度保障，以习近平新时代中国特色社会主义思想为指引，推进师德师风建设常态化长效化。多所学校通过开展专题教育、警示教育，组织入职宣誓与全员承诺，筑牢教师思想根基。制定考核评价办法，将师德评价全面纳入岗位聘用、职称评定等关键环节，实行“一票否决”，严格执行负面清单与“零容忍”制度，同时选树典型、保障权益，营造尊师重教氛围。另一方面，注重教育家精神培育与监督渠道拓展，开展弘扬教育家精神演讲比赛，激励教师争当“四有”好教师。通过以身边事教育身边人的警示教育，帮助教师分析研判问题与风险。公开校长意见信箱、纪检举报箱，推出投诉二维码，广泛接受师生及社会监督，定期开展学生评教，及时掌握师德表现与问题线索。经系列举措，区域内学校全面建立起师德师风预防、发现和查处机制，教师精神面貌有效提振。</w:t>
      </w:r>
    </w:p>
    <w:p w14:paraId="526F5355">
      <w:pPr>
        <w:pStyle w:val="4"/>
        <w:spacing w:before="163" w:after="163"/>
      </w:pPr>
      <w:bookmarkStart w:id="73" w:name="_Toc5843"/>
      <w:r>
        <w:rPr>
          <w:rFonts w:hint="eastAsia"/>
        </w:rPr>
        <w:t xml:space="preserve">2.5.2 </w:t>
      </w:r>
      <w:r>
        <w:rPr>
          <w:rFonts w:hint="eastAsia" w:ascii="方正黑体_GBK" w:hAnsi="方正黑体_GBK" w:eastAsia="方正黑体_GBK" w:cs="方正黑体_GBK"/>
        </w:rPr>
        <w:t>加强双师型教师队伍建设</w:t>
      </w:r>
      <w:bookmarkEnd w:id="73"/>
    </w:p>
    <w:p w14:paraId="13DCD0E7">
      <w:pPr>
        <w:ind w:firstLine="480" w:firstLineChars="200"/>
        <w:rPr>
          <w:lang w:eastAsia="zh-CN"/>
        </w:rPr>
      </w:pPr>
      <w:r>
        <w:rPr>
          <w:rFonts w:hint="eastAsia"/>
          <w:lang w:eastAsia="zh-CN"/>
        </w:rPr>
        <w:t>全区中职学校将“双师型”教师队伍建设作为提升职业教育质量的关键抓手，多措并举推动教师能力升级与产业深度融合。重庆市九龙坡职业教育中心依托示范性教师企业实践流动站及现场工程师专项计划，实施“双培双带”工程，推动“教师进企业、大师进校园”，2025年新增“双师型”教师11人，专业课教师中“双师型”占比达95.85%；构建分层分类培训体系，每学期开展全员基础技能培训，组织教师参加人社部门职业技能认证，选派骨干赴高校研修前沿技术，全年20人取得技师及以上证书，持续深化教学与产业对接。重庆市工艺美术以强化“双师型”教师队伍建设为突破口，多维度提升教师服务产业升级的能力，组织教师参与国培、市培、校培等各级各类培训累计达100余人次，创新实践机制，选派教师深入合作企业开展沉浸式实践锻炼，累计完成72人天的企业实践，推动教学与生产场景深度融合。</w:t>
      </w:r>
    </w:p>
    <w:p w14:paraId="1946EC69">
      <w:pPr>
        <w:pStyle w:val="4"/>
        <w:spacing w:before="163" w:after="163"/>
      </w:pPr>
      <w:bookmarkStart w:id="74" w:name="_Toc19630"/>
      <w:r>
        <w:rPr>
          <w:rFonts w:hint="eastAsia"/>
        </w:rPr>
        <w:t xml:space="preserve">2.5.3 </w:t>
      </w:r>
      <w:r>
        <w:rPr>
          <w:rFonts w:hint="eastAsia" w:ascii="方正黑体_GBK" w:hAnsi="方正黑体_GBK" w:eastAsia="方正黑体_GBK" w:cs="方正黑体_GBK"/>
        </w:rPr>
        <w:t>构建多元化教师成长体系</w:t>
      </w:r>
      <w:bookmarkEnd w:id="74"/>
    </w:p>
    <w:p w14:paraId="50E83E5A">
      <w:pPr>
        <w:ind w:firstLine="480" w:firstLineChars="200"/>
        <w:rPr>
          <w:lang w:eastAsia="zh-CN"/>
        </w:rPr>
      </w:pPr>
      <w:r>
        <w:rPr>
          <w:rFonts w:hint="eastAsia"/>
          <w:lang w:eastAsia="zh-CN"/>
        </w:rPr>
        <w:t>全区中职学校构建“全链条、多维度”教师培养培训体系，助力教师专业素养全面提升。重庆市九龙坡职业教育中心以“整体规划、分层培育、特色发展”为路径，依托名师（技能大师）工作室，组建“名师引领、名匠传技、创新驱动”型教学创新团队；通过跨团队联合教研、技术攻关与资源共享，辐射带动全校教师专业提升；深化“一体双径五维五阶”班主任培养模式，开设“逐光班”培训班，完成53人次专题培训；搭建征文、案例评选等展示平台，吸引近150人次参与，示范辐射效应显著。重庆市工艺美术学校优化培训机制，修订校级集中培训管理办法，全年组织多元领域培训100余人次，开展综合高中及转岗教师专项培训；实施“青蓝结对”，举办新教师座谈会，助力青年教师成长；本年度4名教师参与城口县教育帮扶，推动区域教育协同共进；深耕科研课改，本年度立项1项市级教育综合改革项目，主研1项重庆市职业教育重大教改项目，完成2项教改项目结题，筹备2项市教育学会课题结题。重庆市聚英技工学校搭建“校外培训+校本研讨”多维培育平台，组织教师参与新任教师提升、专业教师技能强化等校外专项培训。</w:t>
      </w:r>
    </w:p>
    <w:p w14:paraId="1CF5A29B">
      <w:pPr>
        <w:pStyle w:val="7"/>
        <w:ind w:firstLine="422" w:firstLineChars="200"/>
        <w:jc w:val="center"/>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6</w:t>
      </w:r>
      <w:r>
        <w:rPr>
          <w:rFonts w:hint="default" w:ascii="Times New Roman" w:hAnsi="Times New Roman" w:eastAsia="黑体" w:cs="Times New Roman"/>
          <w:b/>
          <w:bCs/>
          <w:color w:val="2E54A1" w:themeColor="accent1" w:themeShade="BF"/>
          <w:sz w:val="21"/>
          <w:szCs w:val="21"/>
        </w:rPr>
        <w:fldChar w:fldCharType="end"/>
      </w:r>
      <w:bookmarkStart w:id="75" w:name="_Toc4000"/>
      <w:r>
        <w:rPr>
          <w:rFonts w:hint="default" w:ascii="Times New Roman" w:hAnsi="Times New Roman" w:eastAsia="黑体" w:cs="Times New Roman"/>
          <w:b/>
          <w:bCs/>
          <w:color w:val="2E54A1" w:themeColor="accent1" w:themeShade="BF"/>
          <w:sz w:val="21"/>
          <w:szCs w:val="21"/>
        </w:rPr>
        <w:t>】  重庆市九龙坡职业教育中心构建</w:t>
      </w:r>
      <w:r>
        <w:rPr>
          <w:rFonts w:hint="eastAsia" w:eastAsia="黑体" w:cs="Times New Roman"/>
          <w:b/>
          <w:bCs/>
          <w:color w:val="2E54A1" w:themeColor="accent1" w:themeShade="BF"/>
          <w:sz w:val="21"/>
          <w:szCs w:val="21"/>
          <w:lang w:eastAsia="zh-CN"/>
        </w:rPr>
        <w:t>“</w:t>
      </w:r>
      <w:r>
        <w:rPr>
          <w:rFonts w:hint="default" w:ascii="Times New Roman" w:hAnsi="Times New Roman" w:eastAsia="黑体" w:cs="Times New Roman"/>
          <w:b/>
          <w:bCs/>
          <w:color w:val="2E54A1" w:themeColor="accent1" w:themeShade="BF"/>
          <w:sz w:val="21"/>
          <w:szCs w:val="21"/>
        </w:rPr>
        <w:t>德心共育</w:t>
      </w:r>
      <w:r>
        <w:rPr>
          <w:rFonts w:hint="eastAsia" w:eastAsia="黑体" w:cs="Times New Roman"/>
          <w:b/>
          <w:bCs/>
          <w:color w:val="2E54A1" w:themeColor="accent1" w:themeShade="BF"/>
          <w:sz w:val="21"/>
          <w:szCs w:val="21"/>
          <w:lang w:eastAsia="zh-CN"/>
        </w:rPr>
        <w:t>”</w:t>
      </w:r>
      <w:r>
        <w:rPr>
          <w:rFonts w:hint="default" w:ascii="Times New Roman" w:hAnsi="Times New Roman" w:eastAsia="黑体" w:cs="Times New Roman"/>
          <w:b/>
          <w:bCs/>
          <w:color w:val="2E54A1" w:themeColor="accent1" w:themeShade="BF"/>
          <w:sz w:val="21"/>
          <w:szCs w:val="21"/>
        </w:rPr>
        <w:t>大师资队伍</w:t>
      </w:r>
      <w:bookmarkEnd w:id="75"/>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39E0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6B8ADBDA">
            <w:pPr>
              <w:ind w:firstLine="420" w:firstLineChars="200"/>
              <w:rPr>
                <w:rFonts w:eastAsia="楷体" w:cs="Times New Roman"/>
                <w:sz w:val="21"/>
                <w:szCs w:val="21"/>
                <w:lang w:eastAsia="zh-CN"/>
              </w:rPr>
            </w:pPr>
            <w:r>
              <w:rPr>
                <w:rFonts w:hint="eastAsia" w:eastAsia="楷体" w:cs="Times New Roman"/>
                <w:sz w:val="21"/>
                <w:szCs w:val="21"/>
                <w:lang w:eastAsia="zh-CN"/>
              </w:rPr>
              <w:t>浇花浇根，育人育心，增强班主任团队育德与润心能力。一是培根启智，聚力护航。做学生思想的“引路人”，班级团队的“建设者”，青春心灵的“守护者”，学业技能的“指导员”，家校社会的“联结器”。二是选培赋能，树优展能。加强班主任的选聘工作，推进班主任逐光班培训，菜单式、常态化、系统开展班主任逐光班培训和班主任老带新培训，搭建班主任展示平台，开展班主任典型工作案例征集，班级活动设计与展示评选等活动，树班主任优秀典型，开展优秀班主任评选活动。三是强室竞技，传扬特色。聚焦班主任工作室建设，持续推进罗慧市级名班主任工作室建设，选拔50名年轻班主任加入工作室形成“逐光班”，参与课题研究等。做好校、区、市、国家四级班主任能力赛制，选拔优秀班主任参加国家级班主任能力比赛连续三年获国家一等奖。工作室为国家教育行政学院等举办教育专题讲座逾40场，接待湖北、山东等市内外兄弟学校教师来校参观逾700人。</w:t>
            </w:r>
          </w:p>
          <w:p w14:paraId="49213155">
            <w:pPr>
              <w:spacing w:line="240" w:lineRule="auto"/>
              <w:jc w:val="center"/>
              <w:rPr>
                <w:sz w:val="21"/>
                <w:szCs w:val="21"/>
                <w:lang w:eastAsia="zh-CN"/>
              </w:rPr>
            </w:pPr>
            <w:r>
              <w:rPr>
                <w:sz w:val="21"/>
                <w:szCs w:val="21"/>
              </w:rPr>
              <w:drawing>
                <wp:inline distT="0" distB="0" distL="114300" distR="114300">
                  <wp:extent cx="3780155" cy="2571115"/>
                  <wp:effectExtent l="0" t="0" r="8890" b="889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4"/>
                          <a:srcRect t="28297"/>
                          <a:stretch>
                            <a:fillRect/>
                          </a:stretch>
                        </pic:blipFill>
                        <pic:spPr>
                          <a:xfrm>
                            <a:off x="0" y="0"/>
                            <a:ext cx="3780155" cy="2571115"/>
                          </a:xfrm>
                          <a:prstGeom prst="rect">
                            <a:avLst/>
                          </a:prstGeom>
                          <a:noFill/>
                          <a:ln>
                            <a:noFill/>
                          </a:ln>
                        </pic:spPr>
                      </pic:pic>
                    </a:graphicData>
                  </a:graphic>
                </wp:inline>
              </w:drawing>
            </w:r>
          </w:p>
          <w:p w14:paraId="196E5C87">
            <w:pPr>
              <w:pStyle w:val="7"/>
              <w:rPr>
                <w:sz w:val="21"/>
                <w:szCs w:val="21"/>
              </w:rPr>
            </w:pPr>
            <w:bookmarkStart w:id="76" w:name="_Toc23603"/>
            <w:bookmarkStart w:id="77" w:name="_Toc19203"/>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9</w:t>
            </w:r>
            <w:r>
              <w:rPr>
                <w:sz w:val="21"/>
                <w:szCs w:val="21"/>
              </w:rPr>
              <w:fldChar w:fldCharType="end"/>
            </w:r>
            <w:bookmarkStart w:id="78" w:name="_Toc25284"/>
            <w:r>
              <w:rPr>
                <w:rFonts w:hint="eastAsia"/>
                <w:sz w:val="21"/>
                <w:szCs w:val="21"/>
                <w:lang w:val="en-US" w:eastAsia="zh-CN"/>
              </w:rPr>
              <w:t xml:space="preserve"> </w:t>
            </w:r>
            <w:r>
              <w:rPr>
                <w:rFonts w:hint="eastAsia"/>
                <w:sz w:val="21"/>
                <w:szCs w:val="21"/>
              </w:rPr>
              <w:t xml:space="preserve"> </w:t>
            </w:r>
            <w:bookmarkEnd w:id="76"/>
            <w:bookmarkEnd w:id="77"/>
            <w:r>
              <w:rPr>
                <w:rFonts w:hint="eastAsia"/>
                <w:sz w:val="21"/>
                <w:szCs w:val="21"/>
              </w:rPr>
              <w:t>重庆市九龙坡职业教育中心</w:t>
            </w:r>
            <w:r>
              <w:rPr>
                <w:sz w:val="21"/>
                <w:szCs w:val="21"/>
              </w:rPr>
              <w:t>班主任</w:t>
            </w:r>
            <w:r>
              <w:rPr>
                <w:rFonts w:hint="eastAsia"/>
                <w:sz w:val="21"/>
                <w:szCs w:val="21"/>
                <w:lang w:eastAsia="zh-CN"/>
              </w:rPr>
              <w:t>研修</w:t>
            </w:r>
            <w:r>
              <w:rPr>
                <w:sz w:val="21"/>
                <w:szCs w:val="21"/>
              </w:rPr>
              <w:t>培训照</w:t>
            </w:r>
            <w:bookmarkEnd w:id="78"/>
          </w:p>
        </w:tc>
      </w:tr>
    </w:tbl>
    <w:p w14:paraId="70FFFAD6">
      <w:pPr>
        <w:pStyle w:val="3"/>
        <w:spacing w:before="327" w:after="327"/>
      </w:pPr>
      <w:bookmarkStart w:id="79" w:name="_Toc1479"/>
      <w:r>
        <w:rPr>
          <w:rFonts w:hint="eastAsia"/>
        </w:rPr>
        <w:t xml:space="preserve">2.6 </w:t>
      </w:r>
      <w:r>
        <w:rPr>
          <w:rFonts w:hint="eastAsia" w:ascii="方正黑体_GBK" w:hAnsi="方正黑体_GBK" w:eastAsia="方正黑体_GBK" w:cs="方正黑体_GBK"/>
        </w:rPr>
        <w:t>实训基地建设</w:t>
      </w:r>
      <w:bookmarkEnd w:id="79"/>
    </w:p>
    <w:p w14:paraId="2746DABB">
      <w:pPr>
        <w:ind w:firstLine="480" w:firstLineChars="200"/>
        <w:rPr>
          <w:lang w:eastAsia="zh-CN"/>
        </w:rPr>
      </w:pPr>
      <w:r>
        <w:rPr>
          <w:rFonts w:hint="eastAsia"/>
          <w:lang w:eastAsia="zh-CN"/>
        </w:rPr>
        <w:t>全区中职学校持续加强实训基地建设，着力培养适应现代产业需求的高素质技术技能人才。重庆市九龙坡职业教育中心建有19个校内实训基地，提供3888个实训工位；5个校外实训基地，生均实训工位350个；校企共建“西点咖啡”“汽车美容”共享型生产性实训基地，占地约700平方米，配15台套设备，总投资105万元（企业投入45万元）；拥有工业机器人仿真实训基地和新能源汽车高水平产教融合基地2个市级实训基地。重庆市工艺美术学校建有市级动漫实训及校企双基地各1个，本年度建成3个虚拟仿真实训基地，改扩建5个实训室；利用市级揭榜挂帅项目，规划建设智造创客实训室和工艺美术实训基地，开发5个实践教学项目。重庆市聚英技工学校建有国家级实训基地1个、市级实训基地3个、校企共建实训中心2个，校级实训室6个，实训工位615个。</w:t>
      </w:r>
    </w:p>
    <w:p w14:paraId="6868A01F">
      <w:pPr>
        <w:pStyle w:val="7"/>
        <w:ind w:firstLine="422" w:firstLineChars="200"/>
        <w:jc w:val="center"/>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7</w:t>
      </w:r>
      <w:r>
        <w:rPr>
          <w:rFonts w:hint="default" w:ascii="Times New Roman" w:hAnsi="Times New Roman" w:eastAsia="黑体" w:cs="Times New Roman"/>
          <w:b/>
          <w:bCs/>
          <w:color w:val="2E54A1" w:themeColor="accent1" w:themeShade="BF"/>
          <w:sz w:val="21"/>
          <w:szCs w:val="21"/>
        </w:rPr>
        <w:fldChar w:fldCharType="end"/>
      </w:r>
      <w:bookmarkStart w:id="80" w:name="_Toc4305"/>
      <w:r>
        <w:rPr>
          <w:rFonts w:hint="default" w:ascii="Times New Roman" w:hAnsi="Times New Roman" w:eastAsia="黑体" w:cs="Times New Roman"/>
          <w:b/>
          <w:bCs/>
          <w:color w:val="2E54A1" w:themeColor="accent1" w:themeShade="BF"/>
          <w:sz w:val="21"/>
          <w:szCs w:val="21"/>
        </w:rPr>
        <w:t>】  重庆市九龙坡职业教育中心构建</w:t>
      </w:r>
      <w:r>
        <w:rPr>
          <w:rFonts w:hint="eastAsia" w:eastAsia="黑体" w:cs="Times New Roman"/>
          <w:b/>
          <w:bCs/>
          <w:color w:val="2E54A1" w:themeColor="accent1" w:themeShade="BF"/>
          <w:sz w:val="21"/>
          <w:szCs w:val="21"/>
          <w:lang w:eastAsia="zh-CN"/>
        </w:rPr>
        <w:t>“</w:t>
      </w:r>
      <w:r>
        <w:rPr>
          <w:rFonts w:hint="default" w:ascii="Times New Roman" w:hAnsi="Times New Roman" w:eastAsia="黑体" w:cs="Times New Roman"/>
          <w:b/>
          <w:bCs/>
          <w:color w:val="2E54A1" w:themeColor="accent1" w:themeShade="BF"/>
          <w:sz w:val="21"/>
          <w:szCs w:val="21"/>
        </w:rPr>
        <w:t>AI赋能·虚实共生</w:t>
      </w:r>
      <w:r>
        <w:rPr>
          <w:rFonts w:hint="eastAsia" w:eastAsia="黑体" w:cs="Times New Roman"/>
          <w:b/>
          <w:bCs/>
          <w:color w:val="2E54A1" w:themeColor="accent1" w:themeShade="BF"/>
          <w:sz w:val="21"/>
          <w:szCs w:val="21"/>
          <w:lang w:eastAsia="zh-CN"/>
        </w:rPr>
        <w:t>”</w:t>
      </w:r>
      <w:r>
        <w:rPr>
          <w:rFonts w:hint="default" w:ascii="Times New Roman" w:hAnsi="Times New Roman" w:eastAsia="黑体" w:cs="Times New Roman"/>
          <w:b/>
          <w:bCs/>
          <w:color w:val="2E54A1" w:themeColor="accent1" w:themeShade="BF"/>
          <w:sz w:val="21"/>
          <w:szCs w:val="21"/>
        </w:rPr>
        <w:t>实训体系</w:t>
      </w:r>
      <w:bookmarkEnd w:id="80"/>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1F70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52804F54">
            <w:pPr>
              <w:ind w:firstLine="420" w:firstLineChars="200"/>
              <w:rPr>
                <w:sz w:val="21"/>
                <w:szCs w:val="21"/>
                <w:lang w:eastAsia="zh-CN"/>
              </w:rPr>
            </w:pPr>
            <w:r>
              <w:rPr>
                <w:rFonts w:hint="eastAsia" w:eastAsia="楷体" w:cs="Times New Roman"/>
                <w:sz w:val="21"/>
                <w:szCs w:val="21"/>
                <w:lang w:eastAsia="zh-CN"/>
              </w:rPr>
              <w:t>《中国制造2025》与重庆“33618”战略推进，装备制造产业亟需高素质人才。中职装备制造专业面临设备更新滞后、培养模式碎片化、实操安全保障不足等问题，导致实训教学陷“三难”困境。学校整合政校企资源，投资2000万元，联合10家龙头企业，依托9个市级基地项目，构建“AI赋能·虚实共生”实训体系，推动教学数字化转型。核心构建“虚实融合·四阶贯通”实训平台。一是认知启智坊，用AR透视技术实现设备可视化，搭配VR模拟系统与力反馈手套，夯实基础认知与规范操作能力。二是技能精进坊，搭建VR高仿真实训环境，集成AI导师系统，实时提示操作、纠正错误，生成27项指标评估报告，实现高频无风险技能训练。三是系统集成坊，基于数字孪生技术建虚拟调试平台，学生完成虚拟产线设计后到物理环境验证，培养系统思维。四是创新应用坊，以AI数字孪生技术复现18个VR职业场景，提供虚拟资源组合测试环境，对接产业前沿激发创新力。实训体系实现教学数字化转型，有效破解传统实训难题，创新提升专业办学关键能力。通过沉浸式、系统化训练，学生数字素养与工程实践能力显著增强，为产业培养了一批具备“未来工匠”潜质的高素质技术技能人才，助力专业人才培养与产业需求精准对接。</w:t>
            </w:r>
          </w:p>
        </w:tc>
      </w:tr>
    </w:tbl>
    <w:p w14:paraId="2EE34AE2">
      <w:pPr>
        <w:pStyle w:val="7"/>
      </w:pPr>
      <w:r>
        <w:t>表</w:t>
      </w:r>
      <w:r>
        <w:fldChar w:fldCharType="begin"/>
      </w:r>
      <w:r>
        <w:instrText xml:space="preserve"> SEQ 表 \* ARABIC </w:instrText>
      </w:r>
      <w:r>
        <w:fldChar w:fldCharType="separate"/>
      </w:r>
      <w:r>
        <w:t>10</w:t>
      </w:r>
      <w:r>
        <w:fldChar w:fldCharType="end"/>
      </w:r>
      <w:bookmarkStart w:id="81" w:name="_Toc16787"/>
      <w:r>
        <w:rPr>
          <w:rFonts w:hint="eastAsia"/>
        </w:rPr>
        <w:t xml:space="preserve">  </w:t>
      </w:r>
      <w:r>
        <w:rPr>
          <w:rFonts w:hint="eastAsia"/>
          <w:lang w:eastAsia="zh-CN"/>
        </w:rPr>
        <w:t>区内中职学校</w:t>
      </w:r>
      <w:r>
        <w:rPr>
          <w:rFonts w:hint="eastAsia"/>
        </w:rPr>
        <w:t>部分</w:t>
      </w:r>
      <w:r>
        <w:t>实训基地一览表</w:t>
      </w:r>
      <w:bookmarkEnd w:id="81"/>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0"/>
        <w:gridCol w:w="5357"/>
      </w:tblGrid>
      <w:tr w14:paraId="1D90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27" w:type="pct"/>
            <w:shd w:val="clear" w:color="auto" w:fill="DAE3F5"/>
            <w:vAlign w:val="center"/>
          </w:tcPr>
          <w:p w14:paraId="60BC8E8D">
            <w:pPr>
              <w:jc w:val="center"/>
              <w:rPr>
                <w:bCs/>
                <w:color w:val="auto"/>
                <w:sz w:val="20"/>
                <w:szCs w:val="20"/>
                <w:lang w:eastAsia="zh-CN"/>
              </w:rPr>
            </w:pPr>
            <w:r>
              <w:rPr>
                <w:rFonts w:hint="eastAsia"/>
                <w:bCs/>
                <w:color w:val="auto"/>
                <w:sz w:val="20"/>
                <w:szCs w:val="20"/>
                <w:lang w:eastAsia="zh-CN"/>
              </w:rPr>
              <w:t>学校</w:t>
            </w:r>
          </w:p>
        </w:tc>
        <w:tc>
          <w:tcPr>
            <w:tcW w:w="3072" w:type="pct"/>
            <w:shd w:val="clear" w:color="auto" w:fill="DAE3F5"/>
            <w:vAlign w:val="center"/>
          </w:tcPr>
          <w:p w14:paraId="3CB597E1">
            <w:pPr>
              <w:jc w:val="center"/>
              <w:rPr>
                <w:bCs/>
                <w:color w:val="auto"/>
                <w:sz w:val="20"/>
                <w:szCs w:val="20"/>
                <w:lang w:eastAsia="zh-CN"/>
              </w:rPr>
            </w:pPr>
            <w:r>
              <w:rPr>
                <w:bCs/>
                <w:color w:val="auto"/>
                <w:sz w:val="20"/>
                <w:szCs w:val="20"/>
                <w:lang w:eastAsia="zh-CN"/>
              </w:rPr>
              <w:t>基地名称</w:t>
            </w:r>
          </w:p>
        </w:tc>
      </w:tr>
      <w:tr w14:paraId="4319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restart"/>
            <w:tcBorders>
              <w:tl2br w:val="nil"/>
              <w:tr2bl w:val="nil"/>
            </w:tcBorders>
            <w:shd w:val="clear" w:color="auto" w:fill="FFFFFF"/>
            <w:vAlign w:val="center"/>
          </w:tcPr>
          <w:p w14:paraId="4A73E67D">
            <w:pPr>
              <w:jc w:val="center"/>
              <w:rPr>
                <w:bCs/>
                <w:color w:val="auto"/>
                <w:sz w:val="20"/>
                <w:szCs w:val="20"/>
                <w:lang w:eastAsia="zh-CN"/>
              </w:rPr>
            </w:pPr>
            <w:r>
              <w:rPr>
                <w:rFonts w:hint="eastAsia"/>
                <w:bCs/>
                <w:color w:val="auto"/>
                <w:sz w:val="20"/>
                <w:szCs w:val="20"/>
                <w:lang w:eastAsia="zh-CN"/>
              </w:rPr>
              <w:t>重庆市九龙坡职业教育中心</w:t>
            </w:r>
          </w:p>
        </w:tc>
        <w:tc>
          <w:tcPr>
            <w:tcW w:w="3072" w:type="pct"/>
            <w:tcBorders>
              <w:tl2br w:val="nil"/>
              <w:tr2bl w:val="nil"/>
            </w:tcBorders>
            <w:shd w:val="clear" w:color="auto" w:fill="FFFFFF"/>
            <w:vAlign w:val="center"/>
          </w:tcPr>
          <w:p w14:paraId="5B5E135D">
            <w:pPr>
              <w:jc w:val="center"/>
              <w:rPr>
                <w:bCs/>
                <w:color w:val="auto"/>
                <w:sz w:val="20"/>
                <w:szCs w:val="20"/>
                <w:lang w:eastAsia="zh-CN"/>
              </w:rPr>
            </w:pPr>
            <w:r>
              <w:rPr>
                <w:bCs/>
                <w:color w:val="auto"/>
                <w:sz w:val="20"/>
                <w:szCs w:val="20"/>
                <w:lang w:eastAsia="zh-CN"/>
              </w:rPr>
              <w:t>汽车运用与维修实训基地</w:t>
            </w:r>
          </w:p>
        </w:tc>
      </w:tr>
      <w:tr w14:paraId="232B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4D34C94E">
            <w:pPr>
              <w:jc w:val="center"/>
              <w:rPr>
                <w:bCs/>
                <w:color w:val="auto"/>
                <w:sz w:val="20"/>
                <w:szCs w:val="20"/>
                <w:lang w:eastAsia="zh-CN"/>
              </w:rPr>
            </w:pPr>
          </w:p>
        </w:tc>
        <w:tc>
          <w:tcPr>
            <w:tcW w:w="3072" w:type="pct"/>
            <w:tcBorders>
              <w:tl2br w:val="nil"/>
              <w:tr2bl w:val="nil"/>
            </w:tcBorders>
            <w:shd w:val="clear" w:color="auto" w:fill="FFFFFF"/>
            <w:vAlign w:val="center"/>
          </w:tcPr>
          <w:p w14:paraId="7D1B80DC">
            <w:pPr>
              <w:jc w:val="center"/>
              <w:rPr>
                <w:bCs/>
                <w:color w:val="auto"/>
                <w:sz w:val="20"/>
                <w:szCs w:val="20"/>
                <w:lang w:eastAsia="zh-CN"/>
              </w:rPr>
            </w:pPr>
            <w:r>
              <w:rPr>
                <w:bCs/>
                <w:color w:val="auto"/>
                <w:sz w:val="20"/>
                <w:szCs w:val="20"/>
                <w:lang w:eastAsia="zh-CN"/>
              </w:rPr>
              <w:t>新能源汽车运用与维修实训基地</w:t>
            </w:r>
          </w:p>
        </w:tc>
      </w:tr>
      <w:tr w14:paraId="0AD5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56362F2A">
            <w:pPr>
              <w:jc w:val="center"/>
              <w:rPr>
                <w:bCs/>
                <w:color w:val="auto"/>
                <w:sz w:val="20"/>
                <w:szCs w:val="20"/>
                <w:lang w:eastAsia="zh-CN"/>
              </w:rPr>
            </w:pPr>
          </w:p>
        </w:tc>
        <w:tc>
          <w:tcPr>
            <w:tcW w:w="3072" w:type="pct"/>
            <w:tcBorders>
              <w:tl2br w:val="nil"/>
              <w:tr2bl w:val="nil"/>
            </w:tcBorders>
            <w:shd w:val="clear" w:color="auto" w:fill="FFFFFF"/>
            <w:vAlign w:val="center"/>
          </w:tcPr>
          <w:p w14:paraId="77BC389E">
            <w:pPr>
              <w:jc w:val="center"/>
              <w:rPr>
                <w:bCs/>
                <w:color w:val="auto"/>
                <w:sz w:val="20"/>
                <w:szCs w:val="20"/>
                <w:lang w:eastAsia="zh-CN"/>
              </w:rPr>
            </w:pPr>
            <w:r>
              <w:rPr>
                <w:bCs/>
                <w:color w:val="auto"/>
                <w:sz w:val="20"/>
                <w:szCs w:val="20"/>
                <w:lang w:eastAsia="zh-CN"/>
              </w:rPr>
              <w:t>物联网技术应用实训基地</w:t>
            </w:r>
          </w:p>
        </w:tc>
      </w:tr>
      <w:tr w14:paraId="1FDC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299AF2D0">
            <w:pPr>
              <w:jc w:val="center"/>
              <w:rPr>
                <w:bCs/>
                <w:color w:val="auto"/>
                <w:sz w:val="20"/>
                <w:szCs w:val="20"/>
                <w:lang w:eastAsia="zh-CN"/>
              </w:rPr>
            </w:pPr>
          </w:p>
        </w:tc>
        <w:tc>
          <w:tcPr>
            <w:tcW w:w="3072" w:type="pct"/>
            <w:tcBorders>
              <w:tl2br w:val="nil"/>
              <w:tr2bl w:val="nil"/>
            </w:tcBorders>
            <w:shd w:val="clear" w:color="auto" w:fill="FFFFFF"/>
            <w:vAlign w:val="center"/>
          </w:tcPr>
          <w:p w14:paraId="3861ED61">
            <w:pPr>
              <w:jc w:val="center"/>
              <w:rPr>
                <w:bCs/>
                <w:color w:val="auto"/>
                <w:sz w:val="20"/>
                <w:szCs w:val="20"/>
                <w:lang w:eastAsia="zh-CN"/>
              </w:rPr>
            </w:pPr>
            <w:r>
              <w:rPr>
                <w:bCs/>
                <w:color w:val="auto"/>
                <w:sz w:val="20"/>
                <w:szCs w:val="20"/>
                <w:lang w:eastAsia="zh-CN"/>
              </w:rPr>
              <w:t>数控技术应用实训基地</w:t>
            </w:r>
          </w:p>
        </w:tc>
      </w:tr>
      <w:tr w14:paraId="2504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67E464B2">
            <w:pPr>
              <w:jc w:val="center"/>
              <w:rPr>
                <w:bCs/>
                <w:color w:val="auto"/>
                <w:sz w:val="20"/>
                <w:szCs w:val="20"/>
                <w:lang w:eastAsia="zh-CN"/>
              </w:rPr>
            </w:pPr>
          </w:p>
        </w:tc>
        <w:tc>
          <w:tcPr>
            <w:tcW w:w="3072" w:type="pct"/>
            <w:tcBorders>
              <w:tl2br w:val="nil"/>
              <w:tr2bl w:val="nil"/>
            </w:tcBorders>
            <w:shd w:val="clear" w:color="auto" w:fill="FFFFFF"/>
            <w:vAlign w:val="center"/>
          </w:tcPr>
          <w:p w14:paraId="3FF7EB23">
            <w:pPr>
              <w:jc w:val="center"/>
              <w:rPr>
                <w:bCs/>
                <w:color w:val="auto"/>
                <w:sz w:val="20"/>
                <w:szCs w:val="20"/>
                <w:lang w:eastAsia="zh-CN"/>
              </w:rPr>
            </w:pPr>
            <w:r>
              <w:rPr>
                <w:bCs/>
                <w:color w:val="auto"/>
                <w:sz w:val="20"/>
                <w:szCs w:val="20"/>
                <w:lang w:eastAsia="zh-CN"/>
              </w:rPr>
              <w:t>高水平先进制造产教融合实训基地</w:t>
            </w:r>
          </w:p>
        </w:tc>
      </w:tr>
      <w:tr w14:paraId="7AB2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380F2CE3">
            <w:pPr>
              <w:jc w:val="center"/>
              <w:rPr>
                <w:bCs/>
                <w:color w:val="auto"/>
                <w:sz w:val="20"/>
                <w:szCs w:val="20"/>
                <w:lang w:eastAsia="zh-CN"/>
              </w:rPr>
            </w:pPr>
          </w:p>
        </w:tc>
        <w:tc>
          <w:tcPr>
            <w:tcW w:w="3072" w:type="pct"/>
            <w:tcBorders>
              <w:tl2br w:val="nil"/>
              <w:tr2bl w:val="nil"/>
            </w:tcBorders>
            <w:shd w:val="clear" w:color="auto" w:fill="FFFFFF"/>
            <w:vAlign w:val="center"/>
          </w:tcPr>
          <w:p w14:paraId="3939D522">
            <w:pPr>
              <w:jc w:val="center"/>
              <w:rPr>
                <w:bCs/>
                <w:color w:val="auto"/>
                <w:sz w:val="20"/>
                <w:szCs w:val="20"/>
                <w:lang w:eastAsia="zh-CN"/>
              </w:rPr>
            </w:pPr>
            <w:r>
              <w:rPr>
                <w:bCs/>
                <w:color w:val="auto"/>
                <w:sz w:val="20"/>
                <w:szCs w:val="20"/>
                <w:lang w:eastAsia="zh-CN"/>
              </w:rPr>
              <w:t>世界技能大赛电子技术重庆集训基地</w:t>
            </w:r>
          </w:p>
        </w:tc>
      </w:tr>
      <w:tr w14:paraId="16CA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27A3FFA9">
            <w:pPr>
              <w:jc w:val="center"/>
              <w:rPr>
                <w:bCs/>
                <w:color w:val="auto"/>
                <w:sz w:val="20"/>
                <w:szCs w:val="20"/>
                <w:lang w:eastAsia="zh-CN"/>
              </w:rPr>
            </w:pPr>
          </w:p>
        </w:tc>
        <w:tc>
          <w:tcPr>
            <w:tcW w:w="3072" w:type="pct"/>
            <w:tcBorders>
              <w:tl2br w:val="nil"/>
              <w:tr2bl w:val="nil"/>
            </w:tcBorders>
            <w:shd w:val="clear" w:color="auto" w:fill="FFFFFF"/>
            <w:vAlign w:val="center"/>
          </w:tcPr>
          <w:p w14:paraId="5993D122">
            <w:pPr>
              <w:jc w:val="center"/>
              <w:rPr>
                <w:bCs/>
                <w:color w:val="auto"/>
                <w:sz w:val="20"/>
                <w:szCs w:val="20"/>
                <w:lang w:eastAsia="zh-CN"/>
              </w:rPr>
            </w:pPr>
            <w:r>
              <w:rPr>
                <w:bCs/>
                <w:color w:val="auto"/>
                <w:sz w:val="20"/>
                <w:szCs w:val="20"/>
                <w:lang w:eastAsia="zh-CN"/>
              </w:rPr>
              <w:t>世界技能大赛物联网技术重庆集训基地</w:t>
            </w:r>
          </w:p>
        </w:tc>
      </w:tr>
      <w:tr w14:paraId="4FD3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7FB04EAB">
            <w:pPr>
              <w:jc w:val="center"/>
              <w:rPr>
                <w:bCs/>
                <w:color w:val="auto"/>
                <w:sz w:val="20"/>
                <w:szCs w:val="20"/>
                <w:lang w:eastAsia="zh-CN"/>
              </w:rPr>
            </w:pPr>
          </w:p>
        </w:tc>
        <w:tc>
          <w:tcPr>
            <w:tcW w:w="3072" w:type="pct"/>
            <w:tcBorders>
              <w:tl2br w:val="nil"/>
              <w:tr2bl w:val="nil"/>
            </w:tcBorders>
            <w:shd w:val="clear" w:color="auto" w:fill="FFFFFF"/>
            <w:vAlign w:val="center"/>
          </w:tcPr>
          <w:p w14:paraId="29C6EF35">
            <w:pPr>
              <w:jc w:val="center"/>
              <w:rPr>
                <w:bCs/>
                <w:color w:val="auto"/>
                <w:sz w:val="20"/>
                <w:szCs w:val="20"/>
              </w:rPr>
            </w:pPr>
            <w:r>
              <w:rPr>
                <w:bCs/>
                <w:color w:val="auto"/>
                <w:sz w:val="20"/>
                <w:szCs w:val="20"/>
                <w:lang w:eastAsia="zh-CN"/>
              </w:rPr>
              <w:t>计算机实训基地</w:t>
            </w:r>
          </w:p>
        </w:tc>
      </w:tr>
      <w:tr w14:paraId="0F0E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01B2EF6F">
            <w:pPr>
              <w:jc w:val="center"/>
              <w:rPr>
                <w:bCs/>
                <w:color w:val="auto"/>
                <w:sz w:val="20"/>
                <w:szCs w:val="20"/>
              </w:rPr>
            </w:pPr>
          </w:p>
        </w:tc>
        <w:tc>
          <w:tcPr>
            <w:tcW w:w="3072" w:type="pct"/>
            <w:tcBorders>
              <w:tl2br w:val="nil"/>
              <w:tr2bl w:val="nil"/>
            </w:tcBorders>
            <w:shd w:val="clear" w:color="auto" w:fill="FFFFFF"/>
            <w:vAlign w:val="center"/>
          </w:tcPr>
          <w:p w14:paraId="48981FF5">
            <w:pPr>
              <w:jc w:val="center"/>
              <w:rPr>
                <w:bCs/>
                <w:color w:val="auto"/>
                <w:sz w:val="20"/>
                <w:szCs w:val="20"/>
              </w:rPr>
            </w:pPr>
            <w:r>
              <w:rPr>
                <w:bCs/>
                <w:color w:val="auto"/>
                <w:sz w:val="20"/>
                <w:szCs w:val="20"/>
                <w:lang w:eastAsia="zh-CN"/>
              </w:rPr>
              <w:t>电子商务实训基地</w:t>
            </w:r>
          </w:p>
        </w:tc>
      </w:tr>
      <w:tr w14:paraId="0565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48EA36BC">
            <w:pPr>
              <w:jc w:val="center"/>
              <w:rPr>
                <w:bCs/>
                <w:color w:val="auto"/>
                <w:sz w:val="20"/>
                <w:szCs w:val="20"/>
              </w:rPr>
            </w:pPr>
          </w:p>
        </w:tc>
        <w:tc>
          <w:tcPr>
            <w:tcW w:w="3072" w:type="pct"/>
            <w:tcBorders>
              <w:tl2br w:val="nil"/>
              <w:tr2bl w:val="nil"/>
            </w:tcBorders>
            <w:shd w:val="clear" w:color="auto" w:fill="FFFFFF"/>
            <w:vAlign w:val="center"/>
          </w:tcPr>
          <w:p w14:paraId="5C42AFF9">
            <w:pPr>
              <w:jc w:val="center"/>
              <w:rPr>
                <w:bCs/>
                <w:color w:val="auto"/>
                <w:sz w:val="20"/>
                <w:szCs w:val="20"/>
                <w:lang w:eastAsia="zh-CN"/>
              </w:rPr>
            </w:pPr>
            <w:r>
              <w:rPr>
                <w:bCs/>
                <w:color w:val="auto"/>
                <w:sz w:val="20"/>
                <w:szCs w:val="20"/>
                <w:lang w:eastAsia="zh-CN"/>
              </w:rPr>
              <w:t>蚁聚九龙电商众创公社</w:t>
            </w:r>
          </w:p>
        </w:tc>
      </w:tr>
      <w:tr w14:paraId="37EB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2DE79E15">
            <w:pPr>
              <w:jc w:val="center"/>
              <w:rPr>
                <w:bCs/>
                <w:color w:val="auto"/>
                <w:sz w:val="20"/>
                <w:szCs w:val="20"/>
                <w:lang w:eastAsia="zh-CN"/>
              </w:rPr>
            </w:pPr>
          </w:p>
        </w:tc>
        <w:tc>
          <w:tcPr>
            <w:tcW w:w="3072" w:type="pct"/>
            <w:tcBorders>
              <w:tl2br w:val="nil"/>
              <w:tr2bl w:val="nil"/>
            </w:tcBorders>
            <w:shd w:val="clear" w:color="auto" w:fill="FFFFFF"/>
            <w:vAlign w:val="center"/>
          </w:tcPr>
          <w:p w14:paraId="29A84853">
            <w:pPr>
              <w:jc w:val="center"/>
              <w:rPr>
                <w:bCs/>
                <w:color w:val="auto"/>
                <w:sz w:val="20"/>
                <w:szCs w:val="20"/>
              </w:rPr>
            </w:pPr>
            <w:r>
              <w:rPr>
                <w:bCs/>
                <w:color w:val="auto"/>
                <w:sz w:val="20"/>
                <w:szCs w:val="20"/>
                <w:lang w:eastAsia="zh-CN"/>
              </w:rPr>
              <w:t>会计梦工厂</w:t>
            </w:r>
          </w:p>
        </w:tc>
      </w:tr>
      <w:tr w14:paraId="7C3B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597EE8A0">
            <w:pPr>
              <w:jc w:val="center"/>
              <w:rPr>
                <w:bCs/>
                <w:color w:val="auto"/>
                <w:sz w:val="20"/>
                <w:szCs w:val="20"/>
              </w:rPr>
            </w:pPr>
          </w:p>
        </w:tc>
        <w:tc>
          <w:tcPr>
            <w:tcW w:w="3072" w:type="pct"/>
            <w:tcBorders>
              <w:tl2br w:val="nil"/>
              <w:tr2bl w:val="nil"/>
            </w:tcBorders>
            <w:shd w:val="clear" w:color="auto" w:fill="FFFFFF"/>
            <w:vAlign w:val="center"/>
          </w:tcPr>
          <w:p w14:paraId="74AF1811">
            <w:pPr>
              <w:jc w:val="center"/>
              <w:rPr>
                <w:bCs/>
                <w:color w:val="auto"/>
                <w:sz w:val="20"/>
                <w:szCs w:val="20"/>
              </w:rPr>
            </w:pPr>
            <w:r>
              <w:rPr>
                <w:bCs/>
                <w:color w:val="auto"/>
                <w:sz w:val="20"/>
                <w:szCs w:val="20"/>
                <w:lang w:eastAsia="zh-CN"/>
              </w:rPr>
              <w:t>艺术设计实训基地</w:t>
            </w:r>
          </w:p>
        </w:tc>
      </w:tr>
      <w:tr w14:paraId="7DCE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04F25AA6">
            <w:pPr>
              <w:jc w:val="center"/>
              <w:rPr>
                <w:bCs/>
                <w:color w:val="auto"/>
                <w:sz w:val="20"/>
                <w:szCs w:val="20"/>
              </w:rPr>
            </w:pPr>
          </w:p>
        </w:tc>
        <w:tc>
          <w:tcPr>
            <w:tcW w:w="3072" w:type="pct"/>
            <w:tcBorders>
              <w:tl2br w:val="nil"/>
              <w:tr2bl w:val="nil"/>
            </w:tcBorders>
            <w:shd w:val="clear" w:color="auto" w:fill="FFFFFF"/>
            <w:vAlign w:val="center"/>
          </w:tcPr>
          <w:p w14:paraId="608C34B2">
            <w:pPr>
              <w:jc w:val="center"/>
              <w:rPr>
                <w:bCs/>
                <w:color w:val="auto"/>
                <w:sz w:val="20"/>
                <w:szCs w:val="20"/>
              </w:rPr>
            </w:pPr>
            <w:r>
              <w:rPr>
                <w:bCs/>
                <w:color w:val="auto"/>
                <w:sz w:val="20"/>
                <w:szCs w:val="20"/>
                <w:lang w:eastAsia="zh-CN"/>
              </w:rPr>
              <w:t>航空服务实训基地</w:t>
            </w:r>
          </w:p>
        </w:tc>
      </w:tr>
      <w:tr w14:paraId="58AF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74FDAFD5">
            <w:pPr>
              <w:jc w:val="center"/>
              <w:rPr>
                <w:bCs/>
                <w:color w:val="auto"/>
                <w:sz w:val="20"/>
                <w:szCs w:val="20"/>
              </w:rPr>
            </w:pPr>
          </w:p>
        </w:tc>
        <w:tc>
          <w:tcPr>
            <w:tcW w:w="3072" w:type="pct"/>
            <w:tcBorders>
              <w:tl2br w:val="nil"/>
              <w:tr2bl w:val="nil"/>
            </w:tcBorders>
            <w:shd w:val="clear" w:color="auto" w:fill="FFFFFF"/>
            <w:vAlign w:val="center"/>
          </w:tcPr>
          <w:p w14:paraId="434F6A5A">
            <w:pPr>
              <w:jc w:val="center"/>
              <w:rPr>
                <w:bCs/>
                <w:color w:val="auto"/>
                <w:sz w:val="20"/>
                <w:szCs w:val="20"/>
              </w:rPr>
            </w:pPr>
            <w:r>
              <w:rPr>
                <w:bCs/>
                <w:color w:val="auto"/>
                <w:sz w:val="20"/>
                <w:szCs w:val="20"/>
                <w:lang w:eastAsia="zh-CN"/>
              </w:rPr>
              <w:t>旅游服务实训基地</w:t>
            </w:r>
          </w:p>
        </w:tc>
      </w:tr>
      <w:tr w14:paraId="2AF1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6B9D2240">
            <w:pPr>
              <w:jc w:val="center"/>
              <w:rPr>
                <w:bCs/>
                <w:color w:val="auto"/>
                <w:sz w:val="20"/>
                <w:szCs w:val="20"/>
              </w:rPr>
            </w:pPr>
          </w:p>
        </w:tc>
        <w:tc>
          <w:tcPr>
            <w:tcW w:w="3072" w:type="pct"/>
            <w:tcBorders>
              <w:tl2br w:val="nil"/>
              <w:tr2bl w:val="nil"/>
            </w:tcBorders>
            <w:shd w:val="clear" w:color="auto" w:fill="FFFFFF"/>
            <w:vAlign w:val="center"/>
          </w:tcPr>
          <w:p w14:paraId="0637EFA8">
            <w:pPr>
              <w:jc w:val="center"/>
              <w:rPr>
                <w:bCs/>
                <w:color w:val="auto"/>
                <w:sz w:val="20"/>
                <w:szCs w:val="20"/>
              </w:rPr>
            </w:pPr>
            <w:r>
              <w:rPr>
                <w:bCs/>
                <w:color w:val="auto"/>
                <w:sz w:val="20"/>
                <w:szCs w:val="20"/>
                <w:lang w:eastAsia="zh-CN"/>
              </w:rPr>
              <w:t>中餐烹饪实训基地</w:t>
            </w:r>
          </w:p>
        </w:tc>
      </w:tr>
      <w:tr w14:paraId="62DE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17F8B773">
            <w:pPr>
              <w:jc w:val="center"/>
              <w:rPr>
                <w:bCs/>
                <w:color w:val="auto"/>
                <w:sz w:val="20"/>
                <w:szCs w:val="20"/>
              </w:rPr>
            </w:pPr>
          </w:p>
        </w:tc>
        <w:tc>
          <w:tcPr>
            <w:tcW w:w="3072" w:type="pct"/>
            <w:tcBorders>
              <w:tl2br w:val="nil"/>
              <w:tr2bl w:val="nil"/>
            </w:tcBorders>
            <w:shd w:val="clear" w:color="auto" w:fill="FFFFFF"/>
            <w:vAlign w:val="center"/>
          </w:tcPr>
          <w:p w14:paraId="3BA277E4">
            <w:pPr>
              <w:jc w:val="center"/>
              <w:rPr>
                <w:bCs/>
                <w:color w:val="auto"/>
                <w:sz w:val="20"/>
                <w:szCs w:val="20"/>
              </w:rPr>
            </w:pPr>
            <w:r>
              <w:rPr>
                <w:bCs/>
                <w:color w:val="auto"/>
                <w:sz w:val="20"/>
                <w:szCs w:val="20"/>
                <w:lang w:eastAsia="zh-CN"/>
              </w:rPr>
              <w:t>幼儿保育实训基地</w:t>
            </w:r>
          </w:p>
        </w:tc>
      </w:tr>
      <w:tr w14:paraId="5FA6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025A3F04">
            <w:pPr>
              <w:jc w:val="center"/>
              <w:rPr>
                <w:bCs/>
                <w:color w:val="auto"/>
                <w:sz w:val="20"/>
                <w:szCs w:val="20"/>
                <w:lang w:eastAsia="zh-CN"/>
              </w:rPr>
            </w:pPr>
          </w:p>
        </w:tc>
        <w:tc>
          <w:tcPr>
            <w:tcW w:w="3072" w:type="pct"/>
            <w:tcBorders>
              <w:tl2br w:val="nil"/>
              <w:tr2bl w:val="nil"/>
            </w:tcBorders>
            <w:shd w:val="clear" w:color="auto" w:fill="FFFFFF"/>
            <w:vAlign w:val="center"/>
          </w:tcPr>
          <w:p w14:paraId="5B301BC6">
            <w:pPr>
              <w:jc w:val="center"/>
              <w:rPr>
                <w:bCs/>
                <w:color w:val="auto"/>
                <w:sz w:val="20"/>
                <w:szCs w:val="20"/>
                <w:lang w:eastAsia="zh-CN"/>
              </w:rPr>
            </w:pPr>
            <w:r>
              <w:rPr>
                <w:bCs/>
                <w:color w:val="auto"/>
                <w:sz w:val="20"/>
                <w:szCs w:val="20"/>
                <w:lang w:eastAsia="zh-CN"/>
              </w:rPr>
              <w:t>轨道交通实训基地</w:t>
            </w:r>
          </w:p>
        </w:tc>
      </w:tr>
      <w:tr w14:paraId="0222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0AA1B729">
            <w:pPr>
              <w:jc w:val="center"/>
              <w:rPr>
                <w:bCs/>
                <w:color w:val="auto"/>
                <w:sz w:val="20"/>
                <w:szCs w:val="20"/>
                <w:lang w:eastAsia="zh-CN"/>
              </w:rPr>
            </w:pPr>
          </w:p>
        </w:tc>
        <w:tc>
          <w:tcPr>
            <w:tcW w:w="3072" w:type="pct"/>
            <w:tcBorders>
              <w:tl2br w:val="nil"/>
              <w:tr2bl w:val="nil"/>
            </w:tcBorders>
            <w:shd w:val="clear" w:color="auto" w:fill="FFFFFF"/>
            <w:vAlign w:val="center"/>
          </w:tcPr>
          <w:p w14:paraId="78FC4D00">
            <w:pPr>
              <w:jc w:val="center"/>
              <w:rPr>
                <w:bCs/>
                <w:color w:val="auto"/>
                <w:sz w:val="20"/>
                <w:szCs w:val="20"/>
                <w:lang w:eastAsia="zh-CN"/>
              </w:rPr>
            </w:pPr>
            <w:r>
              <w:rPr>
                <w:bCs/>
                <w:color w:val="auto"/>
                <w:sz w:val="20"/>
                <w:szCs w:val="20"/>
                <w:lang w:eastAsia="zh-CN"/>
              </w:rPr>
              <w:t>电子技术应用实训基地</w:t>
            </w:r>
          </w:p>
        </w:tc>
      </w:tr>
      <w:tr w14:paraId="2A1E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0EFEFCD6">
            <w:pPr>
              <w:jc w:val="center"/>
              <w:rPr>
                <w:bCs/>
                <w:color w:val="auto"/>
                <w:sz w:val="20"/>
                <w:szCs w:val="20"/>
                <w:lang w:eastAsia="zh-CN"/>
              </w:rPr>
            </w:pPr>
          </w:p>
        </w:tc>
        <w:tc>
          <w:tcPr>
            <w:tcW w:w="3072" w:type="pct"/>
            <w:tcBorders>
              <w:tl2br w:val="nil"/>
              <w:tr2bl w:val="nil"/>
            </w:tcBorders>
            <w:shd w:val="clear" w:color="auto" w:fill="FFFFFF"/>
            <w:vAlign w:val="center"/>
          </w:tcPr>
          <w:p w14:paraId="67365317">
            <w:pPr>
              <w:jc w:val="center"/>
              <w:rPr>
                <w:bCs/>
                <w:color w:val="auto"/>
                <w:sz w:val="20"/>
                <w:szCs w:val="20"/>
                <w:lang w:eastAsia="zh-CN"/>
              </w:rPr>
            </w:pPr>
            <w:r>
              <w:rPr>
                <w:bCs/>
                <w:color w:val="auto"/>
                <w:sz w:val="20"/>
                <w:szCs w:val="20"/>
                <w:lang w:eastAsia="zh-CN"/>
              </w:rPr>
              <w:t>工业机器人实训基地</w:t>
            </w:r>
          </w:p>
        </w:tc>
      </w:tr>
      <w:tr w14:paraId="5B93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728B7967">
            <w:pPr>
              <w:jc w:val="center"/>
              <w:rPr>
                <w:bCs/>
                <w:color w:val="auto"/>
                <w:sz w:val="20"/>
                <w:szCs w:val="20"/>
                <w:lang w:eastAsia="zh-CN"/>
              </w:rPr>
            </w:pPr>
          </w:p>
        </w:tc>
        <w:tc>
          <w:tcPr>
            <w:tcW w:w="3072" w:type="pct"/>
            <w:tcBorders>
              <w:tl2br w:val="nil"/>
              <w:tr2bl w:val="nil"/>
            </w:tcBorders>
            <w:shd w:val="clear" w:color="auto" w:fill="FFFFFF"/>
            <w:vAlign w:val="center"/>
          </w:tcPr>
          <w:p w14:paraId="6BBD6332">
            <w:pPr>
              <w:jc w:val="center"/>
              <w:rPr>
                <w:bCs/>
                <w:color w:val="auto"/>
                <w:sz w:val="20"/>
                <w:szCs w:val="20"/>
                <w:lang w:eastAsia="zh-CN"/>
              </w:rPr>
            </w:pPr>
            <w:r>
              <w:rPr>
                <w:bCs/>
                <w:color w:val="auto"/>
                <w:sz w:val="20"/>
                <w:szCs w:val="20"/>
                <w:lang w:eastAsia="zh-CN"/>
              </w:rPr>
              <w:t>京东方光电科技有限公司</w:t>
            </w:r>
          </w:p>
        </w:tc>
      </w:tr>
      <w:tr w14:paraId="0525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3F3914DE">
            <w:pPr>
              <w:jc w:val="center"/>
              <w:rPr>
                <w:bCs/>
                <w:color w:val="auto"/>
                <w:sz w:val="20"/>
                <w:szCs w:val="20"/>
                <w:lang w:eastAsia="zh-CN"/>
              </w:rPr>
            </w:pPr>
          </w:p>
        </w:tc>
        <w:tc>
          <w:tcPr>
            <w:tcW w:w="3072" w:type="pct"/>
            <w:tcBorders>
              <w:tl2br w:val="nil"/>
              <w:tr2bl w:val="nil"/>
            </w:tcBorders>
            <w:shd w:val="clear" w:color="auto" w:fill="FFFFFF"/>
            <w:vAlign w:val="center"/>
          </w:tcPr>
          <w:p w14:paraId="0BE256BA">
            <w:pPr>
              <w:jc w:val="center"/>
              <w:rPr>
                <w:bCs/>
                <w:color w:val="auto"/>
                <w:sz w:val="20"/>
                <w:szCs w:val="20"/>
                <w:lang w:eastAsia="zh-CN"/>
              </w:rPr>
            </w:pPr>
            <w:r>
              <w:rPr>
                <w:bCs/>
                <w:color w:val="auto"/>
                <w:sz w:val="20"/>
                <w:szCs w:val="20"/>
                <w:lang w:eastAsia="zh-CN"/>
              </w:rPr>
              <w:t>长安新能源汽车有限公司</w:t>
            </w:r>
          </w:p>
        </w:tc>
      </w:tr>
      <w:tr w14:paraId="1F42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185E3930">
            <w:pPr>
              <w:jc w:val="center"/>
              <w:rPr>
                <w:bCs/>
                <w:color w:val="auto"/>
                <w:sz w:val="20"/>
                <w:szCs w:val="20"/>
                <w:lang w:eastAsia="zh-CN"/>
              </w:rPr>
            </w:pPr>
          </w:p>
        </w:tc>
        <w:tc>
          <w:tcPr>
            <w:tcW w:w="3072" w:type="pct"/>
            <w:tcBorders>
              <w:tl2br w:val="nil"/>
              <w:tr2bl w:val="nil"/>
            </w:tcBorders>
            <w:shd w:val="clear" w:color="auto" w:fill="FFFFFF"/>
            <w:vAlign w:val="center"/>
          </w:tcPr>
          <w:p w14:paraId="71C4A034">
            <w:pPr>
              <w:jc w:val="center"/>
              <w:rPr>
                <w:bCs/>
                <w:color w:val="auto"/>
                <w:sz w:val="20"/>
                <w:szCs w:val="20"/>
                <w:lang w:eastAsia="zh-CN"/>
              </w:rPr>
            </w:pPr>
            <w:r>
              <w:rPr>
                <w:bCs/>
                <w:color w:val="auto"/>
                <w:sz w:val="20"/>
                <w:szCs w:val="20"/>
                <w:lang w:eastAsia="zh-CN"/>
              </w:rPr>
              <w:t>京东科技有限公司</w:t>
            </w:r>
          </w:p>
        </w:tc>
      </w:tr>
      <w:tr w14:paraId="4756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6583E690">
            <w:pPr>
              <w:jc w:val="center"/>
              <w:rPr>
                <w:bCs/>
                <w:color w:val="auto"/>
                <w:sz w:val="20"/>
                <w:szCs w:val="20"/>
                <w:lang w:eastAsia="zh-CN"/>
              </w:rPr>
            </w:pPr>
          </w:p>
        </w:tc>
        <w:tc>
          <w:tcPr>
            <w:tcW w:w="3072" w:type="pct"/>
            <w:tcBorders>
              <w:tl2br w:val="nil"/>
              <w:tr2bl w:val="nil"/>
            </w:tcBorders>
            <w:shd w:val="clear" w:color="auto" w:fill="FFFFFF"/>
            <w:vAlign w:val="center"/>
          </w:tcPr>
          <w:p w14:paraId="10311DF3">
            <w:pPr>
              <w:jc w:val="center"/>
              <w:rPr>
                <w:bCs/>
                <w:color w:val="auto"/>
                <w:sz w:val="20"/>
                <w:szCs w:val="20"/>
                <w:lang w:eastAsia="zh-CN"/>
              </w:rPr>
            </w:pPr>
            <w:r>
              <w:rPr>
                <w:bCs/>
                <w:color w:val="auto"/>
                <w:sz w:val="20"/>
                <w:szCs w:val="20"/>
                <w:lang w:eastAsia="zh-CN"/>
              </w:rPr>
              <w:t>重庆华中数控科技有限公司</w:t>
            </w:r>
          </w:p>
        </w:tc>
      </w:tr>
      <w:tr w14:paraId="7B81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6098DF2F">
            <w:pPr>
              <w:jc w:val="center"/>
              <w:rPr>
                <w:bCs/>
                <w:color w:val="auto"/>
                <w:sz w:val="20"/>
                <w:szCs w:val="20"/>
                <w:lang w:eastAsia="zh-CN"/>
              </w:rPr>
            </w:pPr>
          </w:p>
        </w:tc>
        <w:tc>
          <w:tcPr>
            <w:tcW w:w="3072" w:type="pct"/>
            <w:tcBorders>
              <w:tl2br w:val="nil"/>
              <w:tr2bl w:val="nil"/>
            </w:tcBorders>
            <w:shd w:val="clear" w:color="auto" w:fill="FFFFFF"/>
            <w:vAlign w:val="center"/>
          </w:tcPr>
          <w:p w14:paraId="63B6EBCF">
            <w:pPr>
              <w:jc w:val="center"/>
              <w:rPr>
                <w:bCs/>
                <w:color w:val="auto"/>
                <w:sz w:val="20"/>
                <w:szCs w:val="20"/>
                <w:lang w:eastAsia="zh-CN"/>
              </w:rPr>
            </w:pPr>
            <w:r>
              <w:rPr>
                <w:bCs/>
                <w:color w:val="auto"/>
                <w:sz w:val="20"/>
                <w:szCs w:val="20"/>
                <w:lang w:eastAsia="zh-CN"/>
              </w:rPr>
              <w:t>华夏航空有限公司</w:t>
            </w:r>
          </w:p>
        </w:tc>
      </w:tr>
      <w:tr w14:paraId="5AE5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restart"/>
            <w:tcBorders>
              <w:tl2br w:val="nil"/>
              <w:tr2bl w:val="nil"/>
            </w:tcBorders>
            <w:shd w:val="clear" w:color="auto" w:fill="FFFFFF"/>
            <w:vAlign w:val="center"/>
          </w:tcPr>
          <w:p w14:paraId="298BE7EB">
            <w:pPr>
              <w:jc w:val="center"/>
              <w:rPr>
                <w:bCs/>
                <w:color w:val="auto"/>
                <w:sz w:val="20"/>
                <w:szCs w:val="20"/>
                <w:lang w:eastAsia="zh-CN"/>
              </w:rPr>
            </w:pPr>
            <w:r>
              <w:rPr>
                <w:rFonts w:hint="eastAsia"/>
                <w:bCs/>
                <w:color w:val="auto"/>
                <w:sz w:val="20"/>
                <w:szCs w:val="20"/>
                <w:lang w:eastAsia="zh-CN"/>
              </w:rPr>
              <w:t>重庆市工艺美术学校</w:t>
            </w:r>
          </w:p>
        </w:tc>
        <w:tc>
          <w:tcPr>
            <w:tcW w:w="3072" w:type="pct"/>
            <w:tcBorders>
              <w:tl2br w:val="nil"/>
              <w:tr2bl w:val="nil"/>
            </w:tcBorders>
            <w:shd w:val="clear" w:color="auto" w:fill="FFFFFF"/>
            <w:vAlign w:val="center"/>
          </w:tcPr>
          <w:p w14:paraId="774CDDC9">
            <w:pPr>
              <w:jc w:val="center"/>
              <w:rPr>
                <w:bCs/>
                <w:color w:val="auto"/>
                <w:sz w:val="20"/>
                <w:szCs w:val="20"/>
                <w:lang w:eastAsia="zh-CN"/>
              </w:rPr>
            </w:pPr>
            <w:r>
              <w:rPr>
                <w:rFonts w:hint="eastAsia"/>
                <w:bCs/>
                <w:color w:val="auto"/>
                <w:sz w:val="20"/>
                <w:szCs w:val="20"/>
                <w:lang w:eastAsia="zh-CN"/>
              </w:rPr>
              <w:t>计算机动漫与游戏制作双基地</w:t>
            </w:r>
          </w:p>
        </w:tc>
      </w:tr>
      <w:tr w14:paraId="2E52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2E1881AA">
            <w:pPr>
              <w:jc w:val="center"/>
              <w:rPr>
                <w:bCs/>
                <w:color w:val="auto"/>
                <w:sz w:val="20"/>
                <w:szCs w:val="20"/>
                <w:lang w:eastAsia="zh-CN"/>
              </w:rPr>
            </w:pPr>
          </w:p>
        </w:tc>
        <w:tc>
          <w:tcPr>
            <w:tcW w:w="3072" w:type="pct"/>
            <w:tcBorders>
              <w:tl2br w:val="nil"/>
              <w:tr2bl w:val="nil"/>
            </w:tcBorders>
            <w:shd w:val="clear" w:color="auto" w:fill="FFFFFF"/>
            <w:vAlign w:val="center"/>
          </w:tcPr>
          <w:p w14:paraId="7D332654">
            <w:pPr>
              <w:jc w:val="center"/>
              <w:rPr>
                <w:bCs/>
                <w:color w:val="auto"/>
                <w:sz w:val="20"/>
                <w:szCs w:val="20"/>
                <w:lang w:eastAsia="zh-CN"/>
              </w:rPr>
            </w:pPr>
            <w:r>
              <w:rPr>
                <w:rFonts w:hint="eastAsia"/>
                <w:bCs/>
                <w:color w:val="auto"/>
                <w:sz w:val="20"/>
                <w:szCs w:val="20"/>
                <w:lang w:eastAsia="zh-CN"/>
              </w:rPr>
              <w:t>美术绘画专业实训部</w:t>
            </w:r>
          </w:p>
        </w:tc>
      </w:tr>
      <w:tr w14:paraId="097F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295EFF0F">
            <w:pPr>
              <w:jc w:val="center"/>
              <w:rPr>
                <w:bCs/>
                <w:color w:val="auto"/>
                <w:sz w:val="20"/>
                <w:szCs w:val="20"/>
                <w:lang w:eastAsia="zh-CN"/>
              </w:rPr>
            </w:pPr>
          </w:p>
        </w:tc>
        <w:tc>
          <w:tcPr>
            <w:tcW w:w="3072" w:type="pct"/>
            <w:tcBorders>
              <w:tl2br w:val="nil"/>
              <w:tr2bl w:val="nil"/>
            </w:tcBorders>
            <w:shd w:val="clear" w:color="auto" w:fill="FFFFFF"/>
            <w:vAlign w:val="center"/>
          </w:tcPr>
          <w:p w14:paraId="3C6BAAAE">
            <w:pPr>
              <w:jc w:val="center"/>
              <w:rPr>
                <w:bCs/>
                <w:color w:val="auto"/>
                <w:sz w:val="20"/>
                <w:szCs w:val="20"/>
                <w:lang w:eastAsia="zh-CN"/>
              </w:rPr>
            </w:pPr>
            <w:r>
              <w:rPr>
                <w:rFonts w:hint="eastAsia"/>
                <w:bCs/>
                <w:color w:val="auto"/>
                <w:sz w:val="20"/>
                <w:szCs w:val="20"/>
                <w:lang w:eastAsia="zh-CN"/>
              </w:rPr>
              <w:t>工艺美术专业部实训基地</w:t>
            </w:r>
          </w:p>
        </w:tc>
      </w:tr>
      <w:tr w14:paraId="55A5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0300D0AC">
            <w:pPr>
              <w:jc w:val="center"/>
              <w:rPr>
                <w:bCs/>
                <w:color w:val="auto"/>
                <w:sz w:val="20"/>
                <w:szCs w:val="20"/>
                <w:lang w:eastAsia="zh-CN"/>
              </w:rPr>
            </w:pPr>
          </w:p>
        </w:tc>
        <w:tc>
          <w:tcPr>
            <w:tcW w:w="3072" w:type="pct"/>
            <w:tcBorders>
              <w:tl2br w:val="nil"/>
              <w:tr2bl w:val="nil"/>
            </w:tcBorders>
            <w:shd w:val="clear" w:color="auto" w:fill="FFFFFF"/>
            <w:vAlign w:val="center"/>
          </w:tcPr>
          <w:p w14:paraId="51521965">
            <w:pPr>
              <w:jc w:val="center"/>
              <w:rPr>
                <w:bCs/>
                <w:color w:val="auto"/>
                <w:sz w:val="20"/>
                <w:szCs w:val="20"/>
                <w:lang w:eastAsia="zh-CN"/>
              </w:rPr>
            </w:pPr>
            <w:r>
              <w:rPr>
                <w:rFonts w:hint="eastAsia"/>
                <w:bCs/>
                <w:color w:val="auto"/>
                <w:sz w:val="20"/>
                <w:szCs w:val="20"/>
                <w:lang w:eastAsia="zh-CN"/>
              </w:rPr>
              <w:t>幼儿保育专业部实训基地</w:t>
            </w:r>
          </w:p>
        </w:tc>
      </w:tr>
      <w:tr w14:paraId="63EE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39CC4981">
            <w:pPr>
              <w:jc w:val="center"/>
              <w:rPr>
                <w:bCs/>
                <w:color w:val="auto"/>
                <w:sz w:val="20"/>
                <w:szCs w:val="20"/>
                <w:lang w:eastAsia="zh-CN"/>
              </w:rPr>
            </w:pPr>
          </w:p>
        </w:tc>
        <w:tc>
          <w:tcPr>
            <w:tcW w:w="3072" w:type="pct"/>
            <w:tcBorders>
              <w:tl2br w:val="nil"/>
              <w:tr2bl w:val="nil"/>
            </w:tcBorders>
            <w:shd w:val="clear" w:color="auto" w:fill="FFFFFF"/>
            <w:vAlign w:val="center"/>
          </w:tcPr>
          <w:p w14:paraId="6D2C9F78">
            <w:pPr>
              <w:jc w:val="center"/>
              <w:rPr>
                <w:bCs/>
                <w:color w:val="auto"/>
                <w:sz w:val="20"/>
                <w:szCs w:val="20"/>
                <w:lang w:eastAsia="zh-CN"/>
              </w:rPr>
            </w:pPr>
            <w:r>
              <w:rPr>
                <w:rFonts w:hint="eastAsia"/>
                <w:bCs/>
                <w:color w:val="auto"/>
                <w:sz w:val="20"/>
                <w:szCs w:val="20"/>
                <w:lang w:eastAsia="zh-CN"/>
              </w:rPr>
              <w:t>工艺美术专业部实训基地</w:t>
            </w:r>
          </w:p>
        </w:tc>
      </w:tr>
      <w:tr w14:paraId="70FD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57A1DAB9">
            <w:pPr>
              <w:jc w:val="center"/>
              <w:rPr>
                <w:bCs/>
                <w:color w:val="auto"/>
                <w:sz w:val="20"/>
                <w:szCs w:val="20"/>
                <w:lang w:eastAsia="zh-CN"/>
              </w:rPr>
            </w:pPr>
          </w:p>
        </w:tc>
        <w:tc>
          <w:tcPr>
            <w:tcW w:w="3072" w:type="pct"/>
            <w:tcBorders>
              <w:tl2br w:val="nil"/>
              <w:tr2bl w:val="nil"/>
            </w:tcBorders>
            <w:shd w:val="clear" w:color="auto" w:fill="FFFFFF"/>
            <w:vAlign w:val="center"/>
          </w:tcPr>
          <w:p w14:paraId="7750C75E">
            <w:pPr>
              <w:jc w:val="center"/>
              <w:rPr>
                <w:bCs/>
                <w:color w:val="auto"/>
                <w:sz w:val="20"/>
                <w:szCs w:val="20"/>
                <w:lang w:eastAsia="zh-CN"/>
              </w:rPr>
            </w:pPr>
            <w:r>
              <w:rPr>
                <w:rFonts w:hint="eastAsia"/>
                <w:bCs/>
                <w:color w:val="auto"/>
                <w:sz w:val="20"/>
                <w:szCs w:val="20"/>
                <w:lang w:eastAsia="zh-CN"/>
              </w:rPr>
              <w:t>计算机专业实训基地</w:t>
            </w:r>
          </w:p>
        </w:tc>
      </w:tr>
      <w:tr w14:paraId="0BD0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4033F1FB">
            <w:pPr>
              <w:jc w:val="center"/>
              <w:rPr>
                <w:bCs/>
                <w:color w:val="auto"/>
                <w:sz w:val="20"/>
                <w:szCs w:val="20"/>
                <w:lang w:eastAsia="zh-CN"/>
              </w:rPr>
            </w:pPr>
          </w:p>
        </w:tc>
        <w:tc>
          <w:tcPr>
            <w:tcW w:w="3072" w:type="pct"/>
            <w:tcBorders>
              <w:tl2br w:val="nil"/>
              <w:tr2bl w:val="nil"/>
            </w:tcBorders>
            <w:shd w:val="clear" w:color="auto" w:fill="FFFFFF"/>
            <w:vAlign w:val="center"/>
          </w:tcPr>
          <w:p w14:paraId="23D70B11">
            <w:pPr>
              <w:jc w:val="center"/>
              <w:rPr>
                <w:bCs/>
                <w:color w:val="auto"/>
                <w:sz w:val="20"/>
                <w:szCs w:val="20"/>
                <w:lang w:eastAsia="zh-CN"/>
              </w:rPr>
            </w:pPr>
            <w:r>
              <w:rPr>
                <w:rFonts w:hint="eastAsia"/>
                <w:bCs/>
                <w:color w:val="auto"/>
                <w:sz w:val="20"/>
                <w:szCs w:val="20"/>
                <w:lang w:eastAsia="zh-CN"/>
              </w:rPr>
              <w:t>商贸旅游专业部实训基地</w:t>
            </w:r>
          </w:p>
        </w:tc>
      </w:tr>
      <w:tr w14:paraId="684C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restart"/>
            <w:tcBorders>
              <w:tl2br w:val="nil"/>
              <w:tr2bl w:val="nil"/>
            </w:tcBorders>
            <w:shd w:val="clear" w:color="auto" w:fill="FFFFFF"/>
            <w:vAlign w:val="center"/>
          </w:tcPr>
          <w:p w14:paraId="53F4054E">
            <w:pPr>
              <w:jc w:val="center"/>
              <w:rPr>
                <w:bCs/>
                <w:color w:val="auto"/>
                <w:sz w:val="20"/>
                <w:szCs w:val="20"/>
                <w:lang w:eastAsia="zh-CN"/>
              </w:rPr>
            </w:pPr>
            <w:r>
              <w:rPr>
                <w:rFonts w:hint="eastAsia"/>
                <w:bCs/>
                <w:color w:val="auto"/>
                <w:sz w:val="20"/>
                <w:szCs w:val="20"/>
                <w:lang w:eastAsia="zh-CN"/>
              </w:rPr>
              <w:t>重庆聚英技工学校</w:t>
            </w:r>
          </w:p>
        </w:tc>
        <w:tc>
          <w:tcPr>
            <w:tcW w:w="3072" w:type="pct"/>
            <w:tcBorders>
              <w:tl2br w:val="nil"/>
              <w:tr2bl w:val="nil"/>
            </w:tcBorders>
            <w:shd w:val="clear" w:color="auto" w:fill="FFFFFF"/>
            <w:vAlign w:val="center"/>
          </w:tcPr>
          <w:p w14:paraId="537C72C7">
            <w:pPr>
              <w:jc w:val="center"/>
              <w:rPr>
                <w:bCs/>
                <w:color w:val="auto"/>
                <w:sz w:val="20"/>
                <w:szCs w:val="20"/>
                <w:lang w:eastAsia="zh-CN"/>
              </w:rPr>
            </w:pPr>
            <w:r>
              <w:rPr>
                <w:rFonts w:hint="eastAsia"/>
                <w:bCs/>
                <w:color w:val="auto"/>
                <w:sz w:val="20"/>
                <w:szCs w:val="20"/>
                <w:lang w:eastAsia="zh-CN"/>
              </w:rPr>
              <w:t>汽车制造与检测实训室</w:t>
            </w:r>
          </w:p>
        </w:tc>
      </w:tr>
      <w:tr w14:paraId="2D92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49FFA7C4">
            <w:pPr>
              <w:jc w:val="center"/>
              <w:rPr>
                <w:bCs/>
                <w:color w:val="auto"/>
                <w:sz w:val="20"/>
                <w:szCs w:val="20"/>
                <w:lang w:eastAsia="zh-CN"/>
              </w:rPr>
            </w:pPr>
          </w:p>
        </w:tc>
        <w:tc>
          <w:tcPr>
            <w:tcW w:w="3072" w:type="pct"/>
            <w:tcBorders>
              <w:tl2br w:val="nil"/>
              <w:tr2bl w:val="nil"/>
            </w:tcBorders>
            <w:shd w:val="clear" w:color="auto" w:fill="FFFFFF"/>
            <w:vAlign w:val="center"/>
          </w:tcPr>
          <w:p w14:paraId="6FD3DB59">
            <w:pPr>
              <w:jc w:val="center"/>
              <w:rPr>
                <w:bCs/>
                <w:color w:val="auto"/>
                <w:sz w:val="20"/>
                <w:szCs w:val="20"/>
                <w:lang w:eastAsia="zh-CN"/>
              </w:rPr>
            </w:pPr>
            <w:r>
              <w:rPr>
                <w:rFonts w:hint="eastAsia"/>
                <w:bCs/>
                <w:color w:val="auto"/>
                <w:sz w:val="20"/>
                <w:szCs w:val="20"/>
                <w:lang w:eastAsia="zh-CN"/>
              </w:rPr>
              <w:t>数控技术应用实训室</w:t>
            </w:r>
          </w:p>
        </w:tc>
      </w:tr>
      <w:tr w14:paraId="179D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75DBBD57">
            <w:pPr>
              <w:jc w:val="center"/>
              <w:rPr>
                <w:bCs/>
                <w:color w:val="auto"/>
                <w:sz w:val="20"/>
                <w:szCs w:val="20"/>
                <w:lang w:eastAsia="zh-CN"/>
              </w:rPr>
            </w:pPr>
          </w:p>
        </w:tc>
        <w:tc>
          <w:tcPr>
            <w:tcW w:w="3072" w:type="pct"/>
            <w:tcBorders>
              <w:tl2br w:val="nil"/>
              <w:tr2bl w:val="nil"/>
            </w:tcBorders>
            <w:shd w:val="clear" w:color="auto" w:fill="FFFFFF"/>
            <w:vAlign w:val="center"/>
          </w:tcPr>
          <w:p w14:paraId="09FBB00A">
            <w:pPr>
              <w:jc w:val="center"/>
              <w:rPr>
                <w:bCs/>
                <w:color w:val="auto"/>
                <w:sz w:val="20"/>
                <w:szCs w:val="20"/>
                <w:lang w:eastAsia="zh-CN"/>
              </w:rPr>
            </w:pPr>
            <w:r>
              <w:rPr>
                <w:rFonts w:hint="eastAsia"/>
                <w:bCs/>
                <w:color w:val="auto"/>
                <w:sz w:val="20"/>
                <w:szCs w:val="20"/>
                <w:lang w:eastAsia="zh-CN"/>
              </w:rPr>
              <w:t>城市轨道交通运营服务实训室</w:t>
            </w:r>
          </w:p>
        </w:tc>
      </w:tr>
      <w:tr w14:paraId="467C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927" w:type="pct"/>
            <w:vMerge w:val="continue"/>
            <w:tcBorders>
              <w:tl2br w:val="nil"/>
              <w:tr2bl w:val="nil"/>
            </w:tcBorders>
            <w:shd w:val="clear" w:color="auto" w:fill="FFFFFF"/>
            <w:vAlign w:val="center"/>
          </w:tcPr>
          <w:p w14:paraId="02C03631">
            <w:pPr>
              <w:jc w:val="center"/>
              <w:rPr>
                <w:bCs/>
                <w:color w:val="auto"/>
                <w:sz w:val="20"/>
                <w:szCs w:val="20"/>
                <w:lang w:eastAsia="zh-CN"/>
              </w:rPr>
            </w:pPr>
          </w:p>
        </w:tc>
        <w:tc>
          <w:tcPr>
            <w:tcW w:w="3072" w:type="pct"/>
            <w:tcBorders>
              <w:tl2br w:val="nil"/>
              <w:tr2bl w:val="nil"/>
            </w:tcBorders>
            <w:shd w:val="clear" w:color="auto" w:fill="FFFFFF"/>
            <w:vAlign w:val="center"/>
          </w:tcPr>
          <w:p w14:paraId="22EBADED">
            <w:pPr>
              <w:jc w:val="center"/>
              <w:rPr>
                <w:bCs/>
                <w:color w:val="auto"/>
                <w:sz w:val="20"/>
                <w:szCs w:val="20"/>
                <w:lang w:eastAsia="zh-CN"/>
              </w:rPr>
            </w:pPr>
            <w:r>
              <w:rPr>
                <w:rFonts w:hint="eastAsia"/>
                <w:bCs/>
                <w:color w:val="auto"/>
                <w:sz w:val="20"/>
                <w:szCs w:val="20"/>
                <w:lang w:eastAsia="zh-CN"/>
              </w:rPr>
              <w:t>新能源汽车运用与维修实训室</w:t>
            </w:r>
          </w:p>
        </w:tc>
      </w:tr>
      <w:tr w14:paraId="419A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927" w:type="pct"/>
            <w:vMerge w:val="continue"/>
            <w:tcBorders>
              <w:tl2br w:val="nil"/>
              <w:tr2bl w:val="nil"/>
            </w:tcBorders>
            <w:shd w:val="clear" w:color="auto" w:fill="FFFFFF"/>
            <w:vAlign w:val="center"/>
          </w:tcPr>
          <w:p w14:paraId="20DC9CD9">
            <w:pPr>
              <w:jc w:val="center"/>
              <w:rPr>
                <w:bCs/>
                <w:color w:val="auto"/>
                <w:sz w:val="20"/>
                <w:szCs w:val="20"/>
                <w:lang w:eastAsia="zh-CN"/>
              </w:rPr>
            </w:pPr>
          </w:p>
        </w:tc>
        <w:tc>
          <w:tcPr>
            <w:tcW w:w="3072" w:type="pct"/>
            <w:tcBorders>
              <w:tl2br w:val="nil"/>
              <w:tr2bl w:val="nil"/>
            </w:tcBorders>
            <w:shd w:val="clear" w:color="auto" w:fill="FFFFFF"/>
            <w:vAlign w:val="center"/>
          </w:tcPr>
          <w:p w14:paraId="4A79E6DB">
            <w:pPr>
              <w:jc w:val="center"/>
              <w:rPr>
                <w:bCs/>
                <w:color w:val="auto"/>
                <w:sz w:val="20"/>
                <w:szCs w:val="20"/>
                <w:lang w:eastAsia="zh-CN"/>
              </w:rPr>
            </w:pPr>
            <w:r>
              <w:rPr>
                <w:rFonts w:hint="eastAsia"/>
                <w:bCs/>
                <w:color w:val="auto"/>
                <w:sz w:val="20"/>
                <w:szCs w:val="20"/>
                <w:lang w:eastAsia="zh-CN"/>
              </w:rPr>
              <w:t>钳工实训室</w:t>
            </w:r>
          </w:p>
        </w:tc>
      </w:tr>
      <w:tr w14:paraId="7370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5462322F">
            <w:pPr>
              <w:jc w:val="center"/>
              <w:rPr>
                <w:bCs/>
                <w:color w:val="auto"/>
                <w:sz w:val="20"/>
                <w:szCs w:val="20"/>
                <w:lang w:eastAsia="zh-CN"/>
              </w:rPr>
            </w:pPr>
          </w:p>
        </w:tc>
        <w:tc>
          <w:tcPr>
            <w:tcW w:w="3072" w:type="pct"/>
            <w:tcBorders>
              <w:tl2br w:val="nil"/>
              <w:tr2bl w:val="nil"/>
            </w:tcBorders>
            <w:shd w:val="clear" w:color="auto" w:fill="FFFFFF"/>
            <w:vAlign w:val="center"/>
          </w:tcPr>
          <w:p w14:paraId="562C1009">
            <w:pPr>
              <w:jc w:val="center"/>
              <w:rPr>
                <w:bCs/>
                <w:color w:val="auto"/>
                <w:sz w:val="20"/>
                <w:szCs w:val="20"/>
                <w:lang w:eastAsia="zh-CN"/>
              </w:rPr>
            </w:pPr>
            <w:r>
              <w:rPr>
                <w:rFonts w:hint="eastAsia"/>
                <w:bCs/>
                <w:color w:val="auto"/>
                <w:sz w:val="20"/>
                <w:szCs w:val="20"/>
                <w:lang w:eastAsia="zh-CN"/>
              </w:rPr>
              <w:t>旅游服务与管理实训室</w:t>
            </w:r>
          </w:p>
        </w:tc>
      </w:tr>
      <w:tr w14:paraId="59F9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2E2538F6">
            <w:pPr>
              <w:jc w:val="center"/>
              <w:rPr>
                <w:bCs/>
                <w:color w:val="auto"/>
                <w:sz w:val="20"/>
                <w:szCs w:val="20"/>
                <w:lang w:eastAsia="zh-CN"/>
              </w:rPr>
            </w:pPr>
          </w:p>
        </w:tc>
        <w:tc>
          <w:tcPr>
            <w:tcW w:w="3072" w:type="pct"/>
            <w:tcBorders>
              <w:tl2br w:val="nil"/>
              <w:tr2bl w:val="nil"/>
            </w:tcBorders>
            <w:shd w:val="clear" w:color="auto" w:fill="FFFFFF"/>
            <w:vAlign w:val="center"/>
          </w:tcPr>
          <w:p w14:paraId="65070936">
            <w:pPr>
              <w:jc w:val="center"/>
              <w:rPr>
                <w:bCs/>
                <w:color w:val="auto"/>
                <w:sz w:val="20"/>
                <w:szCs w:val="20"/>
                <w:lang w:eastAsia="zh-CN"/>
              </w:rPr>
            </w:pPr>
            <w:r>
              <w:rPr>
                <w:rFonts w:hint="eastAsia"/>
                <w:bCs/>
                <w:color w:val="auto"/>
                <w:sz w:val="20"/>
                <w:szCs w:val="20"/>
                <w:lang w:eastAsia="zh-CN"/>
              </w:rPr>
              <w:t>计算机实训室</w:t>
            </w:r>
          </w:p>
        </w:tc>
      </w:tr>
      <w:tr w14:paraId="5912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4A23873C">
            <w:pPr>
              <w:jc w:val="center"/>
              <w:rPr>
                <w:bCs/>
                <w:color w:val="auto"/>
                <w:sz w:val="20"/>
                <w:szCs w:val="20"/>
                <w:lang w:eastAsia="zh-CN"/>
              </w:rPr>
            </w:pPr>
          </w:p>
        </w:tc>
        <w:tc>
          <w:tcPr>
            <w:tcW w:w="3072" w:type="pct"/>
            <w:tcBorders>
              <w:tl2br w:val="nil"/>
              <w:tr2bl w:val="nil"/>
            </w:tcBorders>
            <w:shd w:val="clear" w:color="auto" w:fill="FFFFFF"/>
            <w:vAlign w:val="center"/>
          </w:tcPr>
          <w:p w14:paraId="5007DF6A">
            <w:pPr>
              <w:jc w:val="center"/>
              <w:rPr>
                <w:bCs/>
                <w:color w:val="auto"/>
                <w:sz w:val="20"/>
                <w:szCs w:val="20"/>
                <w:lang w:eastAsia="zh-CN"/>
              </w:rPr>
            </w:pPr>
            <w:r>
              <w:rPr>
                <w:rFonts w:hint="eastAsia"/>
                <w:bCs/>
                <w:color w:val="auto"/>
                <w:sz w:val="20"/>
                <w:szCs w:val="20"/>
                <w:lang w:eastAsia="zh-CN"/>
              </w:rPr>
              <w:t>小米AIOT工程师产业学院实训中心</w:t>
            </w:r>
          </w:p>
        </w:tc>
      </w:tr>
      <w:tr w14:paraId="73CF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3F210C8E">
            <w:pPr>
              <w:jc w:val="center"/>
              <w:rPr>
                <w:bCs/>
                <w:color w:val="auto"/>
                <w:sz w:val="20"/>
                <w:szCs w:val="20"/>
                <w:lang w:eastAsia="zh-CN"/>
              </w:rPr>
            </w:pPr>
          </w:p>
        </w:tc>
        <w:tc>
          <w:tcPr>
            <w:tcW w:w="3072" w:type="pct"/>
            <w:tcBorders>
              <w:tl2br w:val="nil"/>
              <w:tr2bl w:val="nil"/>
            </w:tcBorders>
            <w:shd w:val="clear" w:color="auto" w:fill="FFFFFF"/>
            <w:vAlign w:val="center"/>
          </w:tcPr>
          <w:p w14:paraId="71EB8810">
            <w:pPr>
              <w:jc w:val="center"/>
              <w:rPr>
                <w:bCs/>
                <w:color w:val="auto"/>
                <w:sz w:val="20"/>
                <w:szCs w:val="20"/>
                <w:lang w:eastAsia="zh-CN"/>
              </w:rPr>
            </w:pPr>
            <w:r>
              <w:rPr>
                <w:rFonts w:hint="eastAsia"/>
                <w:bCs/>
                <w:color w:val="auto"/>
                <w:sz w:val="20"/>
                <w:szCs w:val="20"/>
                <w:lang w:eastAsia="zh-CN"/>
              </w:rPr>
              <w:t>电工实训室</w:t>
            </w:r>
          </w:p>
        </w:tc>
      </w:tr>
      <w:tr w14:paraId="2A66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pct"/>
            <w:vMerge w:val="continue"/>
            <w:tcBorders>
              <w:tl2br w:val="nil"/>
              <w:tr2bl w:val="nil"/>
            </w:tcBorders>
            <w:shd w:val="clear" w:color="auto" w:fill="FFFFFF"/>
            <w:vAlign w:val="center"/>
          </w:tcPr>
          <w:p w14:paraId="03B53CEF">
            <w:pPr>
              <w:jc w:val="center"/>
              <w:rPr>
                <w:bCs/>
                <w:color w:val="auto"/>
                <w:sz w:val="20"/>
                <w:szCs w:val="20"/>
                <w:lang w:eastAsia="zh-CN"/>
              </w:rPr>
            </w:pPr>
          </w:p>
        </w:tc>
        <w:tc>
          <w:tcPr>
            <w:tcW w:w="3072" w:type="pct"/>
            <w:tcBorders>
              <w:tl2br w:val="nil"/>
              <w:tr2bl w:val="nil"/>
            </w:tcBorders>
            <w:shd w:val="clear" w:color="auto" w:fill="FFFFFF"/>
            <w:vAlign w:val="center"/>
          </w:tcPr>
          <w:p w14:paraId="5AEF5398">
            <w:pPr>
              <w:jc w:val="center"/>
              <w:rPr>
                <w:bCs/>
                <w:color w:val="auto"/>
                <w:sz w:val="20"/>
                <w:szCs w:val="20"/>
                <w:lang w:eastAsia="zh-CN"/>
              </w:rPr>
            </w:pPr>
            <w:r>
              <w:rPr>
                <w:rFonts w:hint="eastAsia"/>
                <w:bCs/>
                <w:color w:val="auto"/>
                <w:sz w:val="20"/>
                <w:szCs w:val="20"/>
                <w:lang w:eastAsia="zh-CN"/>
              </w:rPr>
              <w:t>保育实训室</w:t>
            </w:r>
          </w:p>
        </w:tc>
      </w:tr>
    </w:tbl>
    <w:p w14:paraId="4890A585">
      <w:pPr>
        <w:ind w:firstLine="480" w:firstLineChars="200"/>
        <w:rPr>
          <w:lang w:eastAsia="zh-CN"/>
        </w:rPr>
      </w:pPr>
      <w:r>
        <w:rPr>
          <w:rFonts w:hint="eastAsia"/>
          <w:lang w:eastAsia="zh-CN"/>
        </w:rPr>
        <w:t>全区中职</w:t>
      </w:r>
      <w:r>
        <w:rPr>
          <w:lang w:eastAsia="zh-CN"/>
        </w:rPr>
        <w:t>学校</w:t>
      </w:r>
      <w:r>
        <w:rPr>
          <w:rFonts w:hint="eastAsia"/>
          <w:lang w:eastAsia="zh-CN"/>
        </w:rPr>
        <w:t>不断</w:t>
      </w:r>
      <w:r>
        <w:rPr>
          <w:lang w:eastAsia="zh-CN"/>
        </w:rPr>
        <w:t>优化实训基地管理。</w:t>
      </w:r>
      <w:r>
        <w:rPr>
          <w:rFonts w:hint="eastAsia"/>
          <w:lang w:eastAsia="zh-CN"/>
        </w:rPr>
        <w:t>重庆市九龙坡职业教育中心</w:t>
      </w:r>
      <w:r>
        <w:rPr>
          <w:lang w:eastAsia="zh-CN"/>
        </w:rPr>
        <w:t>构建校、专业部、实训基地三级协同管理体系，实施</w:t>
      </w:r>
      <w:r>
        <w:rPr>
          <w:rFonts w:hint="eastAsia"/>
          <w:lang w:eastAsia="zh-CN"/>
        </w:rPr>
        <w:t>“</w:t>
      </w:r>
      <w:r>
        <w:rPr>
          <w:lang w:eastAsia="zh-CN"/>
        </w:rPr>
        <w:t>一基地一方案</w:t>
      </w:r>
      <w:r>
        <w:rPr>
          <w:rFonts w:hint="eastAsia"/>
          <w:lang w:eastAsia="zh-CN"/>
        </w:rPr>
        <w:t>”</w:t>
      </w:r>
      <w:r>
        <w:rPr>
          <w:lang w:eastAsia="zh-CN"/>
        </w:rPr>
        <w:t>，明确设备、安全、教学等流程</w:t>
      </w:r>
      <w:r>
        <w:rPr>
          <w:rFonts w:hint="eastAsia"/>
          <w:lang w:eastAsia="zh-CN"/>
        </w:rPr>
        <w:t>，</w:t>
      </w:r>
      <w:r>
        <w:rPr>
          <w:lang w:eastAsia="zh-CN"/>
        </w:rPr>
        <w:t>推行实训教学与企业生产对接，引入真实项目，达成</w:t>
      </w:r>
      <w:r>
        <w:rPr>
          <w:rFonts w:hint="eastAsia"/>
          <w:lang w:eastAsia="zh-CN"/>
        </w:rPr>
        <w:t>“</w:t>
      </w:r>
      <w:r>
        <w:rPr>
          <w:lang w:eastAsia="zh-CN"/>
        </w:rPr>
        <w:t>教学</w:t>
      </w:r>
      <w:r>
        <w:rPr>
          <w:rFonts w:hint="eastAsia"/>
          <w:lang w:eastAsia="zh-CN"/>
        </w:rPr>
        <w:t>—</w:t>
      </w:r>
      <w:r>
        <w:rPr>
          <w:lang w:eastAsia="zh-CN"/>
        </w:rPr>
        <w:t>实训</w:t>
      </w:r>
      <w:r>
        <w:rPr>
          <w:rFonts w:hint="eastAsia"/>
          <w:lang w:eastAsia="zh-CN"/>
        </w:rPr>
        <w:t>—</w:t>
      </w:r>
      <w:r>
        <w:rPr>
          <w:lang w:eastAsia="zh-CN"/>
        </w:rPr>
        <w:t>生产</w:t>
      </w:r>
      <w:r>
        <w:rPr>
          <w:rFonts w:hint="eastAsia"/>
          <w:lang w:eastAsia="zh-CN"/>
        </w:rPr>
        <w:t>”</w:t>
      </w:r>
      <w:r>
        <w:rPr>
          <w:lang w:eastAsia="zh-CN"/>
        </w:rPr>
        <w:t>一体化</w:t>
      </w:r>
      <w:r>
        <w:rPr>
          <w:rFonts w:hint="eastAsia"/>
          <w:lang w:eastAsia="zh-CN"/>
        </w:rPr>
        <w:t>，</w:t>
      </w:r>
      <w:r>
        <w:rPr>
          <w:lang w:eastAsia="zh-CN"/>
        </w:rPr>
        <w:t>制定《实训基地绩效考核办法》，从设备利用率等多维度开展年度评价。</w:t>
      </w:r>
      <w:r>
        <w:rPr>
          <w:rFonts w:hint="eastAsia"/>
          <w:lang w:eastAsia="zh-CN"/>
        </w:rPr>
        <w:t>重庆市工艺美术学校</w:t>
      </w:r>
      <w:r>
        <w:rPr>
          <w:lang w:eastAsia="zh-CN"/>
        </w:rPr>
        <w:t>推进实习治理数智化、真实化升级，研发智慧实习管理平台，逐步实现实习管理、实习评价等数智化；优化实习实训评价标准，以企业元宇宙作品评价标准为实训作品评价标准，结合企业员工业绩评价标准研制学生实训成绩评价标准。</w:t>
      </w:r>
    </w:p>
    <w:p w14:paraId="702ABE06">
      <w:pPr>
        <w:ind w:firstLine="480" w:firstLineChars="200"/>
        <w:rPr>
          <w:lang w:eastAsia="zh-CN"/>
        </w:rPr>
      </w:pPr>
      <w:r>
        <w:rPr>
          <w:rFonts w:hint="eastAsia"/>
          <w:lang w:eastAsia="zh-CN"/>
        </w:rPr>
        <w:t>全区</w:t>
      </w:r>
      <w:r>
        <w:rPr>
          <w:lang w:eastAsia="zh-CN"/>
        </w:rPr>
        <w:t>中职学校积极推动实训资源开放共享以提升社会服务效能</w:t>
      </w:r>
      <w:r>
        <w:rPr>
          <w:rFonts w:hint="eastAsia"/>
          <w:lang w:eastAsia="zh-CN"/>
        </w:rPr>
        <w:t>。重庆市九龙坡职业教育中心</w:t>
      </w:r>
      <w:r>
        <w:rPr>
          <w:lang w:eastAsia="zh-CN"/>
        </w:rPr>
        <w:t>校内19个实训基地在满足本专业学生实训、技能鉴定与竞赛训练需求的同时，面向全校学生开设选修课程与实践项目，并承接区域内职业院校师生实训交流</w:t>
      </w:r>
      <w:r>
        <w:rPr>
          <w:rFonts w:hint="eastAsia"/>
          <w:lang w:eastAsia="zh-CN"/>
        </w:rPr>
        <w:t>；</w:t>
      </w:r>
      <w:r>
        <w:rPr>
          <w:lang w:eastAsia="zh-CN"/>
        </w:rPr>
        <w:t>基地还广泛开展技术技能培训、职业体验等社会活动，全年为中小学、农村劳动力、退役军人、社区群众等群体提供公益培训服务，充分释放职业教育资源的社会辐射力。</w:t>
      </w:r>
      <w:r>
        <w:rPr>
          <w:rFonts w:hint="eastAsia"/>
          <w:lang w:eastAsia="zh-CN"/>
        </w:rPr>
        <w:t>重庆市工艺美术学校</w:t>
      </w:r>
      <w:r>
        <w:rPr>
          <w:lang w:eastAsia="zh-CN"/>
        </w:rPr>
        <w:t>协同合作院校</w:t>
      </w:r>
      <w:r>
        <w:rPr>
          <w:rFonts w:hint="eastAsia"/>
          <w:lang w:eastAsia="zh-CN"/>
        </w:rPr>
        <w:t>、</w:t>
      </w:r>
      <w:r>
        <w:rPr>
          <w:lang w:eastAsia="zh-CN"/>
        </w:rPr>
        <w:t>企业，开展元宇宙3D内容创作、3D人物创作等研发和创作活动；发挥基地的科普教育功能，开发5个职业体验和劳动教育项目，面向普通中小学生和其他专业学生开放。重庆市聚英技工学校将校内实训场地与对外短期培训精准对接，专项承接企业员工技能认定考试</w:t>
      </w:r>
      <w:r>
        <w:rPr>
          <w:rFonts w:hint="eastAsia"/>
          <w:lang w:eastAsia="zh-CN"/>
        </w:rPr>
        <w:t>，</w:t>
      </w:r>
      <w:r>
        <w:rPr>
          <w:lang w:eastAsia="zh-CN"/>
        </w:rPr>
        <w:t>为本区域多家企业提供车工、装配钳工等工种的技能认定服务</w:t>
      </w:r>
      <w:r>
        <w:rPr>
          <w:rFonts w:hint="eastAsia"/>
          <w:lang w:eastAsia="zh-CN"/>
        </w:rPr>
        <w:t>。</w:t>
      </w:r>
    </w:p>
    <w:p w14:paraId="32C8DCCC">
      <w:pPr>
        <w:pStyle w:val="3"/>
        <w:spacing w:before="327" w:after="327"/>
      </w:pPr>
      <w:bookmarkStart w:id="82" w:name="_Toc13235"/>
      <w:r>
        <w:rPr>
          <w:rFonts w:hint="eastAsia"/>
        </w:rPr>
        <w:t xml:space="preserve">2.7 </w:t>
      </w:r>
      <w:r>
        <w:rPr>
          <w:rFonts w:hint="eastAsia" w:ascii="方正黑体_GBK" w:hAnsi="方正黑体_GBK" w:eastAsia="方正黑体_GBK" w:cs="方正黑体_GBK"/>
        </w:rPr>
        <w:t>技能成长</w:t>
      </w:r>
      <w:bookmarkEnd w:id="82"/>
    </w:p>
    <w:p w14:paraId="5ECB583F">
      <w:pPr>
        <w:ind w:firstLine="480" w:firstLineChars="200"/>
        <w:rPr>
          <w:lang w:eastAsia="zh-CN"/>
        </w:rPr>
      </w:pPr>
      <w:r>
        <w:rPr>
          <w:rFonts w:hint="eastAsia"/>
          <w:lang w:eastAsia="zh-CN"/>
        </w:rPr>
        <w:t>全区中职学校围绕技术技能型人才核心素养培育，以提升教育质量为核心，各项工作取得一定成效。重庆市九龙坡职业教育中心将1+X证书制度试点深度融入专业、课程、师资、校企及实训基地建设，建立学分银行，畅通学历证书与职业技能证书的互通渠道；在2025年1+X证书试点工作中，学校参与6个证书标准制定，涵盖12个试点专业，700名学生参与考证，686人成功获证，平均通过率达98%，较2024年提升1.29%；汽车部分专业连续六年保持100%通过率，传感网应用开发荣获“优秀考核站点”奖。重庆建筑高级技工学校专业课合格率稳步攀升至100%，职业资格证书与职业技能等级证书获取率持续保持在95%的高位水平。</w:t>
      </w:r>
    </w:p>
    <w:p w14:paraId="3A05566F">
      <w:pPr>
        <w:pStyle w:val="7"/>
        <w:ind w:left="1850" w:leftChars="200" w:hanging="1370" w:hangingChars="650"/>
        <w:jc w:val="both"/>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8</w:t>
      </w:r>
      <w:r>
        <w:rPr>
          <w:rFonts w:hint="default" w:ascii="Times New Roman" w:hAnsi="Times New Roman" w:eastAsia="黑体" w:cs="Times New Roman"/>
          <w:b/>
          <w:bCs/>
          <w:color w:val="2E54A1" w:themeColor="accent1" w:themeShade="BF"/>
          <w:sz w:val="21"/>
          <w:szCs w:val="21"/>
        </w:rPr>
        <w:fldChar w:fldCharType="end"/>
      </w:r>
      <w:bookmarkStart w:id="83" w:name="_Toc5721"/>
      <w:r>
        <w:rPr>
          <w:rFonts w:hint="default" w:ascii="Times New Roman" w:hAnsi="Times New Roman" w:eastAsia="黑体" w:cs="Times New Roman"/>
          <w:b/>
          <w:bCs/>
          <w:color w:val="2E54A1" w:themeColor="accent1" w:themeShade="BF"/>
          <w:sz w:val="21"/>
          <w:szCs w:val="21"/>
        </w:rPr>
        <w:t>】  重庆市九龙坡职业教育中心持续推进1+X传感网应用开发证书试点</w:t>
      </w:r>
      <w:bookmarkEnd w:id="83"/>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66B8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79D1A93A">
            <w:pPr>
              <w:ind w:firstLine="420" w:firstLineChars="200"/>
              <w:rPr>
                <w:rFonts w:eastAsia="楷体" w:cs="Times New Roman"/>
                <w:sz w:val="21"/>
                <w:szCs w:val="21"/>
                <w:lang w:eastAsia="zh-CN"/>
              </w:rPr>
            </w:pPr>
            <w:r>
              <w:rPr>
                <w:rFonts w:hint="eastAsia" w:eastAsia="楷体" w:cs="Times New Roman"/>
                <w:sz w:val="21"/>
                <w:szCs w:val="21"/>
                <w:lang w:eastAsia="zh-CN"/>
              </w:rPr>
              <w:t>本年度物联网专业持续推进1+X传感网应用开发证书试点，推动技能人才培养和评价模式改革。为破解师资、课程、教材、教法、学法等诸多难题起到了重要作用。一是突出复合型技术技能人才培养定位，修订物联网专业人才培养方案，将“1+X”证书试点内容和职业技能等级标准融入到专业教学标准中，实现技能证书与专业人才培养方案的有效融合。二是构建课证融通的专业课程体系，优化物联网专业课程结构，设置《传感器与传感网（1+X）》课程，解决了课证融通融课程的问题。三是组建高水平结构化教学创新团队，外培内修大赛引领提升“X”课程师资水平。四是校企合作开发教材，丰富了“X”课程教材资源，优化了课程内容，并加强了资源建设。五是以证定教，以赛促学，改变“X”课程教学方法，采用模拟1+X证书考核方式，模块化、情境化练习，技能比赛方式，实现课证融通融教学。</w:t>
            </w:r>
          </w:p>
          <w:p w14:paraId="7B560C27">
            <w:pPr>
              <w:ind w:firstLine="420" w:firstLineChars="200"/>
              <w:rPr>
                <w:rFonts w:eastAsia="楷体" w:cs="Times New Roman"/>
                <w:sz w:val="21"/>
                <w:szCs w:val="21"/>
                <w:lang w:eastAsia="zh-CN"/>
              </w:rPr>
            </w:pPr>
            <w:r>
              <w:rPr>
                <w:rFonts w:hint="eastAsia" w:eastAsia="楷体" w:cs="Times New Roman"/>
                <w:sz w:val="21"/>
                <w:szCs w:val="21"/>
                <w:lang w:eastAsia="zh-CN"/>
              </w:rPr>
              <w:t>这一模式助推师生在各级各类技能大赛中取得了显著成绩。教师考取高级技师10人、技师7人，并参加教学、技能大赛获得了多项奖项。校企合作开发了新形态教材3本，其中1本获评“十四五”国家规划教材，市级精品课程在国家智慧职教平台推广应用。学生参加全国行业职业技能大赛获得了多项奖项，268名学生考取了《电工》中级证书，148名学生完成了“1+X”证书考核。</w:t>
            </w:r>
          </w:p>
          <w:p w14:paraId="2F1D3E90">
            <w:pPr>
              <w:spacing w:line="240" w:lineRule="auto"/>
              <w:jc w:val="center"/>
              <w:rPr>
                <w:sz w:val="21"/>
                <w:szCs w:val="21"/>
                <w:lang w:eastAsia="zh-CN"/>
              </w:rPr>
            </w:pPr>
            <w:r>
              <w:rPr>
                <w:sz w:val="21"/>
                <w:szCs w:val="21"/>
                <w:lang w:eastAsia="zh-CN"/>
              </w:rPr>
              <w:drawing>
                <wp:inline distT="0" distB="0" distL="114300" distR="114300">
                  <wp:extent cx="3780155" cy="2564130"/>
                  <wp:effectExtent l="0" t="0" r="8890" b="5080"/>
                  <wp:docPr id="63" name="图片 29" desc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descr="I+x"/>
                          <pic:cNvPicPr>
                            <a:picLocks noChangeAspect="1"/>
                          </pic:cNvPicPr>
                        </pic:nvPicPr>
                        <pic:blipFill>
                          <a:blip r:embed="rId25"/>
                          <a:stretch>
                            <a:fillRect/>
                          </a:stretch>
                        </pic:blipFill>
                        <pic:spPr>
                          <a:xfrm>
                            <a:off x="0" y="0"/>
                            <a:ext cx="3780155" cy="2564130"/>
                          </a:xfrm>
                          <a:prstGeom prst="rect">
                            <a:avLst/>
                          </a:prstGeom>
                          <a:noFill/>
                          <a:ln>
                            <a:noFill/>
                          </a:ln>
                        </pic:spPr>
                      </pic:pic>
                    </a:graphicData>
                  </a:graphic>
                </wp:inline>
              </w:drawing>
            </w:r>
          </w:p>
          <w:p w14:paraId="0FF5E0AC">
            <w:pPr>
              <w:pStyle w:val="7"/>
              <w:rPr>
                <w:sz w:val="21"/>
                <w:szCs w:val="21"/>
              </w:rPr>
            </w:pPr>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10</w:t>
            </w:r>
            <w:r>
              <w:rPr>
                <w:sz w:val="21"/>
                <w:szCs w:val="21"/>
              </w:rPr>
              <w:fldChar w:fldCharType="end"/>
            </w:r>
            <w:bookmarkStart w:id="84" w:name="_Toc6473"/>
            <w:r>
              <w:rPr>
                <w:rFonts w:hint="eastAsia"/>
                <w:sz w:val="21"/>
                <w:szCs w:val="21"/>
                <w:lang w:val="en-US" w:eastAsia="zh-CN"/>
              </w:rPr>
              <w:t xml:space="preserve">  </w:t>
            </w:r>
            <w:r>
              <w:rPr>
                <w:rFonts w:hint="eastAsia"/>
                <w:sz w:val="21"/>
                <w:szCs w:val="21"/>
              </w:rPr>
              <w:t>重庆市九龙坡职业教育中心</w:t>
            </w:r>
            <w:r>
              <w:rPr>
                <w:sz w:val="21"/>
                <w:szCs w:val="21"/>
              </w:rPr>
              <w:t>1+X传感网应用开发证书考核现场</w:t>
            </w:r>
            <w:bookmarkEnd w:id="84"/>
          </w:p>
        </w:tc>
      </w:tr>
    </w:tbl>
    <w:p w14:paraId="5FC77EEC">
      <w:pPr>
        <w:ind w:firstLine="480" w:firstLineChars="200"/>
        <w:rPr>
          <w:lang w:eastAsia="zh-CN"/>
        </w:rPr>
      </w:pPr>
      <w:r>
        <w:rPr>
          <w:rFonts w:hint="eastAsia"/>
          <w:lang w:eastAsia="zh-CN"/>
        </w:rPr>
        <w:t>在赛事承办上，各校积极发挥自身优势，为区域技能交流搭建优质平台。重庆市九龙坡职业教育中心承办重庆市航空交通运输赛道中职组航空服务赛项；重庆市工艺美术学校承办舞台布景市级赛项；重庆建筑高级技工学校积极搭建技能展示与交流平台，成功承办市级技能竞赛2项。</w:t>
      </w:r>
    </w:p>
    <w:p w14:paraId="035D03A6">
      <w:pPr>
        <w:ind w:firstLine="480" w:firstLineChars="200"/>
        <w:rPr>
          <w:lang w:eastAsia="zh-CN"/>
        </w:rPr>
      </w:pPr>
      <w:r>
        <w:rPr>
          <w:rFonts w:hint="eastAsia"/>
          <w:lang w:eastAsia="zh-CN"/>
        </w:rPr>
        <w:t>本年度，</w:t>
      </w:r>
      <w:r>
        <w:rPr>
          <w:lang w:eastAsia="zh-CN"/>
        </w:rPr>
        <w:t>在参赛获奖方面，各校</w:t>
      </w:r>
      <w:r>
        <w:rPr>
          <w:rFonts w:hint="eastAsia"/>
          <w:lang w:eastAsia="zh-CN"/>
        </w:rPr>
        <w:t>展现了</w:t>
      </w:r>
      <w:r>
        <w:rPr>
          <w:lang w:eastAsia="zh-CN"/>
        </w:rPr>
        <w:t>专业技能人才培养的丰硕成果。重庆市九龙坡职业教育中心在2025年世界职业院校技能大赛国内争夺赛的2个赛项中表现出色，获得金奖1项、铜奖1项，获奖率达100%，位居全市第九</w:t>
      </w:r>
      <w:r>
        <w:rPr>
          <w:rFonts w:hint="eastAsia"/>
          <w:lang w:eastAsia="zh-CN"/>
        </w:rPr>
        <w:t>；</w:t>
      </w:r>
      <w:r>
        <w:rPr>
          <w:lang w:eastAsia="zh-CN"/>
        </w:rPr>
        <w:t>在2024年重庆市技能大赛中获奖11项，其中一等奖3项、二等奖5项、三等奖3项。重庆市工艺美术学校</w:t>
      </w:r>
      <w:r>
        <w:rPr>
          <w:rFonts w:hint="eastAsia"/>
          <w:lang w:eastAsia="zh-CN"/>
        </w:rPr>
        <w:t>获重庆市职业院校技能大赛</w:t>
      </w:r>
      <w:r>
        <w:rPr>
          <w:lang w:eastAsia="zh-CN"/>
        </w:rPr>
        <w:t>金奖1个、银奖2个、铜奖3个，并成功推选4名世界技能大赛选手。重庆建筑</w:t>
      </w:r>
      <w:r>
        <w:rPr>
          <w:rFonts w:hint="eastAsia"/>
          <w:lang w:eastAsia="zh-CN"/>
        </w:rPr>
        <w:t>高级</w:t>
      </w:r>
      <w:r>
        <w:rPr>
          <w:lang w:eastAsia="zh-CN"/>
        </w:rPr>
        <w:t>技工学校2025年累计选派8支参赛队伍、8名师生参赛，斩获省级奖项5项、国家级奖项3项，更有3名选手入选第48届世界技能大赛国家集训队。重庆舞蹈学校</w:t>
      </w:r>
      <w:r>
        <w:rPr>
          <w:rFonts w:hint="eastAsia"/>
          <w:lang w:eastAsia="zh-CN"/>
        </w:rPr>
        <w:t>组织</w:t>
      </w:r>
      <w:r>
        <w:rPr>
          <w:lang w:eastAsia="zh-CN"/>
        </w:rPr>
        <w:t>学生参与CBDF、OSD等国际标准舞赛事，获2025年UK Open Dance Festival 21岁新星摩登亚军。</w:t>
      </w:r>
    </w:p>
    <w:p w14:paraId="2261979A">
      <w:pPr>
        <w:spacing w:line="240" w:lineRule="auto"/>
        <w:jc w:val="center"/>
        <w:rPr>
          <w:lang w:eastAsia="zh-CN"/>
        </w:rPr>
      </w:pPr>
      <w:r>
        <w:rPr>
          <w:lang w:eastAsia="zh-CN"/>
        </w:rPr>
        <w:drawing>
          <wp:inline distT="0" distB="0" distL="114300" distR="114300">
            <wp:extent cx="3780155" cy="2806700"/>
            <wp:effectExtent l="0" t="0" r="8890" b="0"/>
            <wp:docPr id="163" name="图片 16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图片1"/>
                    <pic:cNvPicPr>
                      <a:picLocks noChangeAspect="1"/>
                    </pic:cNvPicPr>
                  </pic:nvPicPr>
                  <pic:blipFill>
                    <a:blip r:embed="rId26"/>
                    <a:stretch>
                      <a:fillRect/>
                    </a:stretch>
                  </pic:blipFill>
                  <pic:spPr>
                    <a:xfrm>
                      <a:off x="0" y="0"/>
                      <a:ext cx="3780155" cy="2806700"/>
                    </a:xfrm>
                    <a:prstGeom prst="rect">
                      <a:avLst/>
                    </a:prstGeom>
                  </pic:spPr>
                </pic:pic>
              </a:graphicData>
            </a:graphic>
          </wp:inline>
        </w:drawing>
      </w:r>
    </w:p>
    <w:p w14:paraId="1501AD70">
      <w:pPr>
        <w:pStyle w:val="7"/>
      </w:pPr>
      <w:bookmarkStart w:id="85" w:name="_Toc25636"/>
      <w:r>
        <w:t>图</w:t>
      </w:r>
      <w:r>
        <w:fldChar w:fldCharType="begin"/>
      </w:r>
      <w:r>
        <w:instrText xml:space="preserve"> SEQ 图 \* ARABIC </w:instrText>
      </w:r>
      <w:r>
        <w:fldChar w:fldCharType="separate"/>
      </w:r>
      <w:r>
        <w:t>11</w:t>
      </w:r>
      <w:r>
        <w:fldChar w:fldCharType="end"/>
      </w:r>
      <w:bookmarkStart w:id="86" w:name="_Toc4476"/>
      <w:r>
        <w:rPr>
          <w:rFonts w:hint="eastAsia"/>
          <w:lang w:val="en-US" w:eastAsia="zh-CN"/>
        </w:rPr>
        <w:t xml:space="preserve">  </w:t>
      </w:r>
      <w:r>
        <w:rPr>
          <w:rFonts w:hint="eastAsia"/>
        </w:rPr>
        <w:t>重庆市工艺美术学校承办重庆市职业院校技能大赛舞台布景赛项</w:t>
      </w:r>
      <w:bookmarkEnd w:id="85"/>
      <w:bookmarkEnd w:id="86"/>
    </w:p>
    <w:p w14:paraId="7C6767E4">
      <w:pPr>
        <w:pStyle w:val="3"/>
        <w:spacing w:before="327" w:after="327"/>
      </w:pPr>
      <w:bookmarkStart w:id="87" w:name="_Toc8891"/>
      <w:r>
        <w:rPr>
          <w:rFonts w:hint="eastAsia"/>
        </w:rPr>
        <w:t xml:space="preserve">2.8 </w:t>
      </w:r>
      <w:r>
        <w:rPr>
          <w:rFonts w:hint="eastAsia" w:ascii="方正黑体_GBK" w:hAnsi="方正黑体_GBK" w:eastAsia="方正黑体_GBK" w:cs="方正黑体_GBK"/>
        </w:rPr>
        <w:t>多样成才</w:t>
      </w:r>
      <w:bookmarkEnd w:id="87"/>
    </w:p>
    <w:p w14:paraId="26099D9A">
      <w:pPr>
        <w:pStyle w:val="4"/>
        <w:spacing w:before="163" w:after="163"/>
      </w:pPr>
      <w:bookmarkStart w:id="88" w:name="_Toc7659"/>
      <w:r>
        <w:rPr>
          <w:rFonts w:hint="eastAsia"/>
        </w:rPr>
        <w:t xml:space="preserve">2.8.1 </w:t>
      </w:r>
      <w:r>
        <w:rPr>
          <w:rFonts w:hint="eastAsia" w:ascii="方正黑体_GBK" w:hAnsi="方正黑体_GBK" w:eastAsia="方正黑体_GBK" w:cs="方正黑体_GBK"/>
        </w:rPr>
        <w:t>综合高中与职普融通</w:t>
      </w:r>
      <w:bookmarkEnd w:id="88"/>
    </w:p>
    <w:p w14:paraId="59EFD584">
      <w:pPr>
        <w:ind w:firstLine="480" w:firstLineChars="200"/>
        <w:rPr>
          <w:lang w:eastAsia="zh-CN"/>
        </w:rPr>
      </w:pPr>
      <w:r>
        <w:rPr>
          <w:rFonts w:hint="eastAsia"/>
          <w:lang w:eastAsia="zh-CN"/>
        </w:rPr>
        <w:t>区内重庆市工艺美术学校、重庆市九龙坡职业教育中心2所中职学校被确定为重庆市首批综合高中改革试点学校，全面推进综合高中改革。重庆市工艺美术学校制定涵盖教学技能、教育理念、学科知识等多维度的综合高中教师培养方案；精心推出“一生一案一群”工作方案，为近300名学生定制个性化计划并建家校沟通群助力成长；联合5所试点校成立改革发展共同体，以联考、联研等活动促交流合作，探索综合高中改革路径，提升区域教育水平。重庆市九龙坡职业教育中心系统搭建涵盖艺体类普通高考班、职普融通实验班、综合高中班在内的多样化育人路径体系，拓展学生成长通道，2025年，学校成功申报为市级职普融通分类发展项目学校，其改革实践获得进一步认可与肯定。</w:t>
      </w:r>
    </w:p>
    <w:p w14:paraId="7F488844">
      <w:pPr>
        <w:pStyle w:val="7"/>
        <w:ind w:left="1850" w:leftChars="200" w:hanging="1370" w:hangingChars="650"/>
        <w:jc w:val="center"/>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9</w:t>
      </w:r>
      <w:r>
        <w:rPr>
          <w:rFonts w:hint="default" w:ascii="Times New Roman" w:hAnsi="Times New Roman" w:eastAsia="黑体" w:cs="Times New Roman"/>
          <w:b/>
          <w:bCs/>
          <w:color w:val="2E54A1" w:themeColor="accent1" w:themeShade="BF"/>
          <w:sz w:val="21"/>
          <w:szCs w:val="21"/>
        </w:rPr>
        <w:fldChar w:fldCharType="end"/>
      </w:r>
      <w:bookmarkStart w:id="89" w:name="_Toc12817"/>
      <w:r>
        <w:rPr>
          <w:rFonts w:hint="default" w:ascii="Times New Roman" w:hAnsi="Times New Roman" w:eastAsia="黑体" w:cs="Times New Roman"/>
          <w:b/>
          <w:bCs/>
          <w:color w:val="2E54A1" w:themeColor="accent1" w:themeShade="BF"/>
          <w:sz w:val="21"/>
          <w:szCs w:val="21"/>
        </w:rPr>
        <w:t>】  重庆市工艺美术学校系统推进综合高中改革试点</w:t>
      </w:r>
      <w:bookmarkEnd w:id="89"/>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2BF9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67470E3C">
            <w:pPr>
              <w:ind w:firstLine="420" w:firstLineChars="200"/>
              <w:rPr>
                <w:sz w:val="21"/>
                <w:szCs w:val="21"/>
                <w:lang w:eastAsia="zh-CN"/>
              </w:rPr>
            </w:pPr>
            <w:r>
              <w:rPr>
                <w:rFonts w:hint="eastAsia" w:eastAsia="楷体" w:cs="Times New Roman"/>
                <w:sz w:val="21"/>
                <w:szCs w:val="21"/>
                <w:lang w:eastAsia="zh-CN"/>
              </w:rPr>
              <w:t>学校立足普职融通，系统推进综合高中改革试点。核心做法包括：一是强化顶层设计，编制《综合高中改革实施方案》总纲及配套评价、培养方案，同步修订校内职称、绩效等制度，构建支撑改革的完整政策体系。二是畅通学生成长路径，创新设计贯通普通教育与职业教育的“双通道九路径”成才立交桥，为学生提供多元选择，并配套生涯指导工具。三是构建特色课程体系，实施“分流前夯实基础、分流后对接专业”的分段式教学，并创建聚焦学习方法、职业认知与发展动力的“学涯、职涯、生涯”“三涯”特色课程群。四是开发适配资源，联合区域教科研机构及优质普高，通过集体备课开发近10GB专用教学资源库。五是实施精准师资培育，针对教师转型需求，建立覆盖新教师、骨干教师、带头人的“136”分层成长支持体系。六是凝聚协同合力，牵头组建区域综合高中改革联盟，开展联研联考，共破改革难题。</w:t>
            </w:r>
          </w:p>
        </w:tc>
      </w:tr>
    </w:tbl>
    <w:p w14:paraId="30321FF6">
      <w:pPr>
        <w:pStyle w:val="4"/>
        <w:spacing w:before="163" w:after="163"/>
      </w:pPr>
      <w:bookmarkStart w:id="90" w:name="_Toc31601"/>
      <w:r>
        <w:rPr>
          <w:rFonts w:hint="eastAsia"/>
        </w:rPr>
        <w:t xml:space="preserve">2.8.2 </w:t>
      </w:r>
      <w:r>
        <w:rPr>
          <w:rFonts w:hint="eastAsia" w:ascii="方正黑体_GBK" w:hAnsi="方正黑体_GBK" w:eastAsia="方正黑体_GBK" w:cs="方正黑体_GBK"/>
        </w:rPr>
        <w:t>志愿服务与实践育人</w:t>
      </w:r>
      <w:bookmarkEnd w:id="90"/>
    </w:p>
    <w:p w14:paraId="0E00FEA1">
      <w:pPr>
        <w:ind w:firstLine="480" w:firstLineChars="200"/>
        <w:rPr>
          <w:lang w:eastAsia="zh-CN"/>
        </w:rPr>
      </w:pPr>
      <w:r>
        <w:rPr>
          <w:rFonts w:hint="eastAsia"/>
          <w:lang w:eastAsia="zh-CN"/>
        </w:rPr>
        <w:t>全区中职学</w:t>
      </w:r>
      <w:r>
        <w:rPr>
          <w:lang w:eastAsia="zh-CN"/>
        </w:rPr>
        <w:t>校以多元活动为载体、创新机制为驱动，组织学生常态化开展志愿服务，实现育人实效与社会贡献双提升。重庆市九龙坡职业教育中心积极推动志愿服务与专业实践、社会需求相结合，组织开展</w:t>
      </w:r>
      <w:r>
        <w:rPr>
          <w:rFonts w:hint="eastAsia"/>
          <w:lang w:eastAsia="zh-CN"/>
        </w:rPr>
        <w:t>“</w:t>
      </w:r>
      <w:r>
        <w:rPr>
          <w:lang w:eastAsia="zh-CN"/>
        </w:rPr>
        <w:t>三下乡</w:t>
      </w:r>
      <w:r>
        <w:rPr>
          <w:rFonts w:hint="eastAsia"/>
          <w:lang w:eastAsia="zh-CN"/>
        </w:rPr>
        <w:t>”“</w:t>
      </w:r>
      <w:r>
        <w:rPr>
          <w:lang w:eastAsia="zh-CN"/>
        </w:rPr>
        <w:t>进社区</w:t>
      </w:r>
      <w:r>
        <w:rPr>
          <w:rFonts w:hint="eastAsia"/>
          <w:lang w:eastAsia="zh-CN"/>
        </w:rPr>
        <w:t>”“</w:t>
      </w:r>
      <w:r>
        <w:rPr>
          <w:lang w:eastAsia="zh-CN"/>
        </w:rPr>
        <w:t>专业助农</w:t>
      </w:r>
      <w:r>
        <w:rPr>
          <w:rFonts w:hint="eastAsia"/>
          <w:lang w:eastAsia="zh-CN"/>
        </w:rPr>
        <w:t>”</w:t>
      </w:r>
      <w:r>
        <w:rPr>
          <w:lang w:eastAsia="zh-CN"/>
        </w:rPr>
        <w:t>等品牌志愿服务活动</w:t>
      </w:r>
      <w:r>
        <w:rPr>
          <w:rFonts w:hint="eastAsia"/>
          <w:lang w:eastAsia="zh-CN"/>
        </w:rPr>
        <w:t>，</w:t>
      </w:r>
      <w:r>
        <w:rPr>
          <w:lang w:eastAsia="zh-CN"/>
        </w:rPr>
        <w:t>现有注册志愿者960余人，年度累计服务超过1200人次。重庆市工艺美术学校重视学生社会实践</w:t>
      </w:r>
      <w:r>
        <w:rPr>
          <w:rFonts w:hint="eastAsia"/>
          <w:lang w:eastAsia="zh-CN"/>
        </w:rPr>
        <w:t>活动，开展</w:t>
      </w:r>
      <w:r>
        <w:rPr>
          <w:lang w:eastAsia="zh-CN"/>
        </w:rPr>
        <w:t>古镇非遗技艺学习创新、走进社区关爱孤寡老人、职业体验企业实习参与项目制作等，</w:t>
      </w:r>
      <w:r>
        <w:rPr>
          <w:rFonts w:hint="eastAsia"/>
          <w:lang w:eastAsia="zh-CN"/>
        </w:rPr>
        <w:t>让学生在实践中</w:t>
      </w:r>
      <w:r>
        <w:rPr>
          <w:lang w:eastAsia="zh-CN"/>
        </w:rPr>
        <w:t>提升技能素养，助力学校人才培养与社会服务。</w:t>
      </w:r>
      <w:r>
        <w:rPr>
          <w:rFonts w:hint="eastAsia"/>
          <w:lang w:eastAsia="zh-CN"/>
        </w:rPr>
        <w:t>重庆舞蹈学校“舞动青春”志愿者服务队积极参与美化校园、文艺表演、趣味运动会、入团宣誓等志愿服务活动。</w:t>
      </w:r>
    </w:p>
    <w:p w14:paraId="255F8DCD">
      <w:pPr>
        <w:pStyle w:val="7"/>
        <w:ind w:left="1850" w:leftChars="200" w:hanging="1370" w:hangingChars="650"/>
        <w:jc w:val="center"/>
        <w:rPr>
          <w:rFonts w:hint="eastAsia" w:ascii="Times New Roman" w:hAnsi="Times New Roman" w:eastAsia="黑体" w:cs="Times New Roman"/>
          <w:b/>
          <w:bCs/>
          <w:color w:val="2E54A1" w:themeColor="accent1" w:themeShade="BF"/>
          <w:sz w:val="21"/>
          <w:szCs w:val="21"/>
          <w:lang w:val="en-US" w:eastAsia="zh-CN"/>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10</w:t>
      </w:r>
      <w:r>
        <w:rPr>
          <w:rFonts w:hint="default" w:ascii="Times New Roman" w:hAnsi="Times New Roman" w:eastAsia="黑体" w:cs="Times New Roman"/>
          <w:b/>
          <w:bCs/>
          <w:color w:val="2E54A1" w:themeColor="accent1" w:themeShade="BF"/>
          <w:sz w:val="21"/>
          <w:szCs w:val="21"/>
        </w:rPr>
        <w:fldChar w:fldCharType="end"/>
      </w:r>
      <w:bookmarkStart w:id="91" w:name="_Toc16742"/>
      <w:r>
        <w:rPr>
          <w:rFonts w:hint="default" w:ascii="Times New Roman" w:hAnsi="Times New Roman" w:eastAsia="黑体" w:cs="Times New Roman"/>
          <w:b/>
          <w:bCs/>
          <w:color w:val="2E54A1" w:themeColor="accent1" w:themeShade="BF"/>
          <w:sz w:val="21"/>
          <w:szCs w:val="21"/>
        </w:rPr>
        <w:t>】  重庆市九龙坡职业教育中心</w:t>
      </w:r>
      <w:r>
        <w:rPr>
          <w:rFonts w:hint="eastAsia" w:eastAsia="黑体" w:cs="Times New Roman"/>
          <w:b/>
          <w:bCs/>
          <w:color w:val="2E54A1" w:themeColor="accent1" w:themeShade="BF"/>
          <w:sz w:val="21"/>
          <w:szCs w:val="21"/>
          <w:lang w:eastAsia="zh-CN"/>
        </w:rPr>
        <w:t>“</w:t>
      </w:r>
      <w:r>
        <w:rPr>
          <w:rFonts w:hint="default" w:ascii="Times New Roman" w:hAnsi="Times New Roman" w:eastAsia="黑体" w:cs="Times New Roman"/>
          <w:b/>
          <w:bCs/>
          <w:color w:val="2E54A1" w:themeColor="accent1" w:themeShade="BF"/>
          <w:sz w:val="21"/>
          <w:szCs w:val="21"/>
        </w:rPr>
        <w:t>五进五化</w:t>
      </w:r>
      <w:r>
        <w:rPr>
          <w:rFonts w:hint="eastAsia" w:eastAsia="黑体" w:cs="Times New Roman"/>
          <w:b/>
          <w:bCs/>
          <w:color w:val="2E54A1" w:themeColor="accent1" w:themeShade="BF"/>
          <w:sz w:val="21"/>
          <w:szCs w:val="21"/>
          <w:lang w:eastAsia="zh-CN"/>
        </w:rPr>
        <w:t>”</w:t>
      </w:r>
      <w:r>
        <w:rPr>
          <w:rFonts w:hint="default" w:ascii="Times New Roman" w:hAnsi="Times New Roman" w:eastAsia="黑体" w:cs="Times New Roman"/>
          <w:b/>
          <w:bCs/>
          <w:color w:val="2E54A1" w:themeColor="accent1" w:themeShade="BF"/>
          <w:sz w:val="21"/>
          <w:szCs w:val="21"/>
        </w:rPr>
        <w:t>志愿服务</w:t>
      </w:r>
      <w:bookmarkEnd w:id="91"/>
      <w:r>
        <w:rPr>
          <w:rFonts w:hint="eastAsia" w:eastAsia="黑体" w:cs="Times New Roman"/>
          <w:b/>
          <w:bCs/>
          <w:color w:val="2E54A1" w:themeColor="accent1" w:themeShade="BF"/>
          <w:sz w:val="21"/>
          <w:szCs w:val="21"/>
          <w:lang w:val="en-US" w:eastAsia="zh-CN"/>
        </w:rPr>
        <w:t xml:space="preserve"> 擦亮青春底色</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721E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3157E938">
            <w:pPr>
              <w:ind w:firstLine="420" w:firstLineChars="200"/>
              <w:rPr>
                <w:rFonts w:eastAsia="楷体" w:cs="Times New Roman"/>
                <w:sz w:val="21"/>
                <w:szCs w:val="21"/>
                <w:lang w:eastAsia="zh-CN"/>
              </w:rPr>
            </w:pPr>
            <w:r>
              <w:rPr>
                <w:rFonts w:hint="eastAsia" w:eastAsia="楷体" w:cs="Times New Roman"/>
                <w:sz w:val="21"/>
                <w:szCs w:val="21"/>
                <w:lang w:eastAsia="zh-CN"/>
              </w:rPr>
              <w:t>校团委创新实施“五进五化”志愿服务模式，将校园文化、专业特色与社会责任相结合，显著提升了学生的志愿服务参与度和职业认同。一是制度化志愿服务，通过积分评价体系和《志愿服务管理办法》将服务纳入班级考核。二是常态化志愿服务，将服务活动如清洁、礼仪等融入校园日常管理。三是社会化志愿服务，通过社区服务与技能实践相结合的方式，如“大国小匠中国行”和“三下乡”活动。四是特色化志愿服务，利用专业优势支持乡村振兴，例如电商专业直播助销农产品。五是精准化志愿服务，依托教育基地为中小学生提供劳动与职业启蒙教育。在这一模式下，学校拥有960余名注册志愿者，年服务人次超过1200人，参与了多项重大活动和公益项目，如为“一带一路”青少年科技创新计划提供礼仪服务，参与“壹基金”公益活动，以及重庆市中小学生艺术展演等。</w:t>
            </w:r>
          </w:p>
          <w:p w14:paraId="149ACDE8">
            <w:pPr>
              <w:spacing w:line="240" w:lineRule="auto"/>
              <w:jc w:val="center"/>
              <w:rPr>
                <w:sz w:val="21"/>
                <w:szCs w:val="21"/>
                <w:lang w:eastAsia="zh-CN"/>
              </w:rPr>
            </w:pPr>
            <w:r>
              <w:rPr>
                <w:sz w:val="21"/>
                <w:szCs w:val="21"/>
                <w:lang w:eastAsia="zh-CN"/>
              </w:rPr>
              <w:drawing>
                <wp:inline distT="0" distB="0" distL="114300" distR="114300">
                  <wp:extent cx="3780155" cy="2699385"/>
                  <wp:effectExtent l="0" t="0" r="8890" b="10160"/>
                  <wp:docPr id="84" name="图片 32" descr="学生志愿服务案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学生志愿服务案例"/>
                          <pic:cNvPicPr>
                            <a:picLocks noChangeAspect="1"/>
                          </pic:cNvPicPr>
                        </pic:nvPicPr>
                        <pic:blipFill>
                          <a:blip r:embed="rId27"/>
                          <a:stretch>
                            <a:fillRect/>
                          </a:stretch>
                        </pic:blipFill>
                        <pic:spPr>
                          <a:xfrm>
                            <a:off x="0" y="0"/>
                            <a:ext cx="3780155" cy="2699385"/>
                          </a:xfrm>
                          <a:prstGeom prst="rect">
                            <a:avLst/>
                          </a:prstGeom>
                          <a:noFill/>
                          <a:ln>
                            <a:noFill/>
                          </a:ln>
                        </pic:spPr>
                      </pic:pic>
                    </a:graphicData>
                  </a:graphic>
                </wp:inline>
              </w:drawing>
            </w:r>
          </w:p>
          <w:p w14:paraId="11D9F87A">
            <w:pPr>
              <w:pStyle w:val="7"/>
              <w:rPr>
                <w:sz w:val="21"/>
                <w:szCs w:val="21"/>
              </w:rPr>
            </w:pPr>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12</w:t>
            </w:r>
            <w:r>
              <w:rPr>
                <w:sz w:val="21"/>
                <w:szCs w:val="21"/>
              </w:rPr>
              <w:fldChar w:fldCharType="end"/>
            </w:r>
            <w:bookmarkStart w:id="92" w:name="_Toc26004"/>
            <w:r>
              <w:rPr>
                <w:rFonts w:hint="eastAsia"/>
                <w:sz w:val="21"/>
                <w:szCs w:val="21"/>
                <w:lang w:val="en-US" w:eastAsia="zh-CN"/>
              </w:rPr>
              <w:t xml:space="preserve">  </w:t>
            </w:r>
            <w:r>
              <w:rPr>
                <w:rFonts w:hint="eastAsia"/>
                <w:sz w:val="21"/>
                <w:szCs w:val="21"/>
              </w:rPr>
              <w:t>重庆市九龙坡职业教育中心</w:t>
            </w:r>
            <w:r>
              <w:rPr>
                <w:sz w:val="21"/>
                <w:szCs w:val="21"/>
              </w:rPr>
              <w:t>志愿服务活动</w:t>
            </w:r>
            <w:bookmarkEnd w:id="92"/>
          </w:p>
        </w:tc>
      </w:tr>
    </w:tbl>
    <w:p w14:paraId="09C469F0">
      <w:pPr>
        <w:pStyle w:val="4"/>
        <w:spacing w:before="163" w:after="163"/>
        <w:rPr>
          <w:rFonts w:hint="eastAsia" w:ascii="方正黑体_GBK" w:hAnsi="方正黑体_GBK" w:eastAsia="方正黑体_GBK" w:cs="方正黑体_GBK"/>
        </w:rPr>
      </w:pPr>
      <w:bookmarkStart w:id="93" w:name="_Toc15825"/>
      <w:r>
        <w:rPr>
          <w:rFonts w:hint="eastAsia"/>
        </w:rPr>
        <w:t xml:space="preserve">2.8.3 </w:t>
      </w:r>
      <w:r>
        <w:rPr>
          <w:rFonts w:hint="eastAsia" w:ascii="方正黑体_GBK" w:hAnsi="方正黑体_GBK" w:eastAsia="方正黑体_GBK" w:cs="方正黑体_GBK"/>
        </w:rPr>
        <w:t>五育并举与全面发展</w:t>
      </w:r>
      <w:bookmarkEnd w:id="93"/>
    </w:p>
    <w:p w14:paraId="4F20C446">
      <w:pPr>
        <w:bidi w:val="0"/>
        <w:ind w:firstLine="480" w:firstLineChars="200"/>
        <w:rPr>
          <w:lang w:eastAsia="zh-CN"/>
        </w:rPr>
      </w:pPr>
      <w:r>
        <w:rPr>
          <w:lang w:eastAsia="zh-CN"/>
        </w:rPr>
        <w:t>在全面落实五育并举、培育新时代职教人才的征程中，</w:t>
      </w:r>
      <w:r>
        <w:rPr>
          <w:rFonts w:hint="eastAsia"/>
          <w:lang w:eastAsia="zh-CN"/>
        </w:rPr>
        <w:t>各</w:t>
      </w:r>
      <w:r>
        <w:rPr>
          <w:lang w:eastAsia="zh-CN"/>
        </w:rPr>
        <w:t>学校始终将学生校园生活的丰富性与成长性置于重要位置，通过多维举措精心构建沉浸式、多元化育人生态。一方面，学生社团蓬勃兴起，涵盖艺术、创新、体育、心理等类别的社团，为学生兴趣培养与特长展示搭建广阔平台，营造出积极向上的校园文化氛围</w:t>
      </w:r>
      <w:r>
        <w:rPr>
          <w:rFonts w:hint="eastAsia"/>
          <w:lang w:eastAsia="zh-CN"/>
        </w:rPr>
        <w:t>。</w:t>
      </w:r>
      <w:r>
        <w:rPr>
          <w:lang w:eastAsia="zh-CN"/>
        </w:rPr>
        <w:t>另一方面，团青活动阵地功能化建设成效显著，团青活动室成为青年成长的一体化空间，强化思想引领与服务效能。与此同时，</w:t>
      </w:r>
      <w:r>
        <w:rPr>
          <w:rFonts w:hint="eastAsia"/>
          <w:lang w:eastAsia="zh-CN"/>
        </w:rPr>
        <w:t>各校</w:t>
      </w:r>
      <w:r>
        <w:rPr>
          <w:lang w:eastAsia="zh-CN"/>
        </w:rPr>
        <w:t>高度重视学生心理健康，完成评测、建立特殊学生档案、举办宣传教育月活动并积极申报特色学校。</w:t>
      </w:r>
    </w:p>
    <w:p w14:paraId="37169217">
      <w:pPr>
        <w:pStyle w:val="7"/>
      </w:pPr>
      <w:r>
        <w:t>表</w:t>
      </w:r>
      <w:r>
        <w:fldChar w:fldCharType="begin"/>
      </w:r>
      <w:r>
        <w:instrText xml:space="preserve"> SEQ 表 \* ARABIC </w:instrText>
      </w:r>
      <w:r>
        <w:fldChar w:fldCharType="separate"/>
      </w:r>
      <w:r>
        <w:t>11</w:t>
      </w:r>
      <w:r>
        <w:fldChar w:fldCharType="end"/>
      </w:r>
      <w:bookmarkStart w:id="94" w:name="_Toc20118"/>
      <w:r>
        <w:rPr>
          <w:rFonts w:hint="eastAsia"/>
        </w:rPr>
        <w:t xml:space="preserve">  </w:t>
      </w:r>
      <w:r>
        <w:rPr>
          <w:rFonts w:hint="eastAsia"/>
          <w:lang w:eastAsia="zh-CN"/>
        </w:rPr>
        <w:t>区内中职学校</w:t>
      </w:r>
      <w:r>
        <w:rPr>
          <w:rFonts w:hint="eastAsia"/>
        </w:rPr>
        <w:t>部分</w:t>
      </w:r>
      <w:r>
        <w:t>学生社团开设情况</w:t>
      </w:r>
      <w:bookmarkEnd w:id="94"/>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085"/>
        <w:gridCol w:w="6841"/>
      </w:tblGrid>
      <w:tr w14:paraId="0A11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3" w:type="pct"/>
            <w:shd w:val="clear" w:color="auto" w:fill="DAE3F5"/>
            <w:vAlign w:val="center"/>
          </w:tcPr>
          <w:p w14:paraId="77EF3BF7">
            <w:pPr>
              <w:jc w:val="center"/>
              <w:rPr>
                <w:bCs/>
                <w:color w:val="auto"/>
                <w:sz w:val="20"/>
                <w:szCs w:val="20"/>
                <w:lang w:eastAsia="zh-CN"/>
              </w:rPr>
            </w:pPr>
            <w:r>
              <w:rPr>
                <w:bCs/>
                <w:color w:val="auto"/>
                <w:sz w:val="20"/>
                <w:szCs w:val="20"/>
                <w:lang w:eastAsia="zh-CN"/>
              </w:rPr>
              <w:t>序号</w:t>
            </w:r>
          </w:p>
        </w:tc>
        <w:tc>
          <w:tcPr>
            <w:tcW w:w="622" w:type="pct"/>
            <w:shd w:val="clear" w:color="auto" w:fill="DAE3F5"/>
            <w:vAlign w:val="center"/>
          </w:tcPr>
          <w:p w14:paraId="2FDC7B1A">
            <w:pPr>
              <w:jc w:val="center"/>
              <w:rPr>
                <w:bCs/>
                <w:color w:val="auto"/>
                <w:sz w:val="20"/>
                <w:szCs w:val="20"/>
                <w:lang w:eastAsia="zh-CN"/>
              </w:rPr>
            </w:pPr>
            <w:r>
              <w:rPr>
                <w:bCs/>
                <w:color w:val="auto"/>
                <w:sz w:val="20"/>
                <w:szCs w:val="20"/>
                <w:lang w:eastAsia="zh-CN"/>
              </w:rPr>
              <w:t>社团名称</w:t>
            </w:r>
          </w:p>
        </w:tc>
        <w:tc>
          <w:tcPr>
            <w:tcW w:w="3923" w:type="pct"/>
            <w:shd w:val="clear" w:color="auto" w:fill="DAE3F5"/>
            <w:vAlign w:val="center"/>
          </w:tcPr>
          <w:p w14:paraId="386B5E66">
            <w:pPr>
              <w:jc w:val="center"/>
              <w:rPr>
                <w:bCs/>
                <w:color w:val="auto"/>
                <w:sz w:val="20"/>
                <w:szCs w:val="20"/>
                <w:lang w:eastAsia="zh-CN"/>
              </w:rPr>
            </w:pPr>
            <w:r>
              <w:rPr>
                <w:bCs/>
                <w:color w:val="auto"/>
                <w:sz w:val="20"/>
                <w:szCs w:val="20"/>
                <w:lang w:eastAsia="zh-CN"/>
              </w:rPr>
              <w:t>社团活动简介</w:t>
            </w:r>
          </w:p>
        </w:tc>
      </w:tr>
      <w:tr w14:paraId="07BD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55C1585E">
            <w:pPr>
              <w:jc w:val="center"/>
              <w:rPr>
                <w:bCs/>
                <w:color w:val="auto"/>
                <w:sz w:val="20"/>
                <w:szCs w:val="20"/>
                <w:lang w:eastAsia="zh-CN"/>
              </w:rPr>
            </w:pPr>
            <w:r>
              <w:rPr>
                <w:bCs/>
                <w:color w:val="auto"/>
                <w:sz w:val="20"/>
                <w:szCs w:val="20"/>
                <w:lang w:eastAsia="zh-CN"/>
              </w:rPr>
              <w:t>1</w:t>
            </w:r>
          </w:p>
        </w:tc>
        <w:tc>
          <w:tcPr>
            <w:tcW w:w="622" w:type="pct"/>
            <w:tcBorders>
              <w:tl2br w:val="nil"/>
              <w:tr2bl w:val="nil"/>
            </w:tcBorders>
            <w:shd w:val="clear" w:color="auto" w:fill="FFFFFF"/>
            <w:vAlign w:val="center"/>
          </w:tcPr>
          <w:p w14:paraId="75680009">
            <w:pPr>
              <w:jc w:val="center"/>
              <w:rPr>
                <w:bCs/>
                <w:color w:val="auto"/>
                <w:sz w:val="20"/>
                <w:szCs w:val="20"/>
                <w:lang w:eastAsia="zh-CN"/>
              </w:rPr>
            </w:pPr>
            <w:r>
              <w:rPr>
                <w:bCs/>
                <w:color w:val="auto"/>
                <w:sz w:val="20"/>
                <w:szCs w:val="20"/>
                <w:lang w:eastAsia="zh-CN"/>
              </w:rPr>
              <w:t>街舞社</w:t>
            </w:r>
          </w:p>
        </w:tc>
        <w:tc>
          <w:tcPr>
            <w:tcW w:w="3923" w:type="pct"/>
            <w:tcBorders>
              <w:tl2br w:val="nil"/>
              <w:tr2bl w:val="nil"/>
            </w:tcBorders>
            <w:shd w:val="clear" w:color="auto" w:fill="FFFFFF"/>
            <w:vAlign w:val="center"/>
          </w:tcPr>
          <w:p w14:paraId="31D65D12">
            <w:pPr>
              <w:jc w:val="left"/>
              <w:rPr>
                <w:bCs/>
                <w:color w:val="auto"/>
                <w:sz w:val="20"/>
                <w:szCs w:val="20"/>
                <w:lang w:eastAsia="zh-CN"/>
              </w:rPr>
            </w:pPr>
            <w:r>
              <w:rPr>
                <w:bCs/>
                <w:color w:val="auto"/>
                <w:sz w:val="20"/>
                <w:szCs w:val="20"/>
                <w:lang w:eastAsia="zh-CN"/>
              </w:rPr>
              <w:t>街舞社本着舞出个性，展现自我，增进友谊陶冶情操为宗旨，崇尚</w:t>
            </w:r>
            <w:r>
              <w:rPr>
                <w:rFonts w:hint="eastAsia"/>
                <w:bCs/>
                <w:color w:val="auto"/>
                <w:sz w:val="20"/>
                <w:szCs w:val="20"/>
                <w:lang w:eastAsia="zh-CN"/>
              </w:rPr>
              <w:t>“</w:t>
            </w:r>
            <w:r>
              <w:rPr>
                <w:bCs/>
                <w:color w:val="auto"/>
                <w:sz w:val="20"/>
                <w:szCs w:val="20"/>
                <w:lang w:eastAsia="zh-CN"/>
              </w:rPr>
              <w:t>以舞会友</w:t>
            </w:r>
            <w:r>
              <w:rPr>
                <w:rFonts w:hint="eastAsia"/>
                <w:bCs/>
                <w:color w:val="auto"/>
                <w:sz w:val="20"/>
                <w:szCs w:val="20"/>
                <w:lang w:eastAsia="zh-CN"/>
              </w:rPr>
              <w:t>”</w:t>
            </w:r>
            <w:r>
              <w:rPr>
                <w:bCs/>
                <w:color w:val="auto"/>
                <w:sz w:val="20"/>
                <w:szCs w:val="20"/>
                <w:lang w:eastAsia="zh-CN"/>
              </w:rPr>
              <w:t>精神，在学舞和练舞的过程中活跃同学的第二课堂活动，丰富课余生活，让同学们的才能得到充分发挥，同时展现其个性，释放学习生活压力，锻炼身心！</w:t>
            </w:r>
          </w:p>
        </w:tc>
      </w:tr>
      <w:tr w14:paraId="0D8D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02ACDC81">
            <w:pPr>
              <w:jc w:val="center"/>
              <w:rPr>
                <w:bCs/>
                <w:color w:val="auto"/>
                <w:sz w:val="20"/>
                <w:szCs w:val="20"/>
                <w:lang w:eastAsia="zh-CN"/>
              </w:rPr>
            </w:pPr>
            <w:r>
              <w:rPr>
                <w:bCs/>
                <w:color w:val="auto"/>
                <w:sz w:val="20"/>
                <w:szCs w:val="20"/>
                <w:lang w:eastAsia="zh-CN"/>
              </w:rPr>
              <w:t>2</w:t>
            </w:r>
          </w:p>
        </w:tc>
        <w:tc>
          <w:tcPr>
            <w:tcW w:w="622" w:type="pct"/>
            <w:tcBorders>
              <w:tl2br w:val="nil"/>
              <w:tr2bl w:val="nil"/>
            </w:tcBorders>
            <w:shd w:val="clear" w:color="auto" w:fill="FFFFFF"/>
            <w:vAlign w:val="center"/>
          </w:tcPr>
          <w:p w14:paraId="3C93F696">
            <w:pPr>
              <w:jc w:val="center"/>
              <w:rPr>
                <w:bCs/>
                <w:color w:val="auto"/>
                <w:sz w:val="20"/>
                <w:szCs w:val="20"/>
                <w:lang w:eastAsia="zh-CN"/>
              </w:rPr>
            </w:pPr>
            <w:r>
              <w:rPr>
                <w:bCs/>
                <w:color w:val="auto"/>
                <w:sz w:val="20"/>
                <w:szCs w:val="20"/>
                <w:lang w:eastAsia="zh-CN"/>
              </w:rPr>
              <w:t>舞蹈队</w:t>
            </w:r>
          </w:p>
        </w:tc>
        <w:tc>
          <w:tcPr>
            <w:tcW w:w="3923" w:type="pct"/>
            <w:tcBorders>
              <w:tl2br w:val="nil"/>
              <w:tr2bl w:val="nil"/>
            </w:tcBorders>
            <w:shd w:val="clear" w:color="auto" w:fill="FFFFFF"/>
            <w:vAlign w:val="center"/>
          </w:tcPr>
          <w:p w14:paraId="1367BB67">
            <w:pPr>
              <w:jc w:val="left"/>
              <w:rPr>
                <w:bCs/>
                <w:color w:val="auto"/>
                <w:sz w:val="20"/>
                <w:szCs w:val="20"/>
                <w:lang w:eastAsia="zh-CN"/>
              </w:rPr>
            </w:pPr>
            <w:r>
              <w:rPr>
                <w:bCs/>
                <w:color w:val="auto"/>
                <w:sz w:val="20"/>
                <w:szCs w:val="20"/>
                <w:lang w:eastAsia="zh-CN"/>
              </w:rPr>
              <w:t>以</w:t>
            </w:r>
            <w:r>
              <w:rPr>
                <w:rFonts w:hint="eastAsia"/>
                <w:bCs/>
                <w:color w:val="auto"/>
                <w:sz w:val="20"/>
                <w:szCs w:val="20"/>
                <w:lang w:eastAsia="zh-CN"/>
              </w:rPr>
              <w:t>“</w:t>
            </w:r>
            <w:r>
              <w:rPr>
                <w:bCs/>
                <w:color w:val="auto"/>
                <w:sz w:val="20"/>
                <w:szCs w:val="20"/>
                <w:lang w:eastAsia="zh-CN"/>
              </w:rPr>
              <w:t>以舞塑魂，以美育人</w:t>
            </w:r>
            <w:r>
              <w:rPr>
                <w:rFonts w:hint="eastAsia"/>
                <w:bCs/>
                <w:color w:val="auto"/>
                <w:sz w:val="20"/>
                <w:szCs w:val="20"/>
                <w:lang w:eastAsia="zh-CN"/>
              </w:rPr>
              <w:t>”</w:t>
            </w:r>
            <w:r>
              <w:rPr>
                <w:bCs/>
                <w:color w:val="auto"/>
                <w:sz w:val="20"/>
                <w:szCs w:val="20"/>
                <w:lang w:eastAsia="zh-CN"/>
              </w:rPr>
              <w:t>为宗旨，既扎根传统文化土壤，是校园文化建设的靓丽名片，也是学子们以舞追梦的舞台。队内汇聚了来自各年级的舞蹈爱好者，涵盖民族舞、现代舞、古典舞等多个舞种，由专业教师指导，坚持每周系统化训练。</w:t>
            </w:r>
          </w:p>
        </w:tc>
      </w:tr>
      <w:tr w14:paraId="7150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7A0DD7AD">
            <w:pPr>
              <w:jc w:val="center"/>
              <w:rPr>
                <w:bCs/>
                <w:color w:val="auto"/>
                <w:sz w:val="20"/>
                <w:szCs w:val="20"/>
                <w:lang w:eastAsia="zh-CN"/>
              </w:rPr>
            </w:pPr>
            <w:r>
              <w:rPr>
                <w:bCs/>
                <w:color w:val="auto"/>
                <w:sz w:val="20"/>
                <w:szCs w:val="20"/>
                <w:lang w:eastAsia="zh-CN"/>
              </w:rPr>
              <w:t>3</w:t>
            </w:r>
          </w:p>
        </w:tc>
        <w:tc>
          <w:tcPr>
            <w:tcW w:w="622" w:type="pct"/>
            <w:tcBorders>
              <w:tl2br w:val="nil"/>
              <w:tr2bl w:val="nil"/>
            </w:tcBorders>
            <w:shd w:val="clear" w:color="auto" w:fill="FFFFFF"/>
            <w:vAlign w:val="center"/>
          </w:tcPr>
          <w:p w14:paraId="0018043C">
            <w:pPr>
              <w:jc w:val="center"/>
              <w:rPr>
                <w:bCs/>
                <w:color w:val="auto"/>
                <w:sz w:val="20"/>
                <w:szCs w:val="20"/>
                <w:lang w:eastAsia="zh-CN"/>
              </w:rPr>
            </w:pPr>
            <w:r>
              <w:rPr>
                <w:bCs/>
                <w:color w:val="auto"/>
                <w:sz w:val="20"/>
                <w:szCs w:val="20"/>
                <w:lang w:eastAsia="zh-CN"/>
              </w:rPr>
              <w:t>音乐社</w:t>
            </w:r>
          </w:p>
        </w:tc>
        <w:tc>
          <w:tcPr>
            <w:tcW w:w="3923" w:type="pct"/>
            <w:tcBorders>
              <w:tl2br w:val="nil"/>
              <w:tr2bl w:val="nil"/>
            </w:tcBorders>
            <w:shd w:val="clear" w:color="auto" w:fill="FFFFFF"/>
            <w:vAlign w:val="center"/>
          </w:tcPr>
          <w:p w14:paraId="346712FE">
            <w:pPr>
              <w:jc w:val="left"/>
              <w:rPr>
                <w:bCs/>
                <w:color w:val="auto"/>
                <w:sz w:val="20"/>
                <w:szCs w:val="20"/>
                <w:lang w:eastAsia="zh-CN"/>
              </w:rPr>
            </w:pPr>
            <w:r>
              <w:rPr>
                <w:bCs/>
                <w:color w:val="auto"/>
                <w:sz w:val="20"/>
                <w:szCs w:val="20"/>
                <w:lang w:eastAsia="zh-CN"/>
              </w:rPr>
              <w:t>音乐社团，是一个开展音乐艺术实践和展示个人才华的学生性质的社团，是在校学生音乐艺术骨干的团队，社团的活动宗旨是促进学校音乐艺术教育的发展，反映当代学生意气风发的精神面貌弘扬中华民族传统文化。</w:t>
            </w:r>
          </w:p>
        </w:tc>
      </w:tr>
      <w:tr w14:paraId="00DC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33729F27">
            <w:pPr>
              <w:jc w:val="center"/>
              <w:rPr>
                <w:bCs/>
                <w:color w:val="auto"/>
                <w:sz w:val="20"/>
                <w:szCs w:val="20"/>
                <w:lang w:eastAsia="zh-CN"/>
              </w:rPr>
            </w:pPr>
            <w:r>
              <w:rPr>
                <w:bCs/>
                <w:color w:val="auto"/>
                <w:sz w:val="20"/>
                <w:szCs w:val="20"/>
                <w:lang w:eastAsia="zh-CN"/>
              </w:rPr>
              <w:t>4</w:t>
            </w:r>
          </w:p>
        </w:tc>
        <w:tc>
          <w:tcPr>
            <w:tcW w:w="622" w:type="pct"/>
            <w:tcBorders>
              <w:tl2br w:val="nil"/>
              <w:tr2bl w:val="nil"/>
            </w:tcBorders>
            <w:shd w:val="clear" w:color="auto" w:fill="FFFFFF"/>
            <w:vAlign w:val="center"/>
          </w:tcPr>
          <w:p w14:paraId="4F505D08">
            <w:pPr>
              <w:jc w:val="center"/>
              <w:rPr>
                <w:bCs/>
                <w:color w:val="auto"/>
                <w:sz w:val="20"/>
                <w:szCs w:val="20"/>
                <w:lang w:eastAsia="zh-CN"/>
              </w:rPr>
            </w:pPr>
            <w:r>
              <w:rPr>
                <w:bCs/>
                <w:color w:val="auto"/>
                <w:sz w:val="20"/>
                <w:szCs w:val="20"/>
                <w:lang w:eastAsia="zh-CN"/>
              </w:rPr>
              <w:t>动漫社</w:t>
            </w:r>
          </w:p>
        </w:tc>
        <w:tc>
          <w:tcPr>
            <w:tcW w:w="3923" w:type="pct"/>
            <w:tcBorders>
              <w:tl2br w:val="nil"/>
              <w:tr2bl w:val="nil"/>
            </w:tcBorders>
            <w:shd w:val="clear" w:color="auto" w:fill="FFFFFF"/>
            <w:vAlign w:val="center"/>
          </w:tcPr>
          <w:p w14:paraId="590DC8C8">
            <w:pPr>
              <w:jc w:val="left"/>
              <w:rPr>
                <w:bCs/>
                <w:color w:val="auto"/>
                <w:sz w:val="20"/>
                <w:szCs w:val="20"/>
                <w:lang w:eastAsia="zh-CN"/>
              </w:rPr>
            </w:pPr>
            <w:r>
              <w:rPr>
                <w:bCs/>
                <w:color w:val="auto"/>
                <w:sz w:val="20"/>
                <w:szCs w:val="20"/>
                <w:lang w:eastAsia="zh-CN"/>
              </w:rPr>
              <w:t>动漫社旨在培养学生的动漫素养,了解目前动漫发展的前沿动态,学习动漫文化,制作一些动漫情景剧表演展示,增强</w:t>
            </w:r>
            <w:r>
              <w:rPr>
                <w:rFonts w:hint="eastAsia"/>
                <w:bCs/>
                <w:color w:val="auto"/>
                <w:sz w:val="20"/>
                <w:szCs w:val="20"/>
                <w:lang w:eastAsia="zh-CN"/>
              </w:rPr>
              <w:t>“</w:t>
            </w:r>
            <w:r>
              <w:rPr>
                <w:bCs/>
                <w:color w:val="auto"/>
                <w:sz w:val="20"/>
                <w:szCs w:val="20"/>
                <w:lang w:eastAsia="zh-CN"/>
              </w:rPr>
              <w:t>国漫</w:t>
            </w:r>
            <w:r>
              <w:rPr>
                <w:rFonts w:hint="eastAsia"/>
                <w:bCs/>
                <w:color w:val="auto"/>
                <w:sz w:val="20"/>
                <w:szCs w:val="20"/>
                <w:lang w:eastAsia="zh-CN"/>
              </w:rPr>
              <w:t>”</w:t>
            </w:r>
            <w:r>
              <w:rPr>
                <w:bCs/>
                <w:color w:val="auto"/>
                <w:sz w:val="20"/>
                <w:szCs w:val="20"/>
                <w:lang w:eastAsia="zh-CN"/>
              </w:rPr>
              <w:t>的信心;以动漫为突破口,提升学生的民族自豪感和自信心。</w:t>
            </w:r>
          </w:p>
        </w:tc>
      </w:tr>
      <w:tr w14:paraId="5393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276AD3C1">
            <w:pPr>
              <w:jc w:val="center"/>
              <w:rPr>
                <w:bCs/>
                <w:color w:val="auto"/>
                <w:sz w:val="20"/>
                <w:szCs w:val="20"/>
                <w:lang w:eastAsia="zh-CN"/>
              </w:rPr>
            </w:pPr>
            <w:r>
              <w:rPr>
                <w:bCs/>
                <w:color w:val="auto"/>
                <w:sz w:val="20"/>
                <w:szCs w:val="20"/>
                <w:lang w:eastAsia="zh-CN"/>
              </w:rPr>
              <w:t>5</w:t>
            </w:r>
          </w:p>
        </w:tc>
        <w:tc>
          <w:tcPr>
            <w:tcW w:w="622" w:type="pct"/>
            <w:tcBorders>
              <w:tl2br w:val="nil"/>
              <w:tr2bl w:val="nil"/>
            </w:tcBorders>
            <w:shd w:val="clear" w:color="auto" w:fill="FFFFFF"/>
            <w:vAlign w:val="center"/>
          </w:tcPr>
          <w:p w14:paraId="484A6D41">
            <w:pPr>
              <w:jc w:val="center"/>
              <w:rPr>
                <w:bCs/>
                <w:color w:val="auto"/>
                <w:sz w:val="20"/>
                <w:szCs w:val="20"/>
                <w:lang w:eastAsia="zh-CN"/>
              </w:rPr>
            </w:pPr>
            <w:r>
              <w:rPr>
                <w:bCs/>
                <w:color w:val="auto"/>
                <w:sz w:val="20"/>
                <w:szCs w:val="20"/>
                <w:lang w:eastAsia="zh-CN"/>
              </w:rPr>
              <w:t>阳光心理协会</w:t>
            </w:r>
          </w:p>
        </w:tc>
        <w:tc>
          <w:tcPr>
            <w:tcW w:w="3923" w:type="pct"/>
            <w:tcBorders>
              <w:tl2br w:val="nil"/>
              <w:tr2bl w:val="nil"/>
            </w:tcBorders>
            <w:shd w:val="clear" w:color="auto" w:fill="FFFFFF"/>
            <w:vAlign w:val="center"/>
          </w:tcPr>
          <w:p w14:paraId="6A4E294B">
            <w:pPr>
              <w:jc w:val="left"/>
              <w:rPr>
                <w:bCs/>
                <w:color w:val="auto"/>
                <w:sz w:val="20"/>
                <w:szCs w:val="20"/>
                <w:lang w:eastAsia="zh-CN"/>
              </w:rPr>
            </w:pPr>
            <w:r>
              <w:rPr>
                <w:bCs/>
                <w:color w:val="auto"/>
                <w:sz w:val="20"/>
                <w:szCs w:val="20"/>
                <w:lang w:eastAsia="zh-CN"/>
              </w:rPr>
              <w:t>心理社团位于心理健康发展中心，这里有宣泄室、沙盘治疗室、音乐放松室、个体咨询室、心理图书室。能够满足心理社团丰富多彩的团辅活动的开展。</w:t>
            </w:r>
          </w:p>
        </w:tc>
      </w:tr>
      <w:tr w14:paraId="10B5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4E444B75">
            <w:pPr>
              <w:jc w:val="center"/>
              <w:rPr>
                <w:bCs/>
                <w:color w:val="auto"/>
                <w:sz w:val="20"/>
                <w:szCs w:val="20"/>
                <w:lang w:eastAsia="zh-CN"/>
              </w:rPr>
            </w:pPr>
            <w:r>
              <w:rPr>
                <w:bCs/>
                <w:color w:val="auto"/>
                <w:sz w:val="20"/>
                <w:szCs w:val="20"/>
                <w:lang w:eastAsia="zh-CN"/>
              </w:rPr>
              <w:t>6</w:t>
            </w:r>
          </w:p>
        </w:tc>
        <w:tc>
          <w:tcPr>
            <w:tcW w:w="622" w:type="pct"/>
            <w:tcBorders>
              <w:tl2br w:val="nil"/>
              <w:tr2bl w:val="nil"/>
            </w:tcBorders>
            <w:shd w:val="clear" w:color="auto" w:fill="FFFFFF"/>
            <w:vAlign w:val="center"/>
          </w:tcPr>
          <w:p w14:paraId="2D0FAD8F">
            <w:pPr>
              <w:jc w:val="center"/>
              <w:rPr>
                <w:bCs/>
                <w:color w:val="auto"/>
                <w:sz w:val="20"/>
                <w:szCs w:val="20"/>
                <w:lang w:eastAsia="zh-CN"/>
              </w:rPr>
            </w:pPr>
            <w:r>
              <w:rPr>
                <w:bCs/>
                <w:color w:val="auto"/>
                <w:sz w:val="20"/>
                <w:szCs w:val="20"/>
                <w:lang w:eastAsia="zh-CN"/>
              </w:rPr>
              <w:t>武术社</w:t>
            </w:r>
          </w:p>
        </w:tc>
        <w:tc>
          <w:tcPr>
            <w:tcW w:w="3923" w:type="pct"/>
            <w:tcBorders>
              <w:tl2br w:val="nil"/>
              <w:tr2bl w:val="nil"/>
            </w:tcBorders>
            <w:shd w:val="clear" w:color="auto" w:fill="FFFFFF"/>
            <w:vAlign w:val="center"/>
          </w:tcPr>
          <w:p w14:paraId="4D82098F">
            <w:pPr>
              <w:jc w:val="left"/>
              <w:rPr>
                <w:bCs/>
                <w:color w:val="auto"/>
                <w:sz w:val="20"/>
                <w:szCs w:val="20"/>
                <w:lang w:eastAsia="zh-CN"/>
              </w:rPr>
            </w:pPr>
            <w:r>
              <w:rPr>
                <w:bCs/>
                <w:color w:val="auto"/>
                <w:sz w:val="20"/>
                <w:szCs w:val="20"/>
                <w:lang w:eastAsia="zh-CN"/>
              </w:rPr>
              <w:t>武术社团是学校新成立的体育活动社团。让学生通过武术的训练，具备坚强的个性、谦虚的品质、强健的体魄，提高学校学生的综合素质。同时为武术特长生提供一个展示自己的舞台。</w:t>
            </w:r>
          </w:p>
        </w:tc>
      </w:tr>
      <w:tr w14:paraId="165F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22A7335F">
            <w:pPr>
              <w:jc w:val="center"/>
              <w:rPr>
                <w:bCs/>
                <w:color w:val="auto"/>
                <w:sz w:val="20"/>
                <w:szCs w:val="20"/>
                <w:lang w:eastAsia="zh-CN"/>
              </w:rPr>
            </w:pPr>
            <w:r>
              <w:rPr>
                <w:bCs/>
                <w:color w:val="auto"/>
                <w:sz w:val="20"/>
                <w:szCs w:val="20"/>
                <w:lang w:eastAsia="zh-CN"/>
              </w:rPr>
              <w:t>7</w:t>
            </w:r>
          </w:p>
        </w:tc>
        <w:tc>
          <w:tcPr>
            <w:tcW w:w="622" w:type="pct"/>
            <w:tcBorders>
              <w:tl2br w:val="nil"/>
              <w:tr2bl w:val="nil"/>
            </w:tcBorders>
            <w:shd w:val="clear" w:color="auto" w:fill="FFFFFF"/>
            <w:vAlign w:val="center"/>
          </w:tcPr>
          <w:p w14:paraId="036A90B1">
            <w:pPr>
              <w:jc w:val="center"/>
              <w:rPr>
                <w:bCs/>
                <w:color w:val="auto"/>
                <w:sz w:val="20"/>
                <w:szCs w:val="20"/>
                <w:lang w:eastAsia="zh-CN"/>
              </w:rPr>
            </w:pPr>
            <w:r>
              <w:rPr>
                <w:bCs/>
                <w:color w:val="auto"/>
                <w:sz w:val="20"/>
                <w:szCs w:val="20"/>
                <w:lang w:eastAsia="zh-CN"/>
              </w:rPr>
              <w:t>啦啦操</w:t>
            </w:r>
          </w:p>
        </w:tc>
        <w:tc>
          <w:tcPr>
            <w:tcW w:w="3923" w:type="pct"/>
            <w:tcBorders>
              <w:tl2br w:val="nil"/>
              <w:tr2bl w:val="nil"/>
            </w:tcBorders>
            <w:shd w:val="clear" w:color="auto" w:fill="FFFFFF"/>
            <w:vAlign w:val="center"/>
          </w:tcPr>
          <w:p w14:paraId="2A3D8D3A">
            <w:pPr>
              <w:jc w:val="left"/>
              <w:rPr>
                <w:bCs/>
                <w:color w:val="auto"/>
                <w:sz w:val="20"/>
                <w:szCs w:val="20"/>
                <w:lang w:eastAsia="zh-CN"/>
              </w:rPr>
            </w:pPr>
            <w:r>
              <w:rPr>
                <w:bCs/>
                <w:color w:val="auto"/>
                <w:sz w:val="20"/>
                <w:szCs w:val="20"/>
                <w:lang w:eastAsia="zh-CN"/>
              </w:rPr>
              <w:t>今年集结了一群热爱啦啦操的阳光少年，新成立啦啦操队，是校园活力的代名词，队内涵盖花球、技巧等多个项目，由专业教练带队，坚持日常集训与舞台打磨。以</w:t>
            </w:r>
            <w:r>
              <w:rPr>
                <w:rFonts w:hint="eastAsia"/>
                <w:bCs/>
                <w:color w:val="auto"/>
                <w:sz w:val="20"/>
                <w:szCs w:val="20"/>
                <w:lang w:eastAsia="zh-CN"/>
              </w:rPr>
              <w:t>“</w:t>
            </w:r>
            <w:r>
              <w:rPr>
                <w:bCs/>
                <w:color w:val="auto"/>
                <w:sz w:val="20"/>
                <w:szCs w:val="20"/>
                <w:lang w:eastAsia="zh-CN"/>
              </w:rPr>
              <w:t>活力绽放，青春向上</w:t>
            </w:r>
            <w:r>
              <w:rPr>
                <w:rFonts w:hint="eastAsia"/>
                <w:bCs/>
                <w:color w:val="auto"/>
                <w:sz w:val="20"/>
                <w:szCs w:val="20"/>
                <w:lang w:eastAsia="zh-CN"/>
              </w:rPr>
              <w:t>”</w:t>
            </w:r>
            <w:r>
              <w:rPr>
                <w:bCs/>
                <w:color w:val="auto"/>
                <w:sz w:val="20"/>
                <w:szCs w:val="20"/>
                <w:lang w:eastAsia="zh-CN"/>
              </w:rPr>
              <w:t>为口号，活跃于校运会、文艺汇演等舞台，成为校园里一道耀眼的风景线！</w:t>
            </w:r>
          </w:p>
        </w:tc>
      </w:tr>
      <w:tr w14:paraId="582A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6DFDAC17">
            <w:pPr>
              <w:jc w:val="center"/>
              <w:rPr>
                <w:bCs/>
                <w:color w:val="auto"/>
                <w:sz w:val="20"/>
                <w:szCs w:val="20"/>
                <w:lang w:eastAsia="zh-CN"/>
              </w:rPr>
            </w:pPr>
            <w:r>
              <w:rPr>
                <w:bCs/>
                <w:color w:val="auto"/>
                <w:sz w:val="20"/>
                <w:szCs w:val="20"/>
                <w:lang w:eastAsia="zh-CN"/>
              </w:rPr>
              <w:t>8</w:t>
            </w:r>
          </w:p>
        </w:tc>
        <w:tc>
          <w:tcPr>
            <w:tcW w:w="622" w:type="pct"/>
            <w:tcBorders>
              <w:tl2br w:val="nil"/>
              <w:tr2bl w:val="nil"/>
            </w:tcBorders>
            <w:shd w:val="clear" w:color="auto" w:fill="FFFFFF"/>
            <w:vAlign w:val="center"/>
          </w:tcPr>
          <w:p w14:paraId="37BFCDD1">
            <w:pPr>
              <w:jc w:val="center"/>
              <w:rPr>
                <w:bCs/>
                <w:color w:val="auto"/>
                <w:sz w:val="20"/>
                <w:szCs w:val="20"/>
                <w:lang w:eastAsia="zh-CN"/>
              </w:rPr>
            </w:pPr>
            <w:r>
              <w:rPr>
                <w:bCs/>
                <w:color w:val="auto"/>
                <w:sz w:val="20"/>
                <w:szCs w:val="20"/>
                <w:lang w:eastAsia="zh-CN"/>
              </w:rPr>
              <w:t>国旗队</w:t>
            </w:r>
          </w:p>
        </w:tc>
        <w:tc>
          <w:tcPr>
            <w:tcW w:w="3923" w:type="pct"/>
            <w:tcBorders>
              <w:tl2br w:val="nil"/>
              <w:tr2bl w:val="nil"/>
            </w:tcBorders>
            <w:shd w:val="clear" w:color="auto" w:fill="FFFFFF"/>
            <w:vAlign w:val="center"/>
          </w:tcPr>
          <w:p w14:paraId="54478E49">
            <w:pPr>
              <w:jc w:val="left"/>
              <w:rPr>
                <w:bCs/>
                <w:color w:val="auto"/>
                <w:sz w:val="20"/>
                <w:szCs w:val="20"/>
                <w:lang w:eastAsia="zh-CN"/>
              </w:rPr>
            </w:pPr>
            <w:r>
              <w:rPr>
                <w:bCs/>
                <w:color w:val="auto"/>
                <w:sz w:val="20"/>
                <w:szCs w:val="20"/>
                <w:lang w:eastAsia="zh-CN"/>
              </w:rPr>
              <w:t>国旗队是一支在校团委直接领导下宣传爱国主义，弘扬奉献精神的志愿者队伍。其基本任务是：宣传爱国主义，每周一举行升国旗仪式，在校内外宣讲国旗知识，维护国旗尊严。</w:t>
            </w:r>
          </w:p>
        </w:tc>
      </w:tr>
      <w:tr w14:paraId="6A11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6E718790">
            <w:pPr>
              <w:jc w:val="center"/>
              <w:rPr>
                <w:bCs/>
                <w:color w:val="auto"/>
                <w:sz w:val="20"/>
                <w:szCs w:val="20"/>
                <w:lang w:eastAsia="zh-CN"/>
              </w:rPr>
            </w:pPr>
            <w:r>
              <w:rPr>
                <w:bCs/>
                <w:color w:val="auto"/>
                <w:sz w:val="20"/>
                <w:szCs w:val="20"/>
                <w:lang w:eastAsia="zh-CN"/>
              </w:rPr>
              <w:t>9</w:t>
            </w:r>
          </w:p>
        </w:tc>
        <w:tc>
          <w:tcPr>
            <w:tcW w:w="622" w:type="pct"/>
            <w:tcBorders>
              <w:tl2br w:val="nil"/>
              <w:tr2bl w:val="nil"/>
            </w:tcBorders>
            <w:shd w:val="clear" w:color="auto" w:fill="FFFFFF"/>
            <w:vAlign w:val="center"/>
          </w:tcPr>
          <w:p w14:paraId="146A969A">
            <w:pPr>
              <w:jc w:val="center"/>
              <w:rPr>
                <w:bCs/>
                <w:color w:val="auto"/>
                <w:sz w:val="20"/>
                <w:szCs w:val="20"/>
                <w:lang w:eastAsia="zh-CN"/>
              </w:rPr>
            </w:pPr>
            <w:r>
              <w:rPr>
                <w:bCs/>
                <w:color w:val="auto"/>
                <w:sz w:val="20"/>
                <w:szCs w:val="20"/>
                <w:lang w:eastAsia="zh-CN"/>
              </w:rPr>
              <w:t>礼仪队</w:t>
            </w:r>
          </w:p>
        </w:tc>
        <w:tc>
          <w:tcPr>
            <w:tcW w:w="3923" w:type="pct"/>
            <w:tcBorders>
              <w:tl2br w:val="nil"/>
              <w:tr2bl w:val="nil"/>
            </w:tcBorders>
            <w:shd w:val="clear" w:color="auto" w:fill="FFFFFF"/>
            <w:vAlign w:val="center"/>
          </w:tcPr>
          <w:p w14:paraId="58204C03">
            <w:pPr>
              <w:jc w:val="left"/>
              <w:rPr>
                <w:bCs/>
                <w:color w:val="auto"/>
                <w:sz w:val="20"/>
                <w:szCs w:val="20"/>
                <w:lang w:eastAsia="zh-CN"/>
              </w:rPr>
            </w:pPr>
            <w:r>
              <w:rPr>
                <w:bCs/>
                <w:color w:val="auto"/>
                <w:sz w:val="20"/>
                <w:szCs w:val="20"/>
                <w:lang w:eastAsia="zh-CN"/>
              </w:rPr>
              <w:t>礼仪队旨在让同学们学习和掌握礼仪的基本知识和规范，帮助同学们调整体态，提升气质，以及积累礼仪工作经验。承担着学校对内对外各种大小型活动（包括各种晚会、庆典活动、比赛和各类仪式等）的接待和颁奖工作。</w:t>
            </w:r>
          </w:p>
        </w:tc>
      </w:tr>
      <w:tr w14:paraId="24C6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2A34310D">
            <w:pPr>
              <w:jc w:val="center"/>
              <w:rPr>
                <w:bCs/>
                <w:color w:val="auto"/>
                <w:sz w:val="20"/>
                <w:szCs w:val="20"/>
                <w:lang w:eastAsia="zh-CN"/>
              </w:rPr>
            </w:pPr>
            <w:r>
              <w:rPr>
                <w:bCs/>
                <w:color w:val="auto"/>
                <w:sz w:val="20"/>
                <w:szCs w:val="20"/>
                <w:lang w:eastAsia="zh-CN"/>
              </w:rPr>
              <w:t>10</w:t>
            </w:r>
          </w:p>
        </w:tc>
        <w:tc>
          <w:tcPr>
            <w:tcW w:w="622" w:type="pct"/>
            <w:tcBorders>
              <w:tl2br w:val="nil"/>
              <w:tr2bl w:val="nil"/>
            </w:tcBorders>
            <w:shd w:val="clear" w:color="auto" w:fill="FFFFFF"/>
            <w:vAlign w:val="center"/>
          </w:tcPr>
          <w:p w14:paraId="2F4A888E">
            <w:pPr>
              <w:jc w:val="center"/>
              <w:rPr>
                <w:bCs/>
                <w:color w:val="auto"/>
                <w:sz w:val="20"/>
                <w:szCs w:val="20"/>
                <w:lang w:eastAsia="zh-CN"/>
              </w:rPr>
            </w:pPr>
            <w:r>
              <w:rPr>
                <w:bCs/>
                <w:color w:val="auto"/>
                <w:sz w:val="20"/>
                <w:szCs w:val="20"/>
                <w:lang w:eastAsia="zh-CN"/>
              </w:rPr>
              <w:t>读书社</w:t>
            </w:r>
          </w:p>
        </w:tc>
        <w:tc>
          <w:tcPr>
            <w:tcW w:w="3923" w:type="pct"/>
            <w:tcBorders>
              <w:tl2br w:val="nil"/>
              <w:tr2bl w:val="nil"/>
            </w:tcBorders>
            <w:shd w:val="clear" w:color="auto" w:fill="FFFFFF"/>
            <w:vAlign w:val="center"/>
          </w:tcPr>
          <w:p w14:paraId="59657857">
            <w:pPr>
              <w:jc w:val="left"/>
              <w:rPr>
                <w:bCs/>
                <w:color w:val="auto"/>
                <w:sz w:val="20"/>
                <w:szCs w:val="20"/>
                <w:lang w:eastAsia="zh-CN"/>
              </w:rPr>
            </w:pPr>
            <w:r>
              <w:rPr>
                <w:bCs/>
                <w:color w:val="auto"/>
                <w:sz w:val="20"/>
                <w:szCs w:val="20"/>
                <w:lang w:eastAsia="zh-CN"/>
              </w:rPr>
              <w:t>读书社以</w:t>
            </w:r>
            <w:r>
              <w:rPr>
                <w:rFonts w:hint="eastAsia"/>
                <w:bCs/>
                <w:color w:val="auto"/>
                <w:sz w:val="20"/>
                <w:szCs w:val="20"/>
                <w:lang w:eastAsia="zh-CN"/>
              </w:rPr>
              <w:t>“</w:t>
            </w:r>
            <w:r>
              <w:rPr>
                <w:bCs/>
                <w:color w:val="auto"/>
                <w:sz w:val="20"/>
                <w:szCs w:val="20"/>
                <w:lang w:eastAsia="zh-CN"/>
              </w:rPr>
              <w:t>以书会友，因书结缘</w:t>
            </w:r>
            <w:r>
              <w:rPr>
                <w:rFonts w:hint="eastAsia"/>
                <w:bCs/>
                <w:color w:val="auto"/>
                <w:sz w:val="20"/>
                <w:szCs w:val="20"/>
                <w:lang w:eastAsia="zh-CN"/>
              </w:rPr>
              <w:t>”</w:t>
            </w:r>
            <w:r>
              <w:rPr>
                <w:bCs/>
                <w:color w:val="auto"/>
                <w:sz w:val="20"/>
                <w:szCs w:val="20"/>
                <w:lang w:eastAsia="zh-CN"/>
              </w:rPr>
              <w:t>为宗旨，以</w:t>
            </w:r>
            <w:r>
              <w:rPr>
                <w:rFonts w:hint="eastAsia"/>
                <w:bCs/>
                <w:color w:val="auto"/>
                <w:sz w:val="20"/>
                <w:szCs w:val="20"/>
                <w:lang w:eastAsia="zh-CN"/>
              </w:rPr>
              <w:t>“</w:t>
            </w:r>
            <w:r>
              <w:rPr>
                <w:bCs/>
                <w:color w:val="auto"/>
                <w:sz w:val="20"/>
                <w:szCs w:val="20"/>
                <w:lang w:eastAsia="zh-CN"/>
              </w:rPr>
              <w:t>提升校园人文素质</w:t>
            </w:r>
            <w:r>
              <w:rPr>
                <w:rFonts w:hint="eastAsia"/>
                <w:bCs/>
                <w:color w:val="auto"/>
                <w:sz w:val="20"/>
                <w:szCs w:val="20"/>
                <w:lang w:eastAsia="zh-CN"/>
              </w:rPr>
              <w:t>”</w:t>
            </w:r>
            <w:r>
              <w:rPr>
                <w:bCs/>
                <w:color w:val="auto"/>
                <w:sz w:val="20"/>
                <w:szCs w:val="20"/>
                <w:lang w:eastAsia="zh-CN"/>
              </w:rPr>
              <w:t>为己任，激发同学们的读书兴趣，传播文化，传播思想，丰富大学生活，充实精神世界，提升学生的思想和能力，共建良好的读书氛围。</w:t>
            </w:r>
          </w:p>
        </w:tc>
      </w:tr>
      <w:tr w14:paraId="4B4A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6F9F9D62">
            <w:pPr>
              <w:jc w:val="center"/>
              <w:rPr>
                <w:bCs/>
                <w:color w:val="auto"/>
                <w:sz w:val="20"/>
                <w:szCs w:val="20"/>
                <w:lang w:eastAsia="zh-CN"/>
              </w:rPr>
            </w:pPr>
            <w:r>
              <w:rPr>
                <w:bCs/>
                <w:color w:val="auto"/>
                <w:sz w:val="20"/>
                <w:szCs w:val="20"/>
                <w:lang w:eastAsia="zh-CN"/>
              </w:rPr>
              <w:t>11</w:t>
            </w:r>
          </w:p>
        </w:tc>
        <w:tc>
          <w:tcPr>
            <w:tcW w:w="622" w:type="pct"/>
            <w:tcBorders>
              <w:tl2br w:val="nil"/>
              <w:tr2bl w:val="nil"/>
            </w:tcBorders>
            <w:shd w:val="clear" w:color="auto" w:fill="FFFFFF"/>
            <w:vAlign w:val="center"/>
          </w:tcPr>
          <w:p w14:paraId="5965A47F">
            <w:pPr>
              <w:jc w:val="center"/>
              <w:rPr>
                <w:bCs/>
                <w:color w:val="auto"/>
                <w:sz w:val="20"/>
                <w:szCs w:val="20"/>
                <w:lang w:eastAsia="zh-CN"/>
              </w:rPr>
            </w:pPr>
            <w:r>
              <w:rPr>
                <w:bCs/>
                <w:color w:val="auto"/>
                <w:sz w:val="20"/>
                <w:szCs w:val="20"/>
                <w:lang w:eastAsia="zh-CN"/>
              </w:rPr>
              <w:t>棒垒球队</w:t>
            </w:r>
          </w:p>
        </w:tc>
        <w:tc>
          <w:tcPr>
            <w:tcW w:w="3923" w:type="pct"/>
            <w:tcBorders>
              <w:tl2br w:val="nil"/>
              <w:tr2bl w:val="nil"/>
            </w:tcBorders>
            <w:shd w:val="clear" w:color="auto" w:fill="FFFFFF"/>
            <w:vAlign w:val="center"/>
          </w:tcPr>
          <w:p w14:paraId="2B648B8F">
            <w:pPr>
              <w:jc w:val="left"/>
              <w:rPr>
                <w:bCs/>
                <w:color w:val="auto"/>
                <w:sz w:val="20"/>
                <w:szCs w:val="20"/>
                <w:lang w:eastAsia="zh-CN"/>
              </w:rPr>
            </w:pPr>
            <w:r>
              <w:rPr>
                <w:bCs/>
                <w:color w:val="auto"/>
                <w:sz w:val="20"/>
                <w:szCs w:val="20"/>
                <w:lang w:eastAsia="zh-CN"/>
              </w:rPr>
              <w:t>棒垒球队集聚了一群热爱体育、勇敢有朝气的青年。在学校和教练的大力支持下。社团拥有完善、先进的器材装备和丰富的棒垒球教学资源。</w:t>
            </w:r>
          </w:p>
        </w:tc>
      </w:tr>
      <w:tr w14:paraId="6CF8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098BE0AD">
            <w:pPr>
              <w:jc w:val="center"/>
              <w:rPr>
                <w:bCs/>
                <w:color w:val="auto"/>
                <w:sz w:val="20"/>
                <w:szCs w:val="20"/>
                <w:lang w:eastAsia="zh-CN"/>
              </w:rPr>
            </w:pPr>
            <w:r>
              <w:rPr>
                <w:bCs/>
                <w:color w:val="auto"/>
                <w:sz w:val="20"/>
                <w:szCs w:val="20"/>
                <w:lang w:eastAsia="zh-CN"/>
              </w:rPr>
              <w:t>12</w:t>
            </w:r>
          </w:p>
        </w:tc>
        <w:tc>
          <w:tcPr>
            <w:tcW w:w="622" w:type="pct"/>
            <w:tcBorders>
              <w:tl2br w:val="nil"/>
              <w:tr2bl w:val="nil"/>
            </w:tcBorders>
            <w:shd w:val="clear" w:color="auto" w:fill="FFFFFF"/>
            <w:vAlign w:val="center"/>
          </w:tcPr>
          <w:p w14:paraId="563713E1">
            <w:pPr>
              <w:jc w:val="center"/>
              <w:rPr>
                <w:bCs/>
                <w:color w:val="auto"/>
                <w:sz w:val="20"/>
                <w:szCs w:val="20"/>
                <w:lang w:eastAsia="zh-CN"/>
              </w:rPr>
            </w:pPr>
            <w:r>
              <w:rPr>
                <w:bCs/>
                <w:color w:val="auto"/>
                <w:sz w:val="20"/>
                <w:szCs w:val="20"/>
                <w:lang w:eastAsia="zh-CN"/>
              </w:rPr>
              <w:t>篮球队</w:t>
            </w:r>
          </w:p>
        </w:tc>
        <w:tc>
          <w:tcPr>
            <w:tcW w:w="3923" w:type="pct"/>
            <w:tcBorders>
              <w:tl2br w:val="nil"/>
              <w:tr2bl w:val="nil"/>
            </w:tcBorders>
            <w:shd w:val="clear" w:color="auto" w:fill="FFFFFF"/>
            <w:vAlign w:val="center"/>
          </w:tcPr>
          <w:p w14:paraId="1A028013">
            <w:pPr>
              <w:jc w:val="left"/>
              <w:rPr>
                <w:bCs/>
                <w:color w:val="auto"/>
                <w:sz w:val="20"/>
                <w:szCs w:val="20"/>
                <w:lang w:eastAsia="zh-CN"/>
              </w:rPr>
            </w:pPr>
            <w:r>
              <w:rPr>
                <w:bCs/>
                <w:color w:val="auto"/>
                <w:sz w:val="20"/>
                <w:szCs w:val="20"/>
                <w:lang w:eastAsia="zh-CN"/>
              </w:rPr>
              <w:t>篮球社以推动校园篮球文化建设，提高学生课余活动时间，丰富学校校园文化为宗旨。团结全校篮球爱好者，利用业余时间，通过广泛地开展篮球活动丰富学生的业余文化生活，缓解同学们学习或者生活上的压力。</w:t>
            </w:r>
          </w:p>
        </w:tc>
      </w:tr>
      <w:tr w14:paraId="0102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02B7DA26">
            <w:pPr>
              <w:jc w:val="center"/>
              <w:rPr>
                <w:bCs/>
                <w:color w:val="auto"/>
                <w:sz w:val="20"/>
                <w:szCs w:val="20"/>
                <w:lang w:eastAsia="zh-CN"/>
              </w:rPr>
            </w:pPr>
            <w:r>
              <w:rPr>
                <w:bCs/>
                <w:color w:val="auto"/>
                <w:sz w:val="20"/>
                <w:szCs w:val="20"/>
                <w:lang w:eastAsia="zh-CN"/>
              </w:rPr>
              <w:t>13</w:t>
            </w:r>
          </w:p>
        </w:tc>
        <w:tc>
          <w:tcPr>
            <w:tcW w:w="622" w:type="pct"/>
            <w:tcBorders>
              <w:tl2br w:val="nil"/>
              <w:tr2bl w:val="nil"/>
            </w:tcBorders>
            <w:shd w:val="clear" w:color="auto" w:fill="FFFFFF"/>
            <w:vAlign w:val="center"/>
          </w:tcPr>
          <w:p w14:paraId="62388AD7">
            <w:pPr>
              <w:jc w:val="center"/>
              <w:rPr>
                <w:bCs/>
                <w:color w:val="auto"/>
                <w:sz w:val="20"/>
                <w:szCs w:val="20"/>
                <w:lang w:eastAsia="zh-CN"/>
              </w:rPr>
            </w:pPr>
            <w:r>
              <w:rPr>
                <w:bCs/>
                <w:color w:val="auto"/>
                <w:sz w:val="20"/>
                <w:szCs w:val="20"/>
                <w:lang w:eastAsia="zh-CN"/>
              </w:rPr>
              <w:t>足球队</w:t>
            </w:r>
          </w:p>
        </w:tc>
        <w:tc>
          <w:tcPr>
            <w:tcW w:w="3923" w:type="pct"/>
            <w:tcBorders>
              <w:tl2br w:val="nil"/>
              <w:tr2bl w:val="nil"/>
            </w:tcBorders>
            <w:shd w:val="clear" w:color="auto" w:fill="FFFFFF"/>
            <w:vAlign w:val="center"/>
          </w:tcPr>
          <w:p w14:paraId="2E334C4D">
            <w:pPr>
              <w:jc w:val="left"/>
              <w:rPr>
                <w:bCs/>
                <w:color w:val="auto"/>
                <w:sz w:val="20"/>
                <w:szCs w:val="20"/>
                <w:lang w:eastAsia="zh-CN"/>
              </w:rPr>
            </w:pPr>
            <w:r>
              <w:rPr>
                <w:bCs/>
                <w:color w:val="auto"/>
                <w:sz w:val="20"/>
                <w:szCs w:val="20"/>
                <w:lang w:eastAsia="zh-CN"/>
              </w:rPr>
              <w:t>足球社秉承</w:t>
            </w:r>
            <w:r>
              <w:rPr>
                <w:rFonts w:hint="eastAsia"/>
                <w:bCs/>
                <w:color w:val="auto"/>
                <w:sz w:val="20"/>
                <w:szCs w:val="20"/>
                <w:lang w:eastAsia="zh-CN"/>
              </w:rPr>
              <w:t>“</w:t>
            </w:r>
            <w:r>
              <w:rPr>
                <w:bCs/>
                <w:color w:val="auto"/>
                <w:sz w:val="20"/>
                <w:szCs w:val="20"/>
                <w:lang w:eastAsia="zh-CN"/>
              </w:rPr>
              <w:t>以球会友</w:t>
            </w:r>
            <w:r>
              <w:rPr>
                <w:rFonts w:hint="eastAsia"/>
                <w:bCs/>
                <w:color w:val="auto"/>
                <w:sz w:val="20"/>
                <w:szCs w:val="20"/>
                <w:lang w:eastAsia="zh-CN"/>
              </w:rPr>
              <w:t>”</w:t>
            </w:r>
            <w:r>
              <w:rPr>
                <w:bCs/>
                <w:color w:val="auto"/>
                <w:sz w:val="20"/>
                <w:szCs w:val="20"/>
                <w:lang w:eastAsia="zh-CN"/>
              </w:rPr>
              <w:t>的宗旨，团结学校足球爱好者，调动同学们对于足球的积极性，促进足球运动在学校的健康发展，为增加同学们的体质，丰富同学们的业余文化生活，提高足球水平和加强学校精神文明建设贡献力量。</w:t>
            </w:r>
          </w:p>
        </w:tc>
      </w:tr>
      <w:tr w14:paraId="5BD1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67C6E6A4">
            <w:pPr>
              <w:jc w:val="center"/>
              <w:rPr>
                <w:bCs/>
                <w:color w:val="auto"/>
                <w:sz w:val="20"/>
                <w:szCs w:val="20"/>
                <w:lang w:eastAsia="zh-CN"/>
              </w:rPr>
            </w:pPr>
            <w:r>
              <w:rPr>
                <w:bCs/>
                <w:color w:val="auto"/>
                <w:sz w:val="20"/>
                <w:szCs w:val="20"/>
                <w:lang w:eastAsia="zh-CN"/>
              </w:rPr>
              <w:t>14</w:t>
            </w:r>
          </w:p>
        </w:tc>
        <w:tc>
          <w:tcPr>
            <w:tcW w:w="622" w:type="pct"/>
            <w:tcBorders>
              <w:tl2br w:val="nil"/>
              <w:tr2bl w:val="nil"/>
            </w:tcBorders>
            <w:shd w:val="clear" w:color="auto" w:fill="FFFFFF"/>
            <w:vAlign w:val="center"/>
          </w:tcPr>
          <w:p w14:paraId="548B1DA9">
            <w:pPr>
              <w:jc w:val="center"/>
              <w:rPr>
                <w:bCs/>
                <w:color w:val="auto"/>
                <w:sz w:val="20"/>
                <w:szCs w:val="20"/>
                <w:lang w:eastAsia="zh-CN"/>
              </w:rPr>
            </w:pPr>
            <w:r>
              <w:rPr>
                <w:bCs/>
                <w:color w:val="auto"/>
                <w:sz w:val="20"/>
                <w:szCs w:val="20"/>
                <w:lang w:eastAsia="zh-CN"/>
              </w:rPr>
              <w:t>气排球队</w:t>
            </w:r>
          </w:p>
        </w:tc>
        <w:tc>
          <w:tcPr>
            <w:tcW w:w="3923" w:type="pct"/>
            <w:tcBorders>
              <w:tl2br w:val="nil"/>
              <w:tr2bl w:val="nil"/>
            </w:tcBorders>
            <w:shd w:val="clear" w:color="auto" w:fill="FFFFFF"/>
            <w:vAlign w:val="center"/>
          </w:tcPr>
          <w:p w14:paraId="77FDB9E7">
            <w:pPr>
              <w:jc w:val="left"/>
              <w:rPr>
                <w:bCs/>
                <w:color w:val="auto"/>
                <w:sz w:val="20"/>
                <w:szCs w:val="20"/>
                <w:lang w:eastAsia="zh-CN"/>
              </w:rPr>
            </w:pPr>
            <w:r>
              <w:rPr>
                <w:bCs/>
                <w:color w:val="auto"/>
                <w:sz w:val="20"/>
                <w:szCs w:val="20"/>
                <w:lang w:eastAsia="zh-CN"/>
              </w:rPr>
              <w:t>气排球社旨在提高学生的健康水平和团队协作能力，学生们可以在其中学习排球技术，参加校内外比赛，增强体育锻炼的习惯，锻炼体素质和协调能力，提高团队协作能力，培养竞争意识。</w:t>
            </w:r>
          </w:p>
        </w:tc>
      </w:tr>
      <w:tr w14:paraId="3CB8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19D132B4">
            <w:pPr>
              <w:jc w:val="center"/>
              <w:rPr>
                <w:bCs/>
                <w:color w:val="auto"/>
                <w:sz w:val="20"/>
                <w:szCs w:val="20"/>
                <w:lang w:eastAsia="zh-CN"/>
              </w:rPr>
            </w:pPr>
            <w:r>
              <w:rPr>
                <w:bCs/>
                <w:color w:val="auto"/>
                <w:sz w:val="20"/>
                <w:szCs w:val="20"/>
                <w:lang w:eastAsia="zh-CN"/>
              </w:rPr>
              <w:t>15</w:t>
            </w:r>
          </w:p>
        </w:tc>
        <w:tc>
          <w:tcPr>
            <w:tcW w:w="622" w:type="pct"/>
            <w:tcBorders>
              <w:tl2br w:val="nil"/>
              <w:tr2bl w:val="nil"/>
            </w:tcBorders>
            <w:shd w:val="clear" w:color="auto" w:fill="FFFFFF"/>
            <w:vAlign w:val="center"/>
          </w:tcPr>
          <w:p w14:paraId="0992E495">
            <w:pPr>
              <w:jc w:val="center"/>
              <w:rPr>
                <w:bCs/>
                <w:color w:val="auto"/>
                <w:sz w:val="20"/>
                <w:szCs w:val="20"/>
                <w:lang w:eastAsia="zh-CN"/>
              </w:rPr>
            </w:pPr>
            <w:r>
              <w:rPr>
                <w:bCs/>
                <w:color w:val="auto"/>
                <w:sz w:val="20"/>
                <w:szCs w:val="20"/>
                <w:lang w:eastAsia="zh-CN"/>
              </w:rPr>
              <w:t>跳绳队</w:t>
            </w:r>
          </w:p>
        </w:tc>
        <w:tc>
          <w:tcPr>
            <w:tcW w:w="3923" w:type="pct"/>
            <w:tcBorders>
              <w:tl2br w:val="nil"/>
              <w:tr2bl w:val="nil"/>
            </w:tcBorders>
            <w:shd w:val="clear" w:color="auto" w:fill="FFFFFF"/>
            <w:vAlign w:val="center"/>
          </w:tcPr>
          <w:p w14:paraId="6357DCA7">
            <w:pPr>
              <w:jc w:val="left"/>
              <w:rPr>
                <w:bCs/>
                <w:color w:val="auto"/>
                <w:sz w:val="20"/>
                <w:szCs w:val="20"/>
                <w:lang w:eastAsia="zh-CN"/>
              </w:rPr>
            </w:pPr>
            <w:r>
              <w:rPr>
                <w:bCs/>
                <w:color w:val="auto"/>
                <w:sz w:val="20"/>
                <w:szCs w:val="20"/>
                <w:lang w:eastAsia="zh-CN"/>
              </w:rPr>
              <w:t>跳绳队提升本校跳绳运动的水平，活跃和丰富校园文化，培养爱国热情和团结友爱精神，提升本校友会跳绳运动水平，加强与外界交流，培养优秀的跳绳运动员。以点带面带动全校学生积极参与到跳绳训练，全面提高学生的身体素质，成为学校体育运动的特色。</w:t>
            </w:r>
          </w:p>
        </w:tc>
      </w:tr>
      <w:tr w14:paraId="6EE9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1A70330C">
            <w:pPr>
              <w:jc w:val="center"/>
              <w:rPr>
                <w:bCs/>
                <w:color w:val="auto"/>
                <w:sz w:val="20"/>
                <w:szCs w:val="20"/>
                <w:lang w:eastAsia="zh-CN"/>
              </w:rPr>
            </w:pPr>
            <w:r>
              <w:rPr>
                <w:bCs/>
                <w:color w:val="auto"/>
                <w:sz w:val="20"/>
                <w:szCs w:val="20"/>
                <w:lang w:eastAsia="zh-CN"/>
              </w:rPr>
              <w:t>16</w:t>
            </w:r>
          </w:p>
        </w:tc>
        <w:tc>
          <w:tcPr>
            <w:tcW w:w="622" w:type="pct"/>
            <w:tcBorders>
              <w:tl2br w:val="nil"/>
              <w:tr2bl w:val="nil"/>
            </w:tcBorders>
            <w:shd w:val="clear" w:color="auto" w:fill="FFFFFF"/>
            <w:vAlign w:val="center"/>
          </w:tcPr>
          <w:p w14:paraId="5D630077">
            <w:pPr>
              <w:jc w:val="center"/>
              <w:rPr>
                <w:bCs/>
                <w:color w:val="auto"/>
                <w:sz w:val="20"/>
                <w:szCs w:val="20"/>
                <w:lang w:eastAsia="zh-CN"/>
              </w:rPr>
            </w:pPr>
            <w:r>
              <w:rPr>
                <w:bCs/>
                <w:color w:val="auto"/>
                <w:sz w:val="20"/>
                <w:szCs w:val="20"/>
                <w:lang w:eastAsia="zh-CN"/>
              </w:rPr>
              <w:t>辩论队</w:t>
            </w:r>
          </w:p>
        </w:tc>
        <w:tc>
          <w:tcPr>
            <w:tcW w:w="3923" w:type="pct"/>
            <w:tcBorders>
              <w:tl2br w:val="nil"/>
              <w:tr2bl w:val="nil"/>
            </w:tcBorders>
            <w:shd w:val="clear" w:color="auto" w:fill="FFFFFF"/>
            <w:vAlign w:val="center"/>
          </w:tcPr>
          <w:p w14:paraId="3A15BC68">
            <w:pPr>
              <w:jc w:val="left"/>
              <w:rPr>
                <w:bCs/>
                <w:color w:val="auto"/>
                <w:sz w:val="20"/>
                <w:szCs w:val="20"/>
                <w:lang w:eastAsia="zh-CN"/>
              </w:rPr>
            </w:pPr>
            <w:r>
              <w:rPr>
                <w:bCs/>
                <w:color w:val="auto"/>
                <w:sz w:val="20"/>
                <w:szCs w:val="20"/>
                <w:lang w:eastAsia="zh-CN"/>
              </w:rPr>
              <w:t>辩论队旨在让更多同学有完整、完善流畅的表达能力；也使更多同学一改过去胆小、怯场、不善表达的弱点;能在校内开展各种丰富多彩的口语交际活动，给同学们提供一个锻炼口才，提高能力，展示才华的平台。</w:t>
            </w:r>
          </w:p>
        </w:tc>
      </w:tr>
      <w:tr w14:paraId="659D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187EEC8C">
            <w:pPr>
              <w:jc w:val="center"/>
              <w:rPr>
                <w:bCs/>
                <w:color w:val="auto"/>
                <w:sz w:val="20"/>
                <w:szCs w:val="20"/>
                <w:lang w:eastAsia="zh-CN"/>
              </w:rPr>
            </w:pPr>
            <w:r>
              <w:rPr>
                <w:bCs/>
                <w:color w:val="auto"/>
                <w:sz w:val="20"/>
                <w:szCs w:val="20"/>
                <w:lang w:eastAsia="zh-CN"/>
              </w:rPr>
              <w:t>17</w:t>
            </w:r>
          </w:p>
        </w:tc>
        <w:tc>
          <w:tcPr>
            <w:tcW w:w="622" w:type="pct"/>
            <w:tcBorders>
              <w:tl2br w:val="nil"/>
              <w:tr2bl w:val="nil"/>
            </w:tcBorders>
            <w:shd w:val="clear" w:color="auto" w:fill="FFFFFF"/>
            <w:vAlign w:val="center"/>
          </w:tcPr>
          <w:p w14:paraId="58457B1E">
            <w:pPr>
              <w:jc w:val="center"/>
              <w:rPr>
                <w:bCs/>
                <w:color w:val="auto"/>
                <w:sz w:val="20"/>
                <w:szCs w:val="20"/>
                <w:lang w:eastAsia="zh-CN"/>
              </w:rPr>
            </w:pPr>
            <w:r>
              <w:rPr>
                <w:bCs/>
                <w:color w:val="auto"/>
                <w:sz w:val="20"/>
                <w:szCs w:val="20"/>
                <w:lang w:eastAsia="zh-CN"/>
              </w:rPr>
              <w:t>播音主持社</w:t>
            </w:r>
          </w:p>
        </w:tc>
        <w:tc>
          <w:tcPr>
            <w:tcW w:w="3923" w:type="pct"/>
            <w:tcBorders>
              <w:tl2br w:val="nil"/>
              <w:tr2bl w:val="nil"/>
            </w:tcBorders>
            <w:shd w:val="clear" w:color="auto" w:fill="FFFFFF"/>
            <w:vAlign w:val="center"/>
          </w:tcPr>
          <w:p w14:paraId="7C9119F1">
            <w:pPr>
              <w:jc w:val="left"/>
              <w:rPr>
                <w:bCs/>
                <w:color w:val="auto"/>
                <w:sz w:val="20"/>
                <w:szCs w:val="20"/>
                <w:lang w:eastAsia="zh-CN"/>
              </w:rPr>
            </w:pPr>
            <w:r>
              <w:rPr>
                <w:bCs/>
                <w:color w:val="auto"/>
                <w:sz w:val="20"/>
                <w:szCs w:val="20"/>
                <w:lang w:eastAsia="zh-CN"/>
              </w:rPr>
              <w:t>播音主持社是为丰富学生学习生活，提升学生综合素养，尤其提升其语言表达实力而建立。在展开活动的同时，为学校培育定向人才，使学校在一些场合，如国旗下的讲话、经典诵读、演讲主持等有人可用。</w:t>
            </w:r>
          </w:p>
        </w:tc>
      </w:tr>
      <w:tr w14:paraId="2D22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Borders>
              <w:tl2br w:val="nil"/>
              <w:tr2bl w:val="nil"/>
            </w:tcBorders>
            <w:shd w:val="clear" w:color="auto" w:fill="FFFFFF"/>
            <w:vAlign w:val="center"/>
          </w:tcPr>
          <w:p w14:paraId="5A43ACC6">
            <w:pPr>
              <w:jc w:val="center"/>
              <w:rPr>
                <w:bCs/>
                <w:color w:val="auto"/>
                <w:sz w:val="20"/>
                <w:szCs w:val="20"/>
                <w:lang w:eastAsia="zh-CN"/>
              </w:rPr>
            </w:pPr>
            <w:r>
              <w:rPr>
                <w:bCs/>
                <w:color w:val="auto"/>
                <w:sz w:val="20"/>
                <w:szCs w:val="20"/>
                <w:lang w:eastAsia="zh-CN"/>
              </w:rPr>
              <w:t>18</w:t>
            </w:r>
          </w:p>
        </w:tc>
        <w:tc>
          <w:tcPr>
            <w:tcW w:w="622" w:type="pct"/>
            <w:tcBorders>
              <w:tl2br w:val="nil"/>
              <w:tr2bl w:val="nil"/>
            </w:tcBorders>
            <w:shd w:val="clear" w:color="auto" w:fill="FFFFFF"/>
            <w:vAlign w:val="center"/>
          </w:tcPr>
          <w:p w14:paraId="71480B6F">
            <w:pPr>
              <w:jc w:val="center"/>
              <w:rPr>
                <w:bCs/>
                <w:color w:val="auto"/>
                <w:sz w:val="20"/>
                <w:szCs w:val="20"/>
                <w:lang w:eastAsia="zh-CN"/>
              </w:rPr>
            </w:pPr>
            <w:r>
              <w:rPr>
                <w:bCs/>
                <w:color w:val="auto"/>
                <w:sz w:val="20"/>
                <w:szCs w:val="20"/>
                <w:lang w:eastAsia="zh-CN"/>
              </w:rPr>
              <w:t>田径队</w:t>
            </w:r>
          </w:p>
        </w:tc>
        <w:tc>
          <w:tcPr>
            <w:tcW w:w="3923" w:type="pct"/>
            <w:tcBorders>
              <w:tl2br w:val="nil"/>
              <w:tr2bl w:val="nil"/>
            </w:tcBorders>
            <w:shd w:val="clear" w:color="auto" w:fill="FFFFFF"/>
            <w:vAlign w:val="center"/>
          </w:tcPr>
          <w:p w14:paraId="73EB838D">
            <w:pPr>
              <w:jc w:val="left"/>
              <w:rPr>
                <w:bCs/>
                <w:color w:val="auto"/>
                <w:sz w:val="20"/>
                <w:szCs w:val="20"/>
                <w:lang w:eastAsia="zh-CN"/>
              </w:rPr>
            </w:pPr>
            <w:r>
              <w:rPr>
                <w:bCs/>
                <w:color w:val="auto"/>
                <w:sz w:val="20"/>
                <w:szCs w:val="20"/>
                <w:lang w:eastAsia="zh-CN"/>
              </w:rPr>
              <w:t>集结了短跑、长跑、跳远、跳高、投掷等多个项目的运动健儿。队员们以汗水浇灌热爱，在专业教练指导下，坚持每日高强度训练，打磨技术、锤炼体能。秉持</w:t>
            </w:r>
            <w:r>
              <w:rPr>
                <w:rFonts w:hint="eastAsia"/>
                <w:bCs/>
                <w:color w:val="auto"/>
                <w:sz w:val="20"/>
                <w:szCs w:val="20"/>
                <w:lang w:eastAsia="zh-CN"/>
              </w:rPr>
              <w:t>“</w:t>
            </w:r>
            <w:r>
              <w:rPr>
                <w:bCs/>
                <w:color w:val="auto"/>
                <w:sz w:val="20"/>
                <w:szCs w:val="20"/>
                <w:lang w:eastAsia="zh-CN"/>
              </w:rPr>
              <w:t>超越自我，永不止步</w:t>
            </w:r>
            <w:r>
              <w:rPr>
                <w:rFonts w:hint="eastAsia"/>
                <w:bCs/>
                <w:color w:val="auto"/>
                <w:sz w:val="20"/>
                <w:szCs w:val="20"/>
                <w:lang w:eastAsia="zh-CN"/>
              </w:rPr>
              <w:t>”</w:t>
            </w:r>
            <w:r>
              <w:rPr>
                <w:bCs/>
                <w:color w:val="auto"/>
                <w:sz w:val="20"/>
                <w:szCs w:val="20"/>
                <w:lang w:eastAsia="zh-CN"/>
              </w:rPr>
              <w:t>的信念，征战校运会、市级田径赛事，屡次刷新纪录、摘得奖牌。</w:t>
            </w:r>
          </w:p>
        </w:tc>
      </w:tr>
    </w:tbl>
    <w:p w14:paraId="28CD768D">
      <w:pPr>
        <w:spacing w:line="240" w:lineRule="auto"/>
        <w:rPr>
          <w:lang w:eastAsia="zh-CN"/>
        </w:rPr>
      </w:pPr>
    </w:p>
    <w:p w14:paraId="6D49D3E4">
      <w:pPr>
        <w:spacing w:line="240" w:lineRule="auto"/>
        <w:jc w:val="center"/>
        <w:rPr>
          <w:lang w:eastAsia="zh-CN"/>
        </w:rPr>
      </w:pPr>
      <w:r>
        <w:rPr>
          <w:lang w:eastAsia="zh-CN"/>
        </w:rPr>
        <w:drawing>
          <wp:inline distT="0" distB="0" distL="114300" distR="114300">
            <wp:extent cx="3780155" cy="2460625"/>
            <wp:effectExtent l="0" t="0" r="8890" b="635"/>
            <wp:docPr id="18" name="图片 7" descr="0b464a3a05b5724c4b3389045d54e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0b464a3a05b5724c4b3389045d54eba8"/>
                    <pic:cNvPicPr>
                      <a:picLocks noChangeAspect="1"/>
                    </pic:cNvPicPr>
                  </pic:nvPicPr>
                  <pic:blipFill>
                    <a:blip r:embed="rId28"/>
                    <a:stretch>
                      <a:fillRect/>
                    </a:stretch>
                  </pic:blipFill>
                  <pic:spPr>
                    <a:xfrm>
                      <a:off x="0" y="0"/>
                      <a:ext cx="3780155" cy="2460625"/>
                    </a:xfrm>
                    <a:prstGeom prst="rect">
                      <a:avLst/>
                    </a:prstGeom>
                    <a:noFill/>
                    <a:ln>
                      <a:noFill/>
                    </a:ln>
                  </pic:spPr>
                </pic:pic>
              </a:graphicData>
            </a:graphic>
          </wp:inline>
        </w:drawing>
      </w:r>
    </w:p>
    <w:p w14:paraId="4452B568">
      <w:pPr>
        <w:pStyle w:val="7"/>
      </w:pPr>
      <w:r>
        <w:t>图</w:t>
      </w:r>
      <w:r>
        <w:fldChar w:fldCharType="begin"/>
      </w:r>
      <w:r>
        <w:instrText xml:space="preserve"> SEQ 图 \* ARABIC </w:instrText>
      </w:r>
      <w:r>
        <w:fldChar w:fldCharType="separate"/>
      </w:r>
      <w:r>
        <w:t>13</w:t>
      </w:r>
      <w:r>
        <w:fldChar w:fldCharType="end"/>
      </w:r>
      <w:bookmarkStart w:id="95" w:name="_Toc27535"/>
      <w:r>
        <w:rPr>
          <w:rFonts w:hint="eastAsia"/>
          <w:lang w:val="en-US" w:eastAsia="zh-CN"/>
        </w:rPr>
        <w:t xml:space="preserve">  </w:t>
      </w:r>
      <w:r>
        <w:rPr>
          <w:rFonts w:hint="eastAsia"/>
        </w:rPr>
        <w:t>重庆市九龙坡职业教育中心开展中小学职业启蒙教育</w:t>
      </w:r>
      <w:bookmarkEnd w:id="95"/>
    </w:p>
    <w:p w14:paraId="3406400E">
      <w:pPr>
        <w:pStyle w:val="3"/>
        <w:spacing w:before="327" w:after="327"/>
      </w:pPr>
      <w:bookmarkStart w:id="96" w:name="_Toc19785"/>
      <w:r>
        <w:rPr>
          <w:rFonts w:hint="eastAsia"/>
        </w:rPr>
        <w:t xml:space="preserve">2.9 </w:t>
      </w:r>
      <w:r>
        <w:rPr>
          <w:rFonts w:hint="eastAsia" w:ascii="方正黑体_GBK" w:hAnsi="方正黑体_GBK" w:eastAsia="方正黑体_GBK" w:cs="方正黑体_GBK"/>
        </w:rPr>
        <w:t>学生发展</w:t>
      </w:r>
      <w:bookmarkEnd w:id="96"/>
    </w:p>
    <w:p w14:paraId="6ED43ACA">
      <w:pPr>
        <w:pStyle w:val="4"/>
        <w:spacing w:before="163" w:after="163"/>
      </w:pPr>
      <w:bookmarkStart w:id="97" w:name="_Toc9420"/>
      <w:r>
        <w:rPr>
          <w:rFonts w:hint="eastAsia"/>
        </w:rPr>
        <w:t xml:space="preserve">2.9.1 </w:t>
      </w:r>
      <w:r>
        <w:rPr>
          <w:rFonts w:hint="eastAsia" w:ascii="方正黑体_GBK" w:hAnsi="方正黑体_GBK" w:eastAsia="方正黑体_GBK" w:cs="方正黑体_GBK"/>
        </w:rPr>
        <w:t>就业质量</w:t>
      </w:r>
      <w:bookmarkEnd w:id="97"/>
    </w:p>
    <w:p w14:paraId="5EE05230">
      <w:pPr>
        <w:ind w:firstLine="480" w:firstLineChars="200"/>
        <w:rPr>
          <w:lang w:eastAsia="zh-CN"/>
        </w:rPr>
      </w:pPr>
      <w:r>
        <w:rPr>
          <w:rFonts w:hint="eastAsia"/>
          <w:lang w:eastAsia="zh-CN"/>
        </w:rPr>
        <w:t>区内中职学校积极构建“精准指导+渠道拓展+全程服务”就业体系，助力每位学子实现职业成长，不断提升就业满意度。2025年，全区中职毕业生中直接就业人数506人，专业对口就业人数414人，主要服务第二产业和第三产业，毕业生月均收入3652元，毕业生就业满意度95.33%，用人单位满意度95.56%。</w:t>
      </w:r>
    </w:p>
    <w:p w14:paraId="5EBDF08D">
      <w:pPr>
        <w:pStyle w:val="7"/>
      </w:pPr>
      <w:r>
        <w:t>表</w:t>
      </w:r>
      <w:r>
        <w:fldChar w:fldCharType="begin"/>
      </w:r>
      <w:r>
        <w:instrText xml:space="preserve"> SEQ 表 \* ARABIC </w:instrText>
      </w:r>
      <w:r>
        <w:fldChar w:fldCharType="separate"/>
      </w:r>
      <w:r>
        <w:t>12</w:t>
      </w:r>
      <w:r>
        <w:fldChar w:fldCharType="end"/>
      </w:r>
      <w:bookmarkStart w:id="98" w:name="_Toc1148"/>
      <w:r>
        <w:rPr>
          <w:rFonts w:hint="eastAsia"/>
        </w:rPr>
        <w:t xml:space="preserve">  近三年中职学校毕业生就业质量情况一览表</w:t>
      </w:r>
      <w:bookmarkEnd w:id="98"/>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05"/>
        <w:gridCol w:w="1025"/>
        <w:gridCol w:w="1034"/>
        <w:gridCol w:w="1092"/>
        <w:gridCol w:w="1058"/>
        <w:gridCol w:w="1072"/>
        <w:gridCol w:w="904"/>
        <w:gridCol w:w="904"/>
      </w:tblGrid>
      <w:tr w14:paraId="0A1F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shd w:val="clear" w:color="auto" w:fill="DAE3F5"/>
            <w:vAlign w:val="center"/>
          </w:tcPr>
          <w:p w14:paraId="37C22764">
            <w:pPr>
              <w:jc w:val="center"/>
              <w:rPr>
                <w:bCs/>
                <w:color w:val="auto"/>
                <w:sz w:val="20"/>
                <w:szCs w:val="20"/>
                <w:lang w:eastAsia="zh-CN"/>
              </w:rPr>
            </w:pPr>
            <w:r>
              <w:rPr>
                <w:rFonts w:hint="eastAsia"/>
                <w:bCs/>
                <w:color w:val="auto"/>
                <w:sz w:val="20"/>
                <w:szCs w:val="20"/>
                <w:lang w:eastAsia="zh-CN"/>
              </w:rPr>
              <w:t>年度</w:t>
            </w:r>
          </w:p>
        </w:tc>
        <w:tc>
          <w:tcPr>
            <w:tcW w:w="519" w:type="pct"/>
            <w:shd w:val="clear" w:color="auto" w:fill="DAE3F5"/>
            <w:vAlign w:val="center"/>
          </w:tcPr>
          <w:p w14:paraId="2E6DFCD3">
            <w:pPr>
              <w:jc w:val="center"/>
              <w:rPr>
                <w:bCs/>
                <w:color w:val="auto"/>
                <w:sz w:val="20"/>
                <w:szCs w:val="20"/>
                <w:lang w:eastAsia="zh-CN"/>
              </w:rPr>
            </w:pPr>
            <w:r>
              <w:rPr>
                <w:rFonts w:hint="eastAsia"/>
                <w:bCs/>
                <w:color w:val="auto"/>
                <w:sz w:val="20"/>
                <w:szCs w:val="20"/>
                <w:lang w:eastAsia="zh-CN"/>
              </w:rPr>
              <w:t>直接就业人数</w:t>
            </w:r>
          </w:p>
        </w:tc>
        <w:tc>
          <w:tcPr>
            <w:tcW w:w="588" w:type="pct"/>
            <w:shd w:val="clear" w:color="auto" w:fill="DAE3F5"/>
            <w:vAlign w:val="center"/>
          </w:tcPr>
          <w:p w14:paraId="4C88E7CB">
            <w:pPr>
              <w:jc w:val="center"/>
              <w:rPr>
                <w:bCs/>
                <w:color w:val="auto"/>
                <w:sz w:val="20"/>
                <w:szCs w:val="20"/>
                <w:lang w:eastAsia="zh-CN"/>
              </w:rPr>
            </w:pPr>
            <w:r>
              <w:rPr>
                <w:rFonts w:hint="eastAsia"/>
                <w:bCs/>
                <w:color w:val="auto"/>
                <w:sz w:val="20"/>
                <w:szCs w:val="20"/>
                <w:lang w:eastAsia="zh-CN"/>
              </w:rPr>
              <w:t>专业对口就业人数</w:t>
            </w:r>
          </w:p>
        </w:tc>
        <w:tc>
          <w:tcPr>
            <w:tcW w:w="593" w:type="pct"/>
            <w:shd w:val="clear" w:color="auto" w:fill="DAE3F5"/>
            <w:vAlign w:val="center"/>
          </w:tcPr>
          <w:p w14:paraId="3B3138FA">
            <w:pPr>
              <w:jc w:val="center"/>
              <w:rPr>
                <w:bCs/>
                <w:color w:val="auto"/>
                <w:sz w:val="20"/>
                <w:szCs w:val="20"/>
                <w:lang w:eastAsia="zh-CN"/>
              </w:rPr>
            </w:pPr>
            <w:r>
              <w:rPr>
                <w:rFonts w:hint="eastAsia"/>
                <w:bCs/>
                <w:color w:val="auto"/>
                <w:sz w:val="20"/>
                <w:szCs w:val="20"/>
                <w:lang w:eastAsia="zh-CN"/>
              </w:rPr>
              <w:t>服务第一产业人数</w:t>
            </w:r>
          </w:p>
        </w:tc>
        <w:tc>
          <w:tcPr>
            <w:tcW w:w="626" w:type="pct"/>
            <w:shd w:val="clear" w:color="auto" w:fill="DAE3F5"/>
            <w:vAlign w:val="center"/>
          </w:tcPr>
          <w:p w14:paraId="6A63ADAD">
            <w:pPr>
              <w:jc w:val="center"/>
              <w:rPr>
                <w:bCs/>
                <w:color w:val="auto"/>
                <w:sz w:val="20"/>
                <w:szCs w:val="20"/>
                <w:lang w:eastAsia="zh-CN"/>
              </w:rPr>
            </w:pPr>
            <w:r>
              <w:rPr>
                <w:rFonts w:hint="eastAsia"/>
                <w:bCs/>
                <w:color w:val="auto"/>
                <w:sz w:val="20"/>
                <w:szCs w:val="20"/>
                <w:lang w:eastAsia="zh-CN"/>
              </w:rPr>
              <w:t>服务第二产业人数</w:t>
            </w:r>
          </w:p>
        </w:tc>
        <w:tc>
          <w:tcPr>
            <w:tcW w:w="607" w:type="pct"/>
            <w:shd w:val="clear" w:color="auto" w:fill="DAE3F5"/>
            <w:vAlign w:val="center"/>
          </w:tcPr>
          <w:p w14:paraId="0D0AC468">
            <w:pPr>
              <w:jc w:val="center"/>
              <w:rPr>
                <w:bCs/>
                <w:color w:val="auto"/>
                <w:sz w:val="20"/>
                <w:szCs w:val="20"/>
                <w:lang w:eastAsia="zh-CN"/>
              </w:rPr>
            </w:pPr>
            <w:r>
              <w:rPr>
                <w:rFonts w:hint="eastAsia"/>
                <w:bCs/>
                <w:color w:val="auto"/>
                <w:sz w:val="20"/>
                <w:szCs w:val="20"/>
                <w:lang w:eastAsia="zh-CN"/>
              </w:rPr>
              <w:t>服务第三产业人数</w:t>
            </w:r>
          </w:p>
        </w:tc>
        <w:tc>
          <w:tcPr>
            <w:tcW w:w="615" w:type="pct"/>
            <w:shd w:val="clear" w:color="auto" w:fill="DAE3F5"/>
            <w:vAlign w:val="center"/>
          </w:tcPr>
          <w:p w14:paraId="711D753D">
            <w:pPr>
              <w:jc w:val="center"/>
              <w:rPr>
                <w:bCs/>
                <w:color w:val="auto"/>
                <w:sz w:val="20"/>
                <w:szCs w:val="20"/>
                <w:lang w:eastAsia="zh-CN"/>
              </w:rPr>
            </w:pPr>
            <w:r>
              <w:rPr>
                <w:rFonts w:hint="eastAsia"/>
                <w:bCs/>
                <w:color w:val="auto"/>
                <w:sz w:val="20"/>
                <w:szCs w:val="20"/>
                <w:lang w:eastAsia="zh-CN"/>
              </w:rPr>
              <w:t>毕业生月均收入</w:t>
            </w:r>
          </w:p>
        </w:tc>
        <w:tc>
          <w:tcPr>
            <w:tcW w:w="518" w:type="pct"/>
            <w:shd w:val="clear" w:color="auto" w:fill="DAE3F5"/>
            <w:vAlign w:val="center"/>
          </w:tcPr>
          <w:p w14:paraId="12278C7D">
            <w:pPr>
              <w:jc w:val="center"/>
              <w:rPr>
                <w:bCs/>
                <w:color w:val="auto"/>
                <w:sz w:val="20"/>
                <w:szCs w:val="20"/>
                <w:lang w:eastAsia="zh-CN"/>
              </w:rPr>
            </w:pPr>
            <w:r>
              <w:rPr>
                <w:rFonts w:hint="eastAsia"/>
                <w:bCs/>
                <w:color w:val="auto"/>
                <w:sz w:val="20"/>
                <w:szCs w:val="20"/>
                <w:lang w:eastAsia="zh-CN"/>
              </w:rPr>
              <w:t>毕业生就业满意度</w:t>
            </w:r>
          </w:p>
        </w:tc>
        <w:tc>
          <w:tcPr>
            <w:tcW w:w="518" w:type="pct"/>
            <w:shd w:val="clear" w:color="auto" w:fill="DAE3F5"/>
            <w:vAlign w:val="center"/>
          </w:tcPr>
          <w:p w14:paraId="12455D79">
            <w:pPr>
              <w:jc w:val="center"/>
              <w:rPr>
                <w:bCs/>
                <w:color w:val="auto"/>
                <w:sz w:val="20"/>
                <w:szCs w:val="20"/>
                <w:lang w:eastAsia="zh-CN"/>
              </w:rPr>
            </w:pPr>
            <w:r>
              <w:rPr>
                <w:rFonts w:hint="eastAsia"/>
                <w:bCs/>
                <w:color w:val="auto"/>
                <w:sz w:val="20"/>
                <w:szCs w:val="20"/>
                <w:lang w:eastAsia="zh-CN"/>
              </w:rPr>
              <w:t>用人单位满意度</w:t>
            </w:r>
          </w:p>
        </w:tc>
      </w:tr>
      <w:tr w14:paraId="7EA6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13" w:type="pct"/>
            <w:shd w:val="clear" w:color="auto" w:fill="FFFFFF"/>
            <w:vAlign w:val="center"/>
          </w:tcPr>
          <w:p w14:paraId="791984FC">
            <w:pPr>
              <w:jc w:val="center"/>
              <w:rPr>
                <w:bCs/>
                <w:color w:val="auto"/>
                <w:sz w:val="20"/>
                <w:szCs w:val="20"/>
                <w:lang w:eastAsia="zh-CN"/>
              </w:rPr>
            </w:pPr>
            <w:r>
              <w:rPr>
                <w:rFonts w:hint="eastAsia"/>
                <w:bCs/>
                <w:color w:val="auto"/>
                <w:sz w:val="20"/>
                <w:szCs w:val="20"/>
                <w:lang w:eastAsia="zh-CN"/>
              </w:rPr>
              <w:t>2023</w:t>
            </w:r>
          </w:p>
        </w:tc>
        <w:tc>
          <w:tcPr>
            <w:tcW w:w="519" w:type="pct"/>
            <w:shd w:val="clear" w:color="auto" w:fill="FFFFFF"/>
            <w:vAlign w:val="center"/>
          </w:tcPr>
          <w:p w14:paraId="630FBC51">
            <w:pPr>
              <w:jc w:val="center"/>
              <w:rPr>
                <w:bCs/>
                <w:color w:val="auto"/>
                <w:sz w:val="20"/>
                <w:szCs w:val="20"/>
                <w:lang w:eastAsia="zh-CN"/>
              </w:rPr>
            </w:pPr>
            <w:r>
              <w:rPr>
                <w:rFonts w:hint="eastAsia"/>
                <w:bCs/>
                <w:color w:val="auto"/>
                <w:sz w:val="20"/>
                <w:szCs w:val="20"/>
                <w:lang w:eastAsia="zh-CN"/>
              </w:rPr>
              <w:t>628</w:t>
            </w:r>
          </w:p>
        </w:tc>
        <w:tc>
          <w:tcPr>
            <w:tcW w:w="588" w:type="pct"/>
            <w:shd w:val="clear" w:color="auto" w:fill="FFFFFF"/>
            <w:vAlign w:val="center"/>
          </w:tcPr>
          <w:p w14:paraId="6DB86A88">
            <w:pPr>
              <w:jc w:val="center"/>
              <w:rPr>
                <w:bCs/>
                <w:color w:val="auto"/>
                <w:sz w:val="20"/>
                <w:szCs w:val="20"/>
                <w:lang w:eastAsia="zh-CN"/>
              </w:rPr>
            </w:pPr>
            <w:r>
              <w:rPr>
                <w:rFonts w:hint="eastAsia"/>
                <w:bCs/>
                <w:color w:val="auto"/>
                <w:sz w:val="20"/>
                <w:szCs w:val="20"/>
                <w:lang w:eastAsia="zh-CN"/>
              </w:rPr>
              <w:t>512</w:t>
            </w:r>
          </w:p>
        </w:tc>
        <w:tc>
          <w:tcPr>
            <w:tcW w:w="593" w:type="pct"/>
            <w:shd w:val="clear" w:color="auto" w:fill="FFFFFF"/>
            <w:vAlign w:val="center"/>
          </w:tcPr>
          <w:p w14:paraId="56DBCDF4">
            <w:pPr>
              <w:jc w:val="center"/>
              <w:rPr>
                <w:bCs/>
                <w:color w:val="auto"/>
                <w:sz w:val="20"/>
                <w:szCs w:val="20"/>
                <w:lang w:eastAsia="zh-CN"/>
              </w:rPr>
            </w:pPr>
            <w:r>
              <w:rPr>
                <w:rFonts w:hint="eastAsia"/>
                <w:bCs/>
                <w:color w:val="auto"/>
                <w:sz w:val="20"/>
                <w:szCs w:val="20"/>
                <w:lang w:eastAsia="zh-CN"/>
              </w:rPr>
              <w:t>0</w:t>
            </w:r>
          </w:p>
        </w:tc>
        <w:tc>
          <w:tcPr>
            <w:tcW w:w="626" w:type="pct"/>
            <w:shd w:val="clear" w:color="auto" w:fill="FFFFFF"/>
            <w:vAlign w:val="center"/>
          </w:tcPr>
          <w:p w14:paraId="4978EEDE">
            <w:pPr>
              <w:jc w:val="center"/>
              <w:rPr>
                <w:bCs/>
                <w:color w:val="auto"/>
                <w:sz w:val="20"/>
                <w:szCs w:val="20"/>
                <w:lang w:eastAsia="zh-CN"/>
              </w:rPr>
            </w:pPr>
            <w:r>
              <w:rPr>
                <w:rFonts w:hint="eastAsia"/>
                <w:bCs/>
                <w:color w:val="auto"/>
                <w:sz w:val="20"/>
                <w:szCs w:val="20"/>
                <w:lang w:eastAsia="zh-CN"/>
              </w:rPr>
              <w:t>399</w:t>
            </w:r>
          </w:p>
        </w:tc>
        <w:tc>
          <w:tcPr>
            <w:tcW w:w="607" w:type="pct"/>
            <w:shd w:val="clear" w:color="auto" w:fill="FFFFFF"/>
            <w:vAlign w:val="center"/>
          </w:tcPr>
          <w:p w14:paraId="3F70A3B3">
            <w:pPr>
              <w:jc w:val="center"/>
              <w:rPr>
                <w:bCs/>
                <w:color w:val="auto"/>
                <w:sz w:val="20"/>
                <w:szCs w:val="20"/>
                <w:lang w:eastAsia="zh-CN"/>
              </w:rPr>
            </w:pPr>
            <w:r>
              <w:rPr>
                <w:rFonts w:hint="eastAsia"/>
                <w:bCs/>
                <w:color w:val="auto"/>
                <w:sz w:val="20"/>
                <w:szCs w:val="20"/>
                <w:lang w:eastAsia="zh-CN"/>
              </w:rPr>
              <w:t>229</w:t>
            </w:r>
          </w:p>
        </w:tc>
        <w:tc>
          <w:tcPr>
            <w:tcW w:w="615" w:type="pct"/>
            <w:shd w:val="clear" w:color="auto" w:fill="FFFFFF"/>
            <w:vAlign w:val="center"/>
          </w:tcPr>
          <w:p w14:paraId="5F44D6D4">
            <w:pPr>
              <w:jc w:val="center"/>
              <w:rPr>
                <w:bCs/>
                <w:color w:val="auto"/>
                <w:sz w:val="20"/>
                <w:szCs w:val="20"/>
                <w:lang w:eastAsia="zh-CN"/>
              </w:rPr>
            </w:pPr>
            <w:r>
              <w:rPr>
                <w:rFonts w:hint="eastAsia"/>
                <w:bCs/>
                <w:color w:val="auto"/>
                <w:sz w:val="20"/>
                <w:szCs w:val="20"/>
                <w:lang w:eastAsia="zh-CN"/>
              </w:rPr>
              <w:t>3307</w:t>
            </w:r>
          </w:p>
        </w:tc>
        <w:tc>
          <w:tcPr>
            <w:tcW w:w="518" w:type="pct"/>
            <w:shd w:val="clear" w:color="auto" w:fill="FFFFFF"/>
            <w:vAlign w:val="center"/>
          </w:tcPr>
          <w:p w14:paraId="6EF263D2">
            <w:pPr>
              <w:jc w:val="center"/>
              <w:rPr>
                <w:bCs/>
                <w:color w:val="auto"/>
                <w:sz w:val="20"/>
                <w:szCs w:val="20"/>
                <w:lang w:eastAsia="zh-CN"/>
              </w:rPr>
            </w:pPr>
            <w:r>
              <w:rPr>
                <w:rFonts w:hint="eastAsia"/>
                <w:bCs/>
                <w:color w:val="auto"/>
                <w:sz w:val="20"/>
                <w:szCs w:val="20"/>
                <w:lang w:eastAsia="zh-CN"/>
              </w:rPr>
              <w:t>95.47%</w:t>
            </w:r>
          </w:p>
        </w:tc>
        <w:tc>
          <w:tcPr>
            <w:tcW w:w="518" w:type="pct"/>
            <w:shd w:val="clear" w:color="auto" w:fill="FFFFFF"/>
            <w:vAlign w:val="center"/>
          </w:tcPr>
          <w:p w14:paraId="63EC6334">
            <w:pPr>
              <w:jc w:val="center"/>
              <w:rPr>
                <w:bCs/>
                <w:color w:val="auto"/>
                <w:sz w:val="20"/>
                <w:szCs w:val="20"/>
                <w:lang w:eastAsia="zh-CN"/>
              </w:rPr>
            </w:pPr>
            <w:r>
              <w:rPr>
                <w:rFonts w:hint="eastAsia"/>
                <w:bCs/>
                <w:color w:val="auto"/>
                <w:sz w:val="20"/>
                <w:szCs w:val="20"/>
                <w:lang w:eastAsia="zh-CN"/>
              </w:rPr>
              <w:t>94.62%</w:t>
            </w:r>
          </w:p>
        </w:tc>
      </w:tr>
      <w:tr w14:paraId="498D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shd w:val="clear" w:color="auto" w:fill="FFFFFF"/>
            <w:vAlign w:val="center"/>
          </w:tcPr>
          <w:p w14:paraId="58B1269B">
            <w:pPr>
              <w:jc w:val="center"/>
              <w:rPr>
                <w:bCs/>
                <w:color w:val="auto"/>
                <w:sz w:val="20"/>
                <w:szCs w:val="20"/>
                <w:lang w:eastAsia="zh-CN"/>
              </w:rPr>
            </w:pPr>
            <w:r>
              <w:rPr>
                <w:rFonts w:hint="eastAsia"/>
                <w:bCs/>
                <w:color w:val="auto"/>
                <w:sz w:val="20"/>
                <w:szCs w:val="20"/>
                <w:lang w:eastAsia="zh-CN"/>
              </w:rPr>
              <w:t>2024</w:t>
            </w:r>
          </w:p>
        </w:tc>
        <w:tc>
          <w:tcPr>
            <w:tcW w:w="519" w:type="pct"/>
            <w:shd w:val="clear" w:color="auto" w:fill="FFFFFF"/>
            <w:vAlign w:val="center"/>
          </w:tcPr>
          <w:p w14:paraId="1F22E1DA">
            <w:pPr>
              <w:jc w:val="center"/>
              <w:rPr>
                <w:bCs/>
                <w:color w:val="auto"/>
                <w:sz w:val="20"/>
                <w:szCs w:val="20"/>
                <w:lang w:eastAsia="zh-CN"/>
              </w:rPr>
            </w:pPr>
            <w:r>
              <w:rPr>
                <w:rFonts w:hint="eastAsia"/>
                <w:bCs/>
                <w:color w:val="auto"/>
                <w:sz w:val="20"/>
                <w:szCs w:val="20"/>
                <w:lang w:eastAsia="zh-CN"/>
              </w:rPr>
              <w:t>704</w:t>
            </w:r>
          </w:p>
        </w:tc>
        <w:tc>
          <w:tcPr>
            <w:tcW w:w="588" w:type="pct"/>
            <w:shd w:val="clear" w:color="auto" w:fill="FFFFFF"/>
            <w:vAlign w:val="center"/>
          </w:tcPr>
          <w:p w14:paraId="183F1DFF">
            <w:pPr>
              <w:jc w:val="center"/>
              <w:rPr>
                <w:bCs/>
                <w:color w:val="auto"/>
                <w:sz w:val="20"/>
                <w:szCs w:val="20"/>
                <w:lang w:eastAsia="zh-CN"/>
              </w:rPr>
            </w:pPr>
            <w:r>
              <w:rPr>
                <w:rFonts w:hint="eastAsia"/>
                <w:bCs/>
                <w:color w:val="auto"/>
                <w:sz w:val="20"/>
                <w:szCs w:val="20"/>
                <w:lang w:eastAsia="zh-CN"/>
              </w:rPr>
              <w:t>569</w:t>
            </w:r>
          </w:p>
        </w:tc>
        <w:tc>
          <w:tcPr>
            <w:tcW w:w="593" w:type="pct"/>
            <w:shd w:val="clear" w:color="auto" w:fill="FFFFFF"/>
            <w:vAlign w:val="center"/>
          </w:tcPr>
          <w:p w14:paraId="486E8326">
            <w:pPr>
              <w:jc w:val="center"/>
              <w:rPr>
                <w:bCs/>
                <w:color w:val="auto"/>
                <w:sz w:val="20"/>
                <w:szCs w:val="20"/>
                <w:lang w:eastAsia="zh-CN"/>
              </w:rPr>
            </w:pPr>
            <w:r>
              <w:rPr>
                <w:rFonts w:hint="eastAsia"/>
                <w:bCs/>
                <w:color w:val="auto"/>
                <w:sz w:val="20"/>
                <w:szCs w:val="20"/>
                <w:lang w:eastAsia="zh-CN"/>
              </w:rPr>
              <w:t>0</w:t>
            </w:r>
          </w:p>
        </w:tc>
        <w:tc>
          <w:tcPr>
            <w:tcW w:w="626" w:type="pct"/>
            <w:shd w:val="clear" w:color="auto" w:fill="FFFFFF"/>
            <w:vAlign w:val="center"/>
          </w:tcPr>
          <w:p w14:paraId="52AA1588">
            <w:pPr>
              <w:jc w:val="center"/>
              <w:rPr>
                <w:bCs/>
                <w:color w:val="auto"/>
                <w:sz w:val="20"/>
                <w:szCs w:val="20"/>
                <w:lang w:eastAsia="zh-CN"/>
              </w:rPr>
            </w:pPr>
            <w:r>
              <w:rPr>
                <w:rFonts w:hint="eastAsia"/>
                <w:bCs/>
                <w:color w:val="auto"/>
                <w:sz w:val="20"/>
                <w:szCs w:val="20"/>
                <w:lang w:eastAsia="zh-CN"/>
              </w:rPr>
              <w:t>465</w:t>
            </w:r>
          </w:p>
        </w:tc>
        <w:tc>
          <w:tcPr>
            <w:tcW w:w="607" w:type="pct"/>
            <w:shd w:val="clear" w:color="auto" w:fill="FFFFFF"/>
            <w:vAlign w:val="center"/>
          </w:tcPr>
          <w:p w14:paraId="6208DC3E">
            <w:pPr>
              <w:jc w:val="center"/>
              <w:rPr>
                <w:bCs/>
                <w:color w:val="auto"/>
                <w:sz w:val="20"/>
                <w:szCs w:val="20"/>
                <w:lang w:eastAsia="zh-CN"/>
              </w:rPr>
            </w:pPr>
            <w:r>
              <w:rPr>
                <w:rFonts w:hint="eastAsia"/>
                <w:bCs/>
                <w:color w:val="auto"/>
                <w:sz w:val="20"/>
                <w:szCs w:val="20"/>
                <w:lang w:eastAsia="zh-CN"/>
              </w:rPr>
              <w:t>239</w:t>
            </w:r>
          </w:p>
        </w:tc>
        <w:tc>
          <w:tcPr>
            <w:tcW w:w="615" w:type="pct"/>
            <w:shd w:val="clear" w:color="auto" w:fill="FFFFFF"/>
            <w:vAlign w:val="center"/>
          </w:tcPr>
          <w:p w14:paraId="08F62E90">
            <w:pPr>
              <w:jc w:val="center"/>
              <w:rPr>
                <w:bCs/>
                <w:color w:val="auto"/>
                <w:sz w:val="20"/>
                <w:szCs w:val="20"/>
                <w:lang w:eastAsia="zh-CN"/>
              </w:rPr>
            </w:pPr>
            <w:r>
              <w:rPr>
                <w:rFonts w:hint="eastAsia"/>
                <w:bCs/>
                <w:color w:val="auto"/>
                <w:sz w:val="20"/>
                <w:szCs w:val="20"/>
                <w:lang w:eastAsia="zh-CN"/>
              </w:rPr>
              <w:t>3550</w:t>
            </w:r>
          </w:p>
        </w:tc>
        <w:tc>
          <w:tcPr>
            <w:tcW w:w="518" w:type="pct"/>
            <w:shd w:val="clear" w:color="auto" w:fill="FFFFFF"/>
            <w:vAlign w:val="center"/>
          </w:tcPr>
          <w:p w14:paraId="6764FD56">
            <w:pPr>
              <w:jc w:val="center"/>
              <w:rPr>
                <w:bCs/>
                <w:color w:val="auto"/>
                <w:sz w:val="20"/>
                <w:szCs w:val="20"/>
                <w:lang w:eastAsia="zh-CN"/>
              </w:rPr>
            </w:pPr>
            <w:r>
              <w:rPr>
                <w:rFonts w:hint="eastAsia"/>
                <w:bCs/>
                <w:color w:val="auto"/>
                <w:sz w:val="20"/>
                <w:szCs w:val="20"/>
                <w:lang w:eastAsia="zh-CN"/>
              </w:rPr>
              <w:t>95.26%</w:t>
            </w:r>
          </w:p>
        </w:tc>
        <w:tc>
          <w:tcPr>
            <w:tcW w:w="518" w:type="pct"/>
            <w:shd w:val="clear" w:color="auto" w:fill="FFFFFF"/>
            <w:vAlign w:val="center"/>
          </w:tcPr>
          <w:p w14:paraId="2857C0D5">
            <w:pPr>
              <w:jc w:val="center"/>
              <w:rPr>
                <w:bCs/>
                <w:color w:val="auto"/>
                <w:sz w:val="20"/>
                <w:szCs w:val="20"/>
                <w:lang w:eastAsia="zh-CN"/>
              </w:rPr>
            </w:pPr>
            <w:r>
              <w:rPr>
                <w:rFonts w:hint="eastAsia"/>
                <w:bCs/>
                <w:color w:val="auto"/>
                <w:sz w:val="20"/>
                <w:szCs w:val="20"/>
                <w:lang w:eastAsia="zh-CN"/>
              </w:rPr>
              <w:t>95.34%</w:t>
            </w:r>
          </w:p>
        </w:tc>
      </w:tr>
      <w:tr w14:paraId="37FA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shd w:val="clear" w:color="auto" w:fill="FFFFFF"/>
            <w:vAlign w:val="center"/>
          </w:tcPr>
          <w:p w14:paraId="53201F54">
            <w:pPr>
              <w:jc w:val="center"/>
              <w:rPr>
                <w:bCs/>
                <w:color w:val="auto"/>
                <w:sz w:val="20"/>
                <w:szCs w:val="20"/>
                <w:lang w:eastAsia="zh-CN"/>
              </w:rPr>
            </w:pPr>
            <w:r>
              <w:rPr>
                <w:rFonts w:hint="eastAsia"/>
                <w:bCs/>
                <w:color w:val="auto"/>
                <w:sz w:val="20"/>
                <w:szCs w:val="20"/>
                <w:lang w:eastAsia="zh-CN"/>
              </w:rPr>
              <w:t>2025</w:t>
            </w:r>
          </w:p>
        </w:tc>
        <w:tc>
          <w:tcPr>
            <w:tcW w:w="519" w:type="pct"/>
            <w:shd w:val="clear" w:color="auto" w:fill="FFFFFF"/>
            <w:vAlign w:val="center"/>
          </w:tcPr>
          <w:p w14:paraId="125EBA67">
            <w:pPr>
              <w:jc w:val="center"/>
              <w:rPr>
                <w:bCs/>
                <w:color w:val="auto"/>
                <w:sz w:val="20"/>
                <w:szCs w:val="20"/>
                <w:lang w:eastAsia="zh-CN"/>
              </w:rPr>
            </w:pPr>
            <w:r>
              <w:rPr>
                <w:rFonts w:hint="eastAsia"/>
                <w:bCs/>
                <w:color w:val="auto"/>
                <w:sz w:val="20"/>
                <w:szCs w:val="20"/>
                <w:lang w:eastAsia="zh-CN"/>
              </w:rPr>
              <w:t>506</w:t>
            </w:r>
          </w:p>
        </w:tc>
        <w:tc>
          <w:tcPr>
            <w:tcW w:w="588" w:type="pct"/>
            <w:shd w:val="clear" w:color="auto" w:fill="FFFFFF"/>
            <w:vAlign w:val="center"/>
          </w:tcPr>
          <w:p w14:paraId="5721AF93">
            <w:pPr>
              <w:jc w:val="center"/>
              <w:rPr>
                <w:bCs/>
                <w:color w:val="auto"/>
                <w:sz w:val="20"/>
                <w:szCs w:val="20"/>
                <w:lang w:eastAsia="zh-CN"/>
              </w:rPr>
            </w:pPr>
            <w:r>
              <w:rPr>
                <w:rFonts w:hint="eastAsia"/>
                <w:bCs/>
                <w:color w:val="auto"/>
                <w:sz w:val="20"/>
                <w:szCs w:val="20"/>
                <w:lang w:eastAsia="zh-CN"/>
              </w:rPr>
              <w:t>414</w:t>
            </w:r>
          </w:p>
        </w:tc>
        <w:tc>
          <w:tcPr>
            <w:tcW w:w="593" w:type="pct"/>
            <w:shd w:val="clear" w:color="auto" w:fill="FFFFFF"/>
            <w:vAlign w:val="center"/>
          </w:tcPr>
          <w:p w14:paraId="4259700C">
            <w:pPr>
              <w:jc w:val="center"/>
              <w:rPr>
                <w:bCs/>
                <w:color w:val="auto"/>
                <w:sz w:val="20"/>
                <w:szCs w:val="20"/>
                <w:lang w:eastAsia="zh-CN"/>
              </w:rPr>
            </w:pPr>
            <w:r>
              <w:rPr>
                <w:rFonts w:hint="eastAsia"/>
                <w:bCs/>
                <w:color w:val="auto"/>
                <w:sz w:val="20"/>
                <w:szCs w:val="20"/>
                <w:lang w:eastAsia="zh-CN"/>
              </w:rPr>
              <w:t>0</w:t>
            </w:r>
          </w:p>
        </w:tc>
        <w:tc>
          <w:tcPr>
            <w:tcW w:w="626" w:type="pct"/>
            <w:shd w:val="clear" w:color="auto" w:fill="FFFFFF"/>
            <w:vAlign w:val="center"/>
          </w:tcPr>
          <w:p w14:paraId="7C2C476F">
            <w:pPr>
              <w:jc w:val="center"/>
              <w:rPr>
                <w:bCs/>
                <w:color w:val="auto"/>
                <w:sz w:val="20"/>
                <w:szCs w:val="20"/>
                <w:lang w:eastAsia="zh-CN"/>
              </w:rPr>
            </w:pPr>
            <w:r>
              <w:rPr>
                <w:rFonts w:hint="eastAsia"/>
                <w:bCs/>
                <w:color w:val="auto"/>
                <w:sz w:val="20"/>
                <w:szCs w:val="20"/>
                <w:lang w:eastAsia="zh-CN"/>
              </w:rPr>
              <w:t>420</w:t>
            </w:r>
          </w:p>
        </w:tc>
        <w:tc>
          <w:tcPr>
            <w:tcW w:w="607" w:type="pct"/>
            <w:shd w:val="clear" w:color="auto" w:fill="FFFFFF"/>
            <w:vAlign w:val="center"/>
          </w:tcPr>
          <w:p w14:paraId="49BD6DAD">
            <w:pPr>
              <w:jc w:val="center"/>
              <w:rPr>
                <w:bCs/>
                <w:color w:val="auto"/>
                <w:sz w:val="20"/>
                <w:szCs w:val="20"/>
                <w:lang w:eastAsia="zh-CN"/>
              </w:rPr>
            </w:pPr>
            <w:r>
              <w:rPr>
                <w:rFonts w:hint="eastAsia"/>
                <w:bCs/>
                <w:color w:val="auto"/>
                <w:sz w:val="20"/>
                <w:szCs w:val="20"/>
                <w:lang w:eastAsia="zh-CN"/>
              </w:rPr>
              <w:t>86</w:t>
            </w:r>
          </w:p>
        </w:tc>
        <w:tc>
          <w:tcPr>
            <w:tcW w:w="615" w:type="pct"/>
            <w:shd w:val="clear" w:color="auto" w:fill="FFFFFF"/>
            <w:vAlign w:val="center"/>
          </w:tcPr>
          <w:p w14:paraId="03256589">
            <w:pPr>
              <w:jc w:val="center"/>
              <w:rPr>
                <w:bCs/>
                <w:color w:val="auto"/>
                <w:sz w:val="20"/>
                <w:szCs w:val="20"/>
                <w:lang w:eastAsia="zh-CN"/>
              </w:rPr>
            </w:pPr>
            <w:r>
              <w:rPr>
                <w:rFonts w:hint="eastAsia"/>
                <w:bCs/>
                <w:color w:val="auto"/>
                <w:sz w:val="20"/>
                <w:szCs w:val="20"/>
                <w:lang w:eastAsia="zh-CN"/>
              </w:rPr>
              <w:t>3652</w:t>
            </w:r>
          </w:p>
        </w:tc>
        <w:tc>
          <w:tcPr>
            <w:tcW w:w="518" w:type="pct"/>
            <w:shd w:val="clear" w:color="auto" w:fill="FFFFFF"/>
            <w:vAlign w:val="center"/>
          </w:tcPr>
          <w:p w14:paraId="4CB4EA85">
            <w:pPr>
              <w:jc w:val="center"/>
              <w:rPr>
                <w:bCs/>
                <w:color w:val="auto"/>
                <w:sz w:val="20"/>
                <w:szCs w:val="20"/>
                <w:lang w:eastAsia="zh-CN"/>
              </w:rPr>
            </w:pPr>
            <w:r>
              <w:rPr>
                <w:rFonts w:hint="eastAsia"/>
                <w:bCs/>
                <w:color w:val="auto"/>
                <w:sz w:val="20"/>
                <w:szCs w:val="20"/>
                <w:lang w:eastAsia="zh-CN"/>
              </w:rPr>
              <w:t>95.33%</w:t>
            </w:r>
          </w:p>
        </w:tc>
        <w:tc>
          <w:tcPr>
            <w:tcW w:w="518" w:type="pct"/>
            <w:shd w:val="clear" w:color="auto" w:fill="FFFFFF"/>
            <w:vAlign w:val="center"/>
          </w:tcPr>
          <w:p w14:paraId="5395E189">
            <w:pPr>
              <w:jc w:val="center"/>
              <w:rPr>
                <w:bCs/>
                <w:color w:val="auto"/>
                <w:sz w:val="20"/>
                <w:szCs w:val="20"/>
                <w:lang w:eastAsia="zh-CN"/>
              </w:rPr>
            </w:pPr>
            <w:r>
              <w:rPr>
                <w:rFonts w:hint="eastAsia"/>
                <w:bCs/>
                <w:color w:val="auto"/>
                <w:sz w:val="20"/>
                <w:szCs w:val="20"/>
                <w:lang w:eastAsia="zh-CN"/>
              </w:rPr>
              <w:t>95.56%</w:t>
            </w:r>
          </w:p>
        </w:tc>
      </w:tr>
    </w:tbl>
    <w:p w14:paraId="11CB5478">
      <w:pPr>
        <w:pStyle w:val="4"/>
        <w:spacing w:before="163" w:after="163"/>
      </w:pPr>
      <w:bookmarkStart w:id="99" w:name="_Toc12142"/>
      <w:r>
        <w:rPr>
          <w:rFonts w:hint="eastAsia"/>
        </w:rPr>
        <w:t xml:space="preserve">2.9.2 </w:t>
      </w:r>
      <w:r>
        <w:rPr>
          <w:rFonts w:hint="eastAsia" w:ascii="方正黑体_GBK" w:hAnsi="方正黑体_GBK" w:eastAsia="方正黑体_GBK" w:cs="方正黑体_GBK"/>
        </w:rPr>
        <w:t>升学情况</w:t>
      </w:r>
      <w:bookmarkEnd w:id="99"/>
    </w:p>
    <w:p w14:paraId="40742A14">
      <w:pPr>
        <w:ind w:firstLine="480" w:firstLineChars="200"/>
        <w:rPr>
          <w:lang w:eastAsia="zh-CN"/>
        </w:rPr>
      </w:pPr>
      <w:r>
        <w:rPr>
          <w:rFonts w:hint="eastAsia"/>
          <w:lang w:eastAsia="zh-CN"/>
        </w:rPr>
        <w:t>随着中职毕业生升学通道的日益拓宽，越来越多的中职毕业生选择继续升学深造。坚持升学与就业并重的发展方向，突出升学质量核心地位，区内中职学校现有对口高职类、贯通培养类（3+4、3+2）、普通高考等升学渠道。2025年，全区中职毕业生升学总人数3069人，其中，通过贯通培养升学人数1193人，通过职教高考升学1166人，升入普通本科人数276人，升入职业本科人数176人，升入高职高专院校人数2578人，其他升学人数39人。</w:t>
      </w:r>
    </w:p>
    <w:p w14:paraId="437F1ABB">
      <w:pPr>
        <w:pStyle w:val="7"/>
      </w:pPr>
      <w:r>
        <w:t>表</w:t>
      </w:r>
      <w:r>
        <w:fldChar w:fldCharType="begin"/>
      </w:r>
      <w:r>
        <w:instrText xml:space="preserve"> SEQ 表 \* ARABIC </w:instrText>
      </w:r>
      <w:r>
        <w:fldChar w:fldCharType="separate"/>
      </w:r>
      <w:r>
        <w:t>13</w:t>
      </w:r>
      <w:r>
        <w:fldChar w:fldCharType="end"/>
      </w:r>
      <w:bookmarkStart w:id="100" w:name="_Toc26899"/>
      <w:r>
        <w:rPr>
          <w:rFonts w:hint="eastAsia"/>
        </w:rPr>
        <w:t xml:space="preserve">  近三年中职学校毕业生升学情况一览表</w:t>
      </w:r>
      <w:bookmarkEnd w:id="100"/>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937"/>
        <w:gridCol w:w="1219"/>
        <w:gridCol w:w="1178"/>
        <w:gridCol w:w="989"/>
        <w:gridCol w:w="1071"/>
        <w:gridCol w:w="1312"/>
        <w:gridCol w:w="1232"/>
      </w:tblGrid>
      <w:tr w14:paraId="6453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5" w:type="pct"/>
            <w:shd w:val="clear" w:color="auto" w:fill="DAE3F5"/>
            <w:vAlign w:val="center"/>
          </w:tcPr>
          <w:p w14:paraId="7E314D20">
            <w:pPr>
              <w:jc w:val="center"/>
              <w:rPr>
                <w:bCs/>
                <w:color w:val="auto"/>
                <w:sz w:val="20"/>
                <w:szCs w:val="20"/>
                <w:lang w:eastAsia="zh-CN"/>
              </w:rPr>
            </w:pPr>
            <w:r>
              <w:rPr>
                <w:rFonts w:hint="eastAsia"/>
                <w:bCs/>
                <w:color w:val="auto"/>
                <w:sz w:val="20"/>
                <w:szCs w:val="20"/>
                <w:lang w:eastAsia="zh-CN"/>
              </w:rPr>
              <w:t>年度</w:t>
            </w:r>
          </w:p>
        </w:tc>
        <w:tc>
          <w:tcPr>
            <w:tcW w:w="537" w:type="pct"/>
            <w:shd w:val="clear" w:color="auto" w:fill="DAE3F5"/>
            <w:vAlign w:val="center"/>
          </w:tcPr>
          <w:p w14:paraId="4468B29F">
            <w:pPr>
              <w:jc w:val="center"/>
              <w:rPr>
                <w:bCs/>
                <w:color w:val="auto"/>
                <w:sz w:val="20"/>
                <w:szCs w:val="20"/>
                <w:lang w:eastAsia="zh-CN"/>
              </w:rPr>
            </w:pPr>
            <w:r>
              <w:rPr>
                <w:rFonts w:hint="eastAsia"/>
                <w:bCs/>
                <w:color w:val="auto"/>
                <w:sz w:val="20"/>
                <w:szCs w:val="20"/>
                <w:lang w:eastAsia="zh-CN"/>
              </w:rPr>
              <w:t>升学</w:t>
            </w:r>
          </w:p>
          <w:p w14:paraId="7F994A1C">
            <w:pPr>
              <w:jc w:val="center"/>
              <w:rPr>
                <w:bCs/>
                <w:color w:val="auto"/>
                <w:sz w:val="20"/>
                <w:szCs w:val="20"/>
                <w:lang w:eastAsia="zh-CN"/>
              </w:rPr>
            </w:pPr>
            <w:r>
              <w:rPr>
                <w:rFonts w:hint="eastAsia"/>
                <w:bCs/>
                <w:color w:val="auto"/>
                <w:sz w:val="20"/>
                <w:szCs w:val="20"/>
                <w:lang w:eastAsia="zh-CN"/>
              </w:rPr>
              <w:t>总人数</w:t>
            </w:r>
          </w:p>
        </w:tc>
        <w:tc>
          <w:tcPr>
            <w:tcW w:w="699" w:type="pct"/>
            <w:shd w:val="clear" w:color="auto" w:fill="DAE3F5"/>
            <w:vAlign w:val="center"/>
          </w:tcPr>
          <w:p w14:paraId="36BD17E6">
            <w:pPr>
              <w:jc w:val="center"/>
              <w:rPr>
                <w:bCs/>
                <w:color w:val="auto"/>
                <w:sz w:val="20"/>
                <w:szCs w:val="20"/>
                <w:lang w:eastAsia="zh-CN"/>
              </w:rPr>
            </w:pPr>
            <w:r>
              <w:rPr>
                <w:rFonts w:hint="eastAsia"/>
                <w:bCs/>
                <w:color w:val="auto"/>
                <w:sz w:val="20"/>
                <w:szCs w:val="20"/>
                <w:lang w:eastAsia="zh-CN"/>
              </w:rPr>
              <w:t>通过贯通培养升学人数</w:t>
            </w:r>
          </w:p>
        </w:tc>
        <w:tc>
          <w:tcPr>
            <w:tcW w:w="675" w:type="pct"/>
            <w:shd w:val="clear" w:color="auto" w:fill="DAE3F5"/>
            <w:vAlign w:val="center"/>
          </w:tcPr>
          <w:p w14:paraId="0F4A929F">
            <w:pPr>
              <w:jc w:val="center"/>
              <w:rPr>
                <w:bCs/>
                <w:color w:val="auto"/>
                <w:sz w:val="20"/>
                <w:szCs w:val="20"/>
                <w:lang w:eastAsia="zh-CN"/>
              </w:rPr>
            </w:pPr>
            <w:r>
              <w:rPr>
                <w:rFonts w:hint="eastAsia"/>
                <w:bCs/>
                <w:color w:val="auto"/>
                <w:sz w:val="20"/>
                <w:szCs w:val="20"/>
                <w:lang w:eastAsia="zh-CN"/>
              </w:rPr>
              <w:t>通过职教高考升学人数</w:t>
            </w:r>
          </w:p>
        </w:tc>
        <w:tc>
          <w:tcPr>
            <w:tcW w:w="567" w:type="pct"/>
            <w:shd w:val="clear" w:color="auto" w:fill="DAE3F5"/>
            <w:vAlign w:val="center"/>
          </w:tcPr>
          <w:p w14:paraId="3AE79CDA">
            <w:pPr>
              <w:jc w:val="center"/>
              <w:rPr>
                <w:bCs/>
                <w:color w:val="auto"/>
                <w:sz w:val="20"/>
                <w:szCs w:val="20"/>
                <w:lang w:eastAsia="zh-CN"/>
              </w:rPr>
            </w:pPr>
            <w:r>
              <w:rPr>
                <w:rFonts w:hint="eastAsia"/>
                <w:bCs/>
                <w:color w:val="auto"/>
                <w:sz w:val="20"/>
                <w:szCs w:val="20"/>
                <w:lang w:eastAsia="zh-CN"/>
              </w:rPr>
              <w:t>升入普通本科人数</w:t>
            </w:r>
          </w:p>
        </w:tc>
        <w:tc>
          <w:tcPr>
            <w:tcW w:w="614" w:type="pct"/>
            <w:shd w:val="clear" w:color="auto" w:fill="DAE3F5"/>
            <w:vAlign w:val="center"/>
          </w:tcPr>
          <w:p w14:paraId="62792EC9">
            <w:pPr>
              <w:jc w:val="center"/>
              <w:rPr>
                <w:bCs/>
                <w:color w:val="auto"/>
                <w:sz w:val="20"/>
                <w:szCs w:val="20"/>
                <w:lang w:eastAsia="zh-CN"/>
              </w:rPr>
            </w:pPr>
            <w:r>
              <w:rPr>
                <w:rFonts w:hint="eastAsia"/>
                <w:bCs/>
                <w:color w:val="auto"/>
                <w:sz w:val="20"/>
                <w:szCs w:val="20"/>
                <w:lang w:eastAsia="zh-CN"/>
              </w:rPr>
              <w:t>升入职业本科人数</w:t>
            </w:r>
          </w:p>
        </w:tc>
        <w:tc>
          <w:tcPr>
            <w:tcW w:w="752" w:type="pct"/>
            <w:shd w:val="clear" w:color="auto" w:fill="DAE3F5"/>
            <w:vAlign w:val="center"/>
          </w:tcPr>
          <w:p w14:paraId="5E04BBD2">
            <w:pPr>
              <w:jc w:val="center"/>
              <w:rPr>
                <w:bCs/>
                <w:color w:val="auto"/>
                <w:sz w:val="20"/>
                <w:szCs w:val="20"/>
                <w:lang w:eastAsia="zh-CN"/>
              </w:rPr>
            </w:pPr>
            <w:r>
              <w:rPr>
                <w:rFonts w:hint="eastAsia"/>
                <w:bCs/>
                <w:color w:val="auto"/>
                <w:sz w:val="20"/>
                <w:szCs w:val="20"/>
                <w:lang w:eastAsia="zh-CN"/>
              </w:rPr>
              <w:t>升入高职高专院校人数</w:t>
            </w:r>
          </w:p>
        </w:tc>
        <w:tc>
          <w:tcPr>
            <w:tcW w:w="706" w:type="pct"/>
            <w:shd w:val="clear" w:color="auto" w:fill="DAE3F5"/>
            <w:vAlign w:val="center"/>
          </w:tcPr>
          <w:p w14:paraId="76A64938">
            <w:pPr>
              <w:jc w:val="center"/>
              <w:rPr>
                <w:bCs/>
                <w:color w:val="auto"/>
                <w:sz w:val="20"/>
                <w:szCs w:val="20"/>
                <w:lang w:eastAsia="zh-CN"/>
              </w:rPr>
            </w:pPr>
            <w:r>
              <w:rPr>
                <w:rFonts w:hint="eastAsia"/>
                <w:bCs/>
                <w:color w:val="auto"/>
                <w:sz w:val="20"/>
                <w:szCs w:val="20"/>
                <w:lang w:eastAsia="zh-CN"/>
              </w:rPr>
              <w:t>其他升学人数</w:t>
            </w:r>
          </w:p>
        </w:tc>
      </w:tr>
      <w:tr w14:paraId="49CE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45" w:type="pct"/>
            <w:shd w:val="clear" w:color="auto" w:fill="FFFFFF"/>
            <w:vAlign w:val="center"/>
          </w:tcPr>
          <w:p w14:paraId="7EC6B91F">
            <w:pPr>
              <w:jc w:val="center"/>
              <w:rPr>
                <w:bCs/>
                <w:color w:val="auto"/>
                <w:sz w:val="20"/>
                <w:szCs w:val="20"/>
                <w:lang w:eastAsia="zh-CN"/>
              </w:rPr>
            </w:pPr>
            <w:r>
              <w:rPr>
                <w:rFonts w:hint="eastAsia"/>
                <w:bCs/>
                <w:color w:val="auto"/>
                <w:sz w:val="20"/>
                <w:szCs w:val="20"/>
                <w:lang w:eastAsia="zh-CN"/>
              </w:rPr>
              <w:t>2023</w:t>
            </w:r>
          </w:p>
        </w:tc>
        <w:tc>
          <w:tcPr>
            <w:tcW w:w="537" w:type="pct"/>
            <w:shd w:val="clear" w:color="auto" w:fill="FFFFFF"/>
            <w:vAlign w:val="center"/>
          </w:tcPr>
          <w:p w14:paraId="28B8DEE3">
            <w:pPr>
              <w:jc w:val="center"/>
              <w:rPr>
                <w:bCs/>
                <w:color w:val="auto"/>
                <w:sz w:val="20"/>
                <w:szCs w:val="20"/>
                <w:lang w:eastAsia="zh-CN"/>
              </w:rPr>
            </w:pPr>
            <w:r>
              <w:rPr>
                <w:rFonts w:hint="eastAsia"/>
                <w:bCs/>
                <w:color w:val="auto"/>
                <w:sz w:val="20"/>
                <w:szCs w:val="20"/>
                <w:lang w:eastAsia="zh-CN"/>
              </w:rPr>
              <w:t>2208</w:t>
            </w:r>
          </w:p>
        </w:tc>
        <w:tc>
          <w:tcPr>
            <w:tcW w:w="699" w:type="pct"/>
            <w:shd w:val="clear" w:color="auto" w:fill="FFFFFF"/>
            <w:vAlign w:val="center"/>
          </w:tcPr>
          <w:p w14:paraId="574B716C">
            <w:pPr>
              <w:jc w:val="center"/>
              <w:rPr>
                <w:bCs/>
                <w:color w:val="auto"/>
                <w:sz w:val="20"/>
                <w:szCs w:val="20"/>
                <w:lang w:eastAsia="zh-CN"/>
              </w:rPr>
            </w:pPr>
            <w:r>
              <w:rPr>
                <w:rFonts w:hint="eastAsia"/>
                <w:bCs/>
                <w:color w:val="auto"/>
                <w:sz w:val="20"/>
                <w:szCs w:val="20"/>
                <w:lang w:eastAsia="zh-CN"/>
              </w:rPr>
              <w:t>848</w:t>
            </w:r>
          </w:p>
        </w:tc>
        <w:tc>
          <w:tcPr>
            <w:tcW w:w="675" w:type="pct"/>
            <w:shd w:val="clear" w:color="auto" w:fill="FFFFFF"/>
            <w:vAlign w:val="center"/>
          </w:tcPr>
          <w:p w14:paraId="044B169A">
            <w:pPr>
              <w:jc w:val="center"/>
              <w:rPr>
                <w:bCs/>
                <w:color w:val="auto"/>
                <w:sz w:val="20"/>
                <w:szCs w:val="20"/>
                <w:lang w:eastAsia="zh-CN"/>
              </w:rPr>
            </w:pPr>
            <w:r>
              <w:rPr>
                <w:rFonts w:hint="eastAsia"/>
                <w:bCs/>
                <w:color w:val="auto"/>
                <w:sz w:val="20"/>
                <w:szCs w:val="20"/>
                <w:lang w:eastAsia="zh-CN"/>
              </w:rPr>
              <w:t>979</w:t>
            </w:r>
          </w:p>
        </w:tc>
        <w:tc>
          <w:tcPr>
            <w:tcW w:w="567" w:type="pct"/>
            <w:shd w:val="clear" w:color="auto" w:fill="FFFFFF"/>
            <w:vAlign w:val="center"/>
          </w:tcPr>
          <w:p w14:paraId="4FAEC7AB">
            <w:pPr>
              <w:jc w:val="center"/>
              <w:rPr>
                <w:bCs/>
                <w:color w:val="auto"/>
                <w:sz w:val="20"/>
                <w:szCs w:val="20"/>
                <w:lang w:eastAsia="zh-CN"/>
              </w:rPr>
            </w:pPr>
            <w:r>
              <w:rPr>
                <w:rFonts w:hint="eastAsia"/>
                <w:bCs/>
                <w:color w:val="auto"/>
                <w:sz w:val="20"/>
                <w:szCs w:val="20"/>
                <w:lang w:eastAsia="zh-CN"/>
              </w:rPr>
              <w:t>163</w:t>
            </w:r>
          </w:p>
        </w:tc>
        <w:tc>
          <w:tcPr>
            <w:tcW w:w="614" w:type="pct"/>
            <w:shd w:val="clear" w:color="auto" w:fill="FFFFFF"/>
            <w:vAlign w:val="center"/>
          </w:tcPr>
          <w:p w14:paraId="7F2ECE06">
            <w:pPr>
              <w:jc w:val="center"/>
              <w:rPr>
                <w:bCs/>
                <w:color w:val="auto"/>
                <w:sz w:val="20"/>
                <w:szCs w:val="20"/>
                <w:lang w:eastAsia="zh-CN"/>
              </w:rPr>
            </w:pPr>
            <w:r>
              <w:rPr>
                <w:rFonts w:hint="eastAsia"/>
                <w:bCs/>
                <w:color w:val="auto"/>
                <w:sz w:val="20"/>
                <w:szCs w:val="20"/>
                <w:lang w:eastAsia="zh-CN"/>
              </w:rPr>
              <w:t>109</w:t>
            </w:r>
          </w:p>
        </w:tc>
        <w:tc>
          <w:tcPr>
            <w:tcW w:w="752" w:type="pct"/>
            <w:shd w:val="clear" w:color="auto" w:fill="FFFFFF"/>
            <w:vAlign w:val="center"/>
          </w:tcPr>
          <w:p w14:paraId="41A2B364">
            <w:pPr>
              <w:jc w:val="center"/>
              <w:rPr>
                <w:bCs/>
                <w:color w:val="auto"/>
                <w:sz w:val="20"/>
                <w:szCs w:val="20"/>
                <w:lang w:eastAsia="zh-CN"/>
              </w:rPr>
            </w:pPr>
            <w:r>
              <w:rPr>
                <w:rFonts w:hint="eastAsia"/>
                <w:bCs/>
                <w:color w:val="auto"/>
                <w:sz w:val="20"/>
                <w:szCs w:val="20"/>
                <w:lang w:eastAsia="zh-CN"/>
              </w:rPr>
              <w:t>1936</w:t>
            </w:r>
          </w:p>
        </w:tc>
        <w:tc>
          <w:tcPr>
            <w:tcW w:w="706" w:type="pct"/>
            <w:shd w:val="clear" w:color="auto" w:fill="FFFFFF"/>
            <w:vAlign w:val="center"/>
          </w:tcPr>
          <w:p w14:paraId="19C8DCDF">
            <w:pPr>
              <w:jc w:val="center"/>
              <w:rPr>
                <w:bCs/>
                <w:color w:val="auto"/>
                <w:sz w:val="20"/>
                <w:szCs w:val="20"/>
                <w:lang w:eastAsia="zh-CN"/>
              </w:rPr>
            </w:pPr>
            <w:r>
              <w:rPr>
                <w:rFonts w:hint="eastAsia"/>
                <w:bCs/>
                <w:color w:val="auto"/>
                <w:sz w:val="20"/>
                <w:szCs w:val="20"/>
                <w:lang w:eastAsia="zh-CN"/>
              </w:rPr>
              <w:t>0</w:t>
            </w:r>
          </w:p>
        </w:tc>
      </w:tr>
      <w:tr w14:paraId="50E3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shd w:val="clear" w:color="auto" w:fill="FFFFFF"/>
            <w:vAlign w:val="center"/>
          </w:tcPr>
          <w:p w14:paraId="00CE4B14">
            <w:pPr>
              <w:jc w:val="center"/>
              <w:rPr>
                <w:bCs/>
                <w:color w:val="auto"/>
                <w:sz w:val="20"/>
                <w:szCs w:val="20"/>
                <w:lang w:eastAsia="zh-CN"/>
              </w:rPr>
            </w:pPr>
            <w:r>
              <w:rPr>
                <w:rFonts w:hint="eastAsia"/>
                <w:bCs/>
                <w:color w:val="auto"/>
                <w:sz w:val="20"/>
                <w:szCs w:val="20"/>
                <w:lang w:eastAsia="zh-CN"/>
              </w:rPr>
              <w:t>2024</w:t>
            </w:r>
          </w:p>
        </w:tc>
        <w:tc>
          <w:tcPr>
            <w:tcW w:w="537" w:type="pct"/>
            <w:shd w:val="clear" w:color="auto" w:fill="FFFFFF"/>
            <w:vAlign w:val="center"/>
          </w:tcPr>
          <w:p w14:paraId="0522E4A2">
            <w:pPr>
              <w:jc w:val="center"/>
              <w:rPr>
                <w:bCs/>
                <w:color w:val="auto"/>
                <w:sz w:val="20"/>
                <w:szCs w:val="20"/>
                <w:lang w:eastAsia="zh-CN"/>
              </w:rPr>
            </w:pPr>
            <w:r>
              <w:rPr>
                <w:rFonts w:hint="eastAsia"/>
                <w:bCs/>
                <w:color w:val="auto"/>
                <w:sz w:val="20"/>
                <w:szCs w:val="20"/>
                <w:lang w:eastAsia="zh-CN"/>
              </w:rPr>
              <w:t>2798</w:t>
            </w:r>
          </w:p>
        </w:tc>
        <w:tc>
          <w:tcPr>
            <w:tcW w:w="699" w:type="pct"/>
            <w:shd w:val="clear" w:color="auto" w:fill="FFFFFF"/>
            <w:vAlign w:val="center"/>
          </w:tcPr>
          <w:p w14:paraId="26A9CE55">
            <w:pPr>
              <w:jc w:val="center"/>
              <w:rPr>
                <w:bCs/>
                <w:color w:val="auto"/>
                <w:sz w:val="20"/>
                <w:szCs w:val="20"/>
                <w:lang w:eastAsia="zh-CN"/>
              </w:rPr>
            </w:pPr>
            <w:r>
              <w:rPr>
                <w:rFonts w:hint="eastAsia"/>
                <w:bCs/>
                <w:color w:val="auto"/>
                <w:sz w:val="20"/>
                <w:szCs w:val="20"/>
                <w:lang w:eastAsia="zh-CN"/>
              </w:rPr>
              <w:t>1000</w:t>
            </w:r>
          </w:p>
        </w:tc>
        <w:tc>
          <w:tcPr>
            <w:tcW w:w="675" w:type="pct"/>
            <w:shd w:val="clear" w:color="auto" w:fill="FFFFFF"/>
            <w:vAlign w:val="center"/>
          </w:tcPr>
          <w:p w14:paraId="5B5D49AF">
            <w:pPr>
              <w:jc w:val="center"/>
              <w:rPr>
                <w:bCs/>
                <w:color w:val="auto"/>
                <w:sz w:val="20"/>
                <w:szCs w:val="20"/>
                <w:lang w:eastAsia="zh-CN"/>
              </w:rPr>
            </w:pPr>
            <w:r>
              <w:rPr>
                <w:rFonts w:hint="eastAsia"/>
                <w:bCs/>
                <w:color w:val="auto"/>
                <w:sz w:val="20"/>
                <w:szCs w:val="20"/>
                <w:lang w:eastAsia="zh-CN"/>
              </w:rPr>
              <w:t>1327</w:t>
            </w:r>
          </w:p>
        </w:tc>
        <w:tc>
          <w:tcPr>
            <w:tcW w:w="567" w:type="pct"/>
            <w:shd w:val="clear" w:color="auto" w:fill="FFFFFF"/>
            <w:vAlign w:val="center"/>
          </w:tcPr>
          <w:p w14:paraId="24E09EF9">
            <w:pPr>
              <w:jc w:val="center"/>
              <w:rPr>
                <w:bCs/>
                <w:color w:val="auto"/>
                <w:sz w:val="20"/>
                <w:szCs w:val="20"/>
                <w:lang w:eastAsia="zh-CN"/>
              </w:rPr>
            </w:pPr>
            <w:r>
              <w:rPr>
                <w:rFonts w:hint="eastAsia"/>
                <w:bCs/>
                <w:color w:val="auto"/>
                <w:sz w:val="20"/>
                <w:szCs w:val="20"/>
                <w:lang w:eastAsia="zh-CN"/>
              </w:rPr>
              <w:t>246</w:t>
            </w:r>
          </w:p>
        </w:tc>
        <w:tc>
          <w:tcPr>
            <w:tcW w:w="614" w:type="pct"/>
            <w:shd w:val="clear" w:color="auto" w:fill="FFFFFF"/>
            <w:vAlign w:val="center"/>
          </w:tcPr>
          <w:p w14:paraId="583F70E6">
            <w:pPr>
              <w:jc w:val="center"/>
              <w:rPr>
                <w:bCs/>
                <w:color w:val="auto"/>
                <w:sz w:val="20"/>
                <w:szCs w:val="20"/>
                <w:lang w:eastAsia="zh-CN"/>
              </w:rPr>
            </w:pPr>
            <w:r>
              <w:rPr>
                <w:rFonts w:hint="eastAsia"/>
                <w:bCs/>
                <w:color w:val="auto"/>
                <w:sz w:val="20"/>
                <w:szCs w:val="20"/>
                <w:lang w:eastAsia="zh-CN"/>
              </w:rPr>
              <w:t>119</w:t>
            </w:r>
          </w:p>
        </w:tc>
        <w:tc>
          <w:tcPr>
            <w:tcW w:w="752" w:type="pct"/>
            <w:shd w:val="clear" w:color="auto" w:fill="FFFFFF"/>
            <w:vAlign w:val="center"/>
          </w:tcPr>
          <w:p w14:paraId="14DB1B79">
            <w:pPr>
              <w:jc w:val="center"/>
              <w:rPr>
                <w:bCs/>
                <w:color w:val="auto"/>
                <w:sz w:val="20"/>
                <w:szCs w:val="20"/>
                <w:lang w:eastAsia="zh-CN"/>
              </w:rPr>
            </w:pPr>
            <w:r>
              <w:rPr>
                <w:rFonts w:hint="eastAsia"/>
                <w:bCs/>
                <w:color w:val="auto"/>
                <w:sz w:val="20"/>
                <w:szCs w:val="20"/>
                <w:lang w:eastAsia="zh-CN"/>
              </w:rPr>
              <w:t>2393</w:t>
            </w:r>
          </w:p>
        </w:tc>
        <w:tc>
          <w:tcPr>
            <w:tcW w:w="706" w:type="pct"/>
            <w:shd w:val="clear" w:color="auto" w:fill="FFFFFF"/>
            <w:vAlign w:val="center"/>
          </w:tcPr>
          <w:p w14:paraId="34B9A45C">
            <w:pPr>
              <w:jc w:val="center"/>
              <w:rPr>
                <w:bCs/>
                <w:color w:val="auto"/>
                <w:sz w:val="20"/>
                <w:szCs w:val="20"/>
                <w:lang w:eastAsia="zh-CN"/>
              </w:rPr>
            </w:pPr>
            <w:r>
              <w:rPr>
                <w:rFonts w:hint="eastAsia"/>
                <w:bCs/>
                <w:color w:val="auto"/>
                <w:sz w:val="20"/>
                <w:szCs w:val="20"/>
                <w:lang w:eastAsia="zh-CN"/>
              </w:rPr>
              <w:t>40</w:t>
            </w:r>
          </w:p>
        </w:tc>
      </w:tr>
      <w:tr w14:paraId="0791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shd w:val="clear" w:color="auto" w:fill="FFFFFF"/>
            <w:vAlign w:val="center"/>
          </w:tcPr>
          <w:p w14:paraId="35873123">
            <w:pPr>
              <w:jc w:val="center"/>
              <w:rPr>
                <w:bCs/>
                <w:color w:val="auto"/>
                <w:sz w:val="20"/>
                <w:szCs w:val="20"/>
                <w:lang w:eastAsia="zh-CN"/>
              </w:rPr>
            </w:pPr>
            <w:r>
              <w:rPr>
                <w:rFonts w:hint="eastAsia"/>
                <w:bCs/>
                <w:color w:val="auto"/>
                <w:sz w:val="20"/>
                <w:szCs w:val="20"/>
                <w:lang w:eastAsia="zh-CN"/>
              </w:rPr>
              <w:t>2025</w:t>
            </w:r>
          </w:p>
        </w:tc>
        <w:tc>
          <w:tcPr>
            <w:tcW w:w="537" w:type="pct"/>
            <w:shd w:val="clear" w:color="auto" w:fill="FFFFFF"/>
            <w:vAlign w:val="center"/>
          </w:tcPr>
          <w:p w14:paraId="1E74D991">
            <w:pPr>
              <w:jc w:val="center"/>
              <w:rPr>
                <w:bCs/>
                <w:color w:val="auto"/>
                <w:sz w:val="20"/>
                <w:szCs w:val="20"/>
                <w:lang w:eastAsia="zh-CN"/>
              </w:rPr>
            </w:pPr>
            <w:r>
              <w:rPr>
                <w:rFonts w:hint="eastAsia"/>
                <w:bCs/>
                <w:color w:val="auto"/>
                <w:sz w:val="20"/>
                <w:szCs w:val="20"/>
                <w:lang w:eastAsia="zh-CN"/>
              </w:rPr>
              <w:t>3069</w:t>
            </w:r>
          </w:p>
        </w:tc>
        <w:tc>
          <w:tcPr>
            <w:tcW w:w="699" w:type="pct"/>
            <w:shd w:val="clear" w:color="auto" w:fill="FFFFFF"/>
            <w:vAlign w:val="center"/>
          </w:tcPr>
          <w:p w14:paraId="03CB5EF4">
            <w:pPr>
              <w:jc w:val="center"/>
              <w:rPr>
                <w:bCs/>
                <w:color w:val="auto"/>
                <w:sz w:val="20"/>
                <w:szCs w:val="20"/>
                <w:lang w:eastAsia="zh-CN"/>
              </w:rPr>
            </w:pPr>
            <w:r>
              <w:rPr>
                <w:rFonts w:hint="eastAsia"/>
                <w:bCs/>
                <w:color w:val="auto"/>
                <w:sz w:val="20"/>
                <w:szCs w:val="20"/>
                <w:lang w:eastAsia="zh-CN"/>
              </w:rPr>
              <w:t>1193</w:t>
            </w:r>
          </w:p>
        </w:tc>
        <w:tc>
          <w:tcPr>
            <w:tcW w:w="675" w:type="pct"/>
            <w:shd w:val="clear" w:color="auto" w:fill="FFFFFF"/>
            <w:vAlign w:val="center"/>
          </w:tcPr>
          <w:p w14:paraId="2C0670DD">
            <w:pPr>
              <w:jc w:val="center"/>
              <w:rPr>
                <w:bCs/>
                <w:color w:val="auto"/>
                <w:sz w:val="20"/>
                <w:szCs w:val="20"/>
                <w:lang w:eastAsia="zh-CN"/>
              </w:rPr>
            </w:pPr>
            <w:r>
              <w:rPr>
                <w:rFonts w:hint="eastAsia"/>
                <w:bCs/>
                <w:color w:val="auto"/>
                <w:sz w:val="20"/>
                <w:szCs w:val="20"/>
                <w:lang w:eastAsia="zh-CN"/>
              </w:rPr>
              <w:t>1166</w:t>
            </w:r>
          </w:p>
        </w:tc>
        <w:tc>
          <w:tcPr>
            <w:tcW w:w="567" w:type="pct"/>
            <w:shd w:val="clear" w:color="auto" w:fill="FFFFFF"/>
            <w:vAlign w:val="center"/>
          </w:tcPr>
          <w:p w14:paraId="0E2486EF">
            <w:pPr>
              <w:jc w:val="center"/>
              <w:rPr>
                <w:bCs/>
                <w:color w:val="auto"/>
                <w:sz w:val="20"/>
                <w:szCs w:val="20"/>
                <w:lang w:eastAsia="zh-CN"/>
              </w:rPr>
            </w:pPr>
            <w:r>
              <w:rPr>
                <w:rFonts w:hint="eastAsia"/>
                <w:bCs/>
                <w:color w:val="auto"/>
                <w:sz w:val="20"/>
                <w:szCs w:val="20"/>
                <w:lang w:eastAsia="zh-CN"/>
              </w:rPr>
              <w:t>276</w:t>
            </w:r>
          </w:p>
        </w:tc>
        <w:tc>
          <w:tcPr>
            <w:tcW w:w="614" w:type="pct"/>
            <w:shd w:val="clear" w:color="auto" w:fill="FFFFFF"/>
            <w:vAlign w:val="center"/>
          </w:tcPr>
          <w:p w14:paraId="2A593E97">
            <w:pPr>
              <w:jc w:val="center"/>
              <w:rPr>
                <w:bCs/>
                <w:color w:val="auto"/>
                <w:sz w:val="20"/>
                <w:szCs w:val="20"/>
                <w:lang w:eastAsia="zh-CN"/>
              </w:rPr>
            </w:pPr>
            <w:r>
              <w:rPr>
                <w:rFonts w:hint="eastAsia"/>
                <w:bCs/>
                <w:color w:val="auto"/>
                <w:sz w:val="20"/>
                <w:szCs w:val="20"/>
                <w:lang w:eastAsia="zh-CN"/>
              </w:rPr>
              <w:t>176</w:t>
            </w:r>
          </w:p>
        </w:tc>
        <w:tc>
          <w:tcPr>
            <w:tcW w:w="752" w:type="pct"/>
            <w:shd w:val="clear" w:color="auto" w:fill="FFFFFF"/>
            <w:vAlign w:val="center"/>
          </w:tcPr>
          <w:p w14:paraId="3CC2F070">
            <w:pPr>
              <w:jc w:val="center"/>
              <w:rPr>
                <w:bCs/>
                <w:color w:val="auto"/>
                <w:sz w:val="20"/>
                <w:szCs w:val="20"/>
                <w:lang w:eastAsia="zh-CN"/>
              </w:rPr>
            </w:pPr>
            <w:r>
              <w:rPr>
                <w:rFonts w:hint="eastAsia"/>
                <w:bCs/>
                <w:color w:val="auto"/>
                <w:sz w:val="20"/>
                <w:szCs w:val="20"/>
                <w:lang w:eastAsia="zh-CN"/>
              </w:rPr>
              <w:t>2578</w:t>
            </w:r>
          </w:p>
        </w:tc>
        <w:tc>
          <w:tcPr>
            <w:tcW w:w="706" w:type="pct"/>
            <w:shd w:val="clear" w:color="auto" w:fill="FFFFFF"/>
            <w:vAlign w:val="center"/>
          </w:tcPr>
          <w:p w14:paraId="1D8EBA67">
            <w:pPr>
              <w:jc w:val="center"/>
              <w:rPr>
                <w:bCs/>
                <w:color w:val="auto"/>
                <w:sz w:val="20"/>
                <w:szCs w:val="20"/>
                <w:lang w:eastAsia="zh-CN"/>
              </w:rPr>
            </w:pPr>
            <w:r>
              <w:rPr>
                <w:rFonts w:hint="eastAsia"/>
                <w:bCs/>
                <w:color w:val="auto"/>
                <w:sz w:val="20"/>
                <w:szCs w:val="20"/>
                <w:lang w:eastAsia="zh-CN"/>
              </w:rPr>
              <w:t>39</w:t>
            </w:r>
          </w:p>
        </w:tc>
      </w:tr>
    </w:tbl>
    <w:p w14:paraId="7D8D5313">
      <w:pPr>
        <w:pStyle w:val="4"/>
        <w:spacing w:before="163" w:after="163"/>
      </w:pPr>
      <w:bookmarkStart w:id="101" w:name="_Toc13108"/>
      <w:r>
        <w:rPr>
          <w:rFonts w:hint="eastAsia"/>
        </w:rPr>
        <w:t xml:space="preserve">2.9.3 </w:t>
      </w:r>
      <w:r>
        <w:rPr>
          <w:rFonts w:hint="eastAsia" w:ascii="方正黑体_GBK" w:hAnsi="方正黑体_GBK" w:eastAsia="方正黑体_GBK" w:cs="方正黑体_GBK"/>
        </w:rPr>
        <w:t>创新创业</w:t>
      </w:r>
      <w:bookmarkEnd w:id="101"/>
    </w:p>
    <w:p w14:paraId="31B8EEF3">
      <w:pPr>
        <w:ind w:firstLine="480" w:firstLineChars="200"/>
        <w:rPr>
          <w:lang w:eastAsia="zh-CN"/>
        </w:rPr>
      </w:pPr>
      <w:r>
        <w:rPr>
          <w:rFonts w:hint="eastAsia"/>
          <w:lang w:eastAsia="zh-CN"/>
        </w:rPr>
        <w:t>全区中职学校注重培养学生创业精神、创新意识和创新能力，积极探索学生创新创业教育新途径。通过举办专业讲座、开发双创项目、参加双创大赛等方式加强学生创新创业教育和实践，营造创新创业氛围，提高学生的创新创业能力与兴趣，双创教学取得显著成果。</w:t>
      </w:r>
    </w:p>
    <w:p w14:paraId="2BB3676D">
      <w:pPr>
        <w:pStyle w:val="7"/>
        <w:ind w:left="1850" w:leftChars="200" w:hanging="1370" w:hangingChars="650"/>
        <w:jc w:val="center"/>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11</w:t>
      </w:r>
      <w:r>
        <w:rPr>
          <w:rFonts w:hint="default" w:ascii="Times New Roman" w:hAnsi="Times New Roman" w:eastAsia="黑体" w:cs="Times New Roman"/>
          <w:b/>
          <w:bCs/>
          <w:color w:val="2E54A1" w:themeColor="accent1" w:themeShade="BF"/>
          <w:sz w:val="21"/>
          <w:szCs w:val="21"/>
        </w:rPr>
        <w:fldChar w:fldCharType="end"/>
      </w:r>
      <w:bookmarkStart w:id="102" w:name="_Toc20644"/>
      <w:r>
        <w:rPr>
          <w:rFonts w:hint="default" w:ascii="Times New Roman" w:hAnsi="Times New Roman" w:eastAsia="黑体" w:cs="Times New Roman"/>
          <w:b/>
          <w:bCs/>
          <w:color w:val="2E54A1" w:themeColor="accent1" w:themeShade="BF"/>
          <w:sz w:val="21"/>
          <w:szCs w:val="21"/>
        </w:rPr>
        <w:t>】  重庆市九龙坡职业教育中心构建</w:t>
      </w:r>
      <w:r>
        <w:rPr>
          <w:rFonts w:hint="eastAsia" w:eastAsia="黑体" w:cs="Times New Roman"/>
          <w:b/>
          <w:bCs/>
          <w:color w:val="2E54A1" w:themeColor="accent1" w:themeShade="BF"/>
          <w:sz w:val="21"/>
          <w:szCs w:val="21"/>
          <w:lang w:eastAsia="zh-CN"/>
        </w:rPr>
        <w:t>“</w:t>
      </w:r>
      <w:r>
        <w:rPr>
          <w:rFonts w:hint="default" w:ascii="Times New Roman" w:hAnsi="Times New Roman" w:eastAsia="黑体" w:cs="Times New Roman"/>
          <w:b/>
          <w:bCs/>
          <w:color w:val="2E54A1" w:themeColor="accent1" w:themeShade="BF"/>
          <w:sz w:val="21"/>
          <w:szCs w:val="21"/>
        </w:rPr>
        <w:t>技创融合</w:t>
      </w:r>
      <w:r>
        <w:rPr>
          <w:rFonts w:hint="eastAsia" w:eastAsia="黑体" w:cs="Times New Roman"/>
          <w:b/>
          <w:bCs/>
          <w:color w:val="2E54A1" w:themeColor="accent1" w:themeShade="BF"/>
          <w:sz w:val="21"/>
          <w:szCs w:val="21"/>
          <w:lang w:eastAsia="zh-CN"/>
        </w:rPr>
        <w:t>”</w:t>
      </w:r>
      <w:r>
        <w:rPr>
          <w:rFonts w:hint="default" w:ascii="Times New Roman" w:hAnsi="Times New Roman" w:eastAsia="黑体" w:cs="Times New Roman"/>
          <w:b/>
          <w:bCs/>
          <w:color w:val="2E54A1" w:themeColor="accent1" w:themeShade="BF"/>
          <w:sz w:val="21"/>
          <w:szCs w:val="21"/>
        </w:rPr>
        <w:t>育人模式</w:t>
      </w:r>
      <w:bookmarkEnd w:id="102"/>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4E84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6B5797DA">
            <w:pPr>
              <w:ind w:firstLine="420" w:firstLineChars="200"/>
              <w:rPr>
                <w:rFonts w:eastAsia="楷体" w:cs="Times New Roman"/>
                <w:sz w:val="21"/>
                <w:szCs w:val="21"/>
                <w:lang w:eastAsia="zh-CN"/>
              </w:rPr>
            </w:pPr>
            <w:r>
              <w:rPr>
                <w:rFonts w:hint="eastAsia" w:eastAsia="楷体" w:cs="Times New Roman"/>
                <w:sz w:val="21"/>
                <w:szCs w:val="21"/>
                <w:lang w:eastAsia="zh-CN"/>
              </w:rPr>
              <w:t>本年度，学校持续深化科教融汇战略，深入实践“四元四维四阶”技创融合育人模式，系统培育学生创新意识与实践能力。一是健全“四元协同”机制，激发双创内生动力。构建“激励评价、师资培育、多方联动、成果转化”协同体系，设立专项奖励，将创新指导纳入教师评价；二是优化“四阶递进”课程，贯通能力培养路径。建立“启迪创意、训练创造、实践创新、引领创优”递进式课程体系，开发4门校本教材及210项资源，贯穿创新思维培养到项目孵化全过程。三是升级“四维支撑”平台，拓展实践育人空间。整合校内外资源，构建创意工社、创新工坊、创客空间、生产实训基地四维实践平台，通过工作坊、项目式学习及真实创业运营，强化学生实践转化能力。</w:t>
            </w:r>
          </w:p>
          <w:p w14:paraId="230C3959">
            <w:pPr>
              <w:ind w:firstLine="420" w:firstLineChars="200"/>
              <w:rPr>
                <w:rFonts w:hint="eastAsia" w:eastAsia="楷体" w:cs="Times New Roman"/>
                <w:sz w:val="21"/>
                <w:szCs w:val="21"/>
                <w:lang w:eastAsia="zh-CN"/>
              </w:rPr>
            </w:pPr>
            <w:r>
              <w:rPr>
                <w:rFonts w:hint="eastAsia" w:eastAsia="楷体" w:cs="Times New Roman"/>
                <w:sz w:val="21"/>
                <w:szCs w:val="21"/>
                <w:lang w:eastAsia="zh-CN"/>
              </w:rPr>
              <w:t>通过该模式的系统推进，学生创新实践能力显著增强，全年在各级各类竞赛中获奖54项，获国家实用新型专利9项、发明专利2项，创业项目年营业额突破50余万元，有力支撑了学校高质量发展与育人成效提升。</w:t>
            </w:r>
          </w:p>
          <w:p w14:paraId="59003AB8">
            <w:pPr>
              <w:spacing w:line="240" w:lineRule="auto"/>
              <w:jc w:val="center"/>
              <w:rPr>
                <w:sz w:val="21"/>
                <w:szCs w:val="21"/>
                <w:lang w:eastAsia="zh-CN"/>
              </w:rPr>
            </w:pPr>
            <w:r>
              <w:rPr>
                <w:sz w:val="21"/>
                <w:szCs w:val="21"/>
                <w:lang w:eastAsia="zh-CN"/>
              </w:rPr>
              <w:drawing>
                <wp:inline distT="0" distB="0" distL="114300" distR="114300">
                  <wp:extent cx="3780155" cy="2350135"/>
                  <wp:effectExtent l="0" t="0" r="8890" b="3175"/>
                  <wp:docPr id="37"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descr="图片2"/>
                          <pic:cNvPicPr>
                            <a:picLocks noChangeAspect="1"/>
                          </pic:cNvPicPr>
                        </pic:nvPicPr>
                        <pic:blipFill>
                          <a:blip r:embed="rId29"/>
                          <a:srcRect l="4666" r="5209"/>
                          <a:stretch>
                            <a:fillRect/>
                          </a:stretch>
                        </pic:blipFill>
                        <pic:spPr>
                          <a:xfrm>
                            <a:off x="0" y="0"/>
                            <a:ext cx="3780155" cy="2350135"/>
                          </a:xfrm>
                          <a:prstGeom prst="rect">
                            <a:avLst/>
                          </a:prstGeom>
                          <a:noFill/>
                          <a:ln>
                            <a:noFill/>
                          </a:ln>
                        </pic:spPr>
                      </pic:pic>
                    </a:graphicData>
                  </a:graphic>
                </wp:inline>
              </w:drawing>
            </w:r>
          </w:p>
          <w:p w14:paraId="78D99708">
            <w:pPr>
              <w:pStyle w:val="7"/>
              <w:rPr>
                <w:sz w:val="21"/>
                <w:szCs w:val="21"/>
              </w:rPr>
            </w:pPr>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14</w:t>
            </w:r>
            <w:r>
              <w:rPr>
                <w:sz w:val="21"/>
                <w:szCs w:val="21"/>
              </w:rPr>
              <w:fldChar w:fldCharType="end"/>
            </w:r>
            <w:bookmarkStart w:id="103" w:name="_Toc1037"/>
            <w:r>
              <w:rPr>
                <w:rFonts w:hint="eastAsia"/>
                <w:sz w:val="21"/>
                <w:szCs w:val="21"/>
                <w:lang w:val="en-US" w:eastAsia="zh-CN"/>
              </w:rPr>
              <w:t xml:space="preserve">  </w:t>
            </w:r>
            <w:r>
              <w:rPr>
                <w:rFonts w:hint="eastAsia"/>
                <w:sz w:val="21"/>
                <w:szCs w:val="21"/>
              </w:rPr>
              <w:t>重庆市九龙坡职业教育中心</w:t>
            </w:r>
            <w:r>
              <w:rPr>
                <w:rFonts w:hint="eastAsia"/>
                <w:sz w:val="21"/>
                <w:szCs w:val="21"/>
                <w:lang w:eastAsia="zh-CN"/>
              </w:rPr>
              <w:t>学生</w:t>
            </w:r>
            <w:r>
              <w:rPr>
                <w:rFonts w:hint="eastAsia"/>
                <w:sz w:val="21"/>
                <w:szCs w:val="21"/>
              </w:rPr>
              <w:t>参加重庆市创新创业大赛获一等奖</w:t>
            </w:r>
            <w:bookmarkEnd w:id="103"/>
          </w:p>
        </w:tc>
      </w:tr>
    </w:tbl>
    <w:p w14:paraId="6B871EC9">
      <w:pPr>
        <w:rPr>
          <w:lang w:eastAsia="zh-CN"/>
        </w:rPr>
      </w:pPr>
      <w:bookmarkStart w:id="104" w:name="bookmark47"/>
      <w:bookmarkEnd w:id="104"/>
    </w:p>
    <w:p w14:paraId="39B4F962">
      <w:pPr>
        <w:ind w:firstLine="480" w:firstLineChars="200"/>
        <w:rPr>
          <w:lang w:eastAsia="zh-CN"/>
        </w:rPr>
        <w:sectPr>
          <w:pgSz w:w="11905" w:h="16838"/>
          <w:pgMar w:top="1701" w:right="1701" w:bottom="1701" w:left="1701" w:header="1134" w:footer="1134" w:gutter="0"/>
          <w:cols w:space="0" w:num="1"/>
          <w:docGrid w:type="lines" w:linePitch="327" w:charSpace="0"/>
        </w:sectPr>
      </w:pPr>
    </w:p>
    <w:p w14:paraId="6ED001E2">
      <w:pPr>
        <w:pStyle w:val="2"/>
        <w:spacing w:before="654" w:after="654"/>
        <w:rPr>
          <w:lang w:eastAsia="zh-CN"/>
        </w:rPr>
      </w:pPr>
      <w:bookmarkStart w:id="105" w:name="_Toc30542"/>
      <w:r>
        <w:rPr>
          <w:rFonts w:hint="eastAsia"/>
          <w:lang w:eastAsia="zh-CN"/>
        </w:rPr>
        <w:t xml:space="preserve">3 </w:t>
      </w:r>
      <w:r>
        <w:rPr>
          <w:lang w:eastAsia="zh-CN"/>
        </w:rPr>
        <w:t>服务贡献</w:t>
      </w:r>
      <w:bookmarkEnd w:id="105"/>
    </w:p>
    <w:p w14:paraId="3CE540C6">
      <w:pPr>
        <w:pStyle w:val="3"/>
        <w:spacing w:before="327" w:after="327"/>
      </w:pPr>
      <w:bookmarkStart w:id="106" w:name="bookmark53"/>
      <w:bookmarkEnd w:id="106"/>
      <w:bookmarkStart w:id="107" w:name="bookmark52"/>
      <w:bookmarkEnd w:id="107"/>
      <w:bookmarkStart w:id="108" w:name="bookmark190"/>
      <w:bookmarkEnd w:id="108"/>
      <w:bookmarkStart w:id="109" w:name="_Toc19820"/>
      <w:r>
        <w:rPr>
          <w:rFonts w:hint="eastAsia"/>
        </w:rPr>
        <w:t>3</w:t>
      </w:r>
      <w:r>
        <w:t xml:space="preserve">.1 </w:t>
      </w:r>
      <w:r>
        <w:rPr>
          <w:rFonts w:hint="eastAsia" w:ascii="方正黑体_GBK" w:hAnsi="方正黑体_GBK" w:eastAsia="方正黑体_GBK" w:cs="方正黑体_GBK"/>
        </w:rPr>
        <w:t>服务行业企业</w:t>
      </w:r>
      <w:bookmarkEnd w:id="109"/>
    </w:p>
    <w:p w14:paraId="41F2C791">
      <w:pPr>
        <w:ind w:firstLine="480" w:firstLineChars="200"/>
        <w:rPr>
          <w:lang w:eastAsia="zh-CN"/>
        </w:rPr>
      </w:pPr>
      <w:r>
        <w:rPr>
          <w:rFonts w:hint="eastAsia"/>
          <w:lang w:eastAsia="zh-CN"/>
        </w:rPr>
        <w:t>2025年，全区中职学校积极发挥专业优势、人才优势，开展科技研发和应用服务，推动科研成果转化与应用。重庆市九龙坡职业教育中心</w:t>
      </w:r>
      <w:r>
        <w:rPr>
          <w:lang w:eastAsia="zh-CN"/>
        </w:rPr>
        <w:t>通过精准对接产业需求，动态优化专业结构，为长城汽车、本酷科技等对口合作企业输送136名优秀技术技能人才</w:t>
      </w:r>
      <w:r>
        <w:rPr>
          <w:rFonts w:hint="eastAsia"/>
          <w:lang w:eastAsia="zh-CN"/>
        </w:rPr>
        <w:t>，</w:t>
      </w:r>
      <w:r>
        <w:rPr>
          <w:lang w:eastAsia="zh-CN"/>
        </w:rPr>
        <w:t>面向乡村开展</w:t>
      </w:r>
      <w:r>
        <w:rPr>
          <w:rFonts w:hint="eastAsia"/>
          <w:lang w:eastAsia="zh-CN"/>
        </w:rPr>
        <w:t>“</w:t>
      </w:r>
      <w:r>
        <w:rPr>
          <w:lang w:eastAsia="zh-CN"/>
        </w:rPr>
        <w:t>农民电商直播</w:t>
      </w:r>
      <w:r>
        <w:rPr>
          <w:rFonts w:hint="eastAsia"/>
          <w:lang w:eastAsia="zh-CN"/>
        </w:rPr>
        <w:t>”</w:t>
      </w:r>
      <w:r>
        <w:rPr>
          <w:lang w:eastAsia="zh-CN"/>
        </w:rPr>
        <w:t>等技能提升培训，面向企业开展岗位能力强化培训，2025年度横向技非学历培训到账经费32.946万元。重庆市工艺美术学校</w:t>
      </w:r>
      <w:r>
        <w:rPr>
          <w:rFonts w:hint="eastAsia"/>
          <w:lang w:eastAsia="zh-CN"/>
        </w:rPr>
        <w:t>开展中石化服务技能培训、九龙坡区教师职业礼仪培训等一系列培训项目，</w:t>
      </w:r>
      <w:r>
        <w:rPr>
          <w:lang w:eastAsia="zh-CN"/>
        </w:rPr>
        <w:t>瞄准文化产业发展需求变化，推动</w:t>
      </w:r>
      <w:r>
        <w:rPr>
          <w:rFonts w:hint="eastAsia"/>
          <w:lang w:eastAsia="zh-CN"/>
        </w:rPr>
        <w:t>教学与创作深度融合</w:t>
      </w:r>
      <w:r>
        <w:rPr>
          <w:lang w:eastAsia="zh-CN"/>
        </w:rPr>
        <w:t>，出版</w:t>
      </w:r>
      <w:r>
        <w:rPr>
          <w:rFonts w:hint="eastAsia"/>
          <w:lang w:eastAsia="zh-CN"/>
        </w:rPr>
        <w:t>《李冰斗蛟》等</w:t>
      </w:r>
      <w:r>
        <w:rPr>
          <w:lang w:eastAsia="zh-CN"/>
        </w:rPr>
        <w:t>50余本漫画集，创作雕塑作品、烙画作品</w:t>
      </w:r>
      <w:r>
        <w:rPr>
          <w:rFonts w:hint="eastAsia"/>
          <w:lang w:eastAsia="zh-CN"/>
        </w:rPr>
        <w:t>，为文化产业的繁荣发展注入了新的活力。重庆建筑高级技工学校</w:t>
      </w:r>
      <w:r>
        <w:rPr>
          <w:lang w:eastAsia="zh-CN"/>
        </w:rPr>
        <w:t>邀请高校教师、优秀企业管理人员、高技能人才组成权威师资团队，</w:t>
      </w:r>
      <w:r>
        <w:rPr>
          <w:rFonts w:hint="eastAsia"/>
          <w:lang w:eastAsia="zh-CN"/>
        </w:rPr>
        <w:t>全年开展</w:t>
      </w:r>
      <w:r>
        <w:rPr>
          <w:lang w:eastAsia="zh-CN"/>
        </w:rPr>
        <w:t>住建</w:t>
      </w:r>
      <w:r>
        <w:rPr>
          <w:rFonts w:hint="eastAsia"/>
          <w:lang w:eastAsia="zh-CN"/>
        </w:rPr>
        <w:t>、应急等多</w:t>
      </w:r>
      <w:r>
        <w:rPr>
          <w:lang w:eastAsia="zh-CN"/>
        </w:rPr>
        <w:t>领域培训</w:t>
      </w:r>
      <w:r>
        <w:rPr>
          <w:rFonts w:hint="eastAsia"/>
          <w:lang w:eastAsia="zh-CN"/>
        </w:rPr>
        <w:t>16903</w:t>
      </w:r>
      <w:r>
        <w:rPr>
          <w:lang w:eastAsia="zh-CN"/>
        </w:rPr>
        <w:t>人次</w:t>
      </w:r>
      <w:r>
        <w:rPr>
          <w:rFonts w:hint="eastAsia"/>
          <w:lang w:eastAsia="zh-CN"/>
        </w:rPr>
        <w:t>，</w:t>
      </w:r>
      <w:r>
        <w:rPr>
          <w:lang w:eastAsia="zh-CN"/>
        </w:rPr>
        <w:t>服务行业企业发展。</w:t>
      </w:r>
    </w:p>
    <w:p w14:paraId="2AF275D0">
      <w:pPr>
        <w:pStyle w:val="7"/>
        <w:ind w:left="1850" w:leftChars="200" w:hanging="1370" w:hangingChars="650"/>
        <w:jc w:val="center"/>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12</w:t>
      </w:r>
      <w:r>
        <w:rPr>
          <w:rFonts w:hint="default" w:ascii="Times New Roman" w:hAnsi="Times New Roman" w:eastAsia="黑体" w:cs="Times New Roman"/>
          <w:b/>
          <w:bCs/>
          <w:color w:val="2E54A1" w:themeColor="accent1" w:themeShade="BF"/>
          <w:sz w:val="21"/>
          <w:szCs w:val="21"/>
        </w:rPr>
        <w:fldChar w:fldCharType="end"/>
      </w:r>
      <w:bookmarkStart w:id="110" w:name="_Toc19847"/>
      <w:r>
        <w:rPr>
          <w:rFonts w:hint="default" w:ascii="Times New Roman" w:hAnsi="Times New Roman" w:eastAsia="黑体" w:cs="Times New Roman"/>
          <w:b/>
          <w:bCs/>
          <w:color w:val="2E54A1" w:themeColor="accent1" w:themeShade="BF"/>
          <w:sz w:val="21"/>
          <w:szCs w:val="21"/>
        </w:rPr>
        <w:t>】  重庆市工艺美术学校系统推进文创产品研发</w:t>
      </w:r>
      <w:bookmarkEnd w:id="110"/>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2283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170932EE">
            <w:pPr>
              <w:ind w:firstLine="420" w:firstLineChars="200"/>
              <w:rPr>
                <w:rFonts w:eastAsia="楷体" w:cs="Times New Roman"/>
                <w:sz w:val="21"/>
                <w:szCs w:val="21"/>
                <w:lang w:eastAsia="zh-CN"/>
              </w:rPr>
            </w:pPr>
            <w:r>
              <w:rPr>
                <w:rFonts w:hint="eastAsia" w:eastAsia="楷体" w:cs="Times New Roman"/>
                <w:sz w:val="21"/>
                <w:szCs w:val="21"/>
                <w:lang w:eastAsia="zh-CN"/>
              </w:rPr>
              <w:t>学校聚焦文创产品研发与转化，构建了以名师为核心、项目为载体、教学为依托的系统化实践路径。一是建立“名师领衔”创作机制，鼓励专业教师发挥专长参与重大文化工程，林敏老师承担人教版小学英语教材插图绘制任务，将学校专业能力直接服务于国家基础教育，提升了公共审美教育的覆盖面和影响力。二是打造“国家馆藏级”作品培育路径，支持教师深耕主题创作并申报高层次收藏，张俊德老师的雕塑作品《法家韩非子》入选国家级工程并被中国国家博物馆永久收藏，成为代表学校艺术高度的文化名片。三是推行“项目实战”驱动模式，积极对接产业前沿，支持教师团队参与《长安三万里》等头部影视项目的美术设计，通过真实商业项目检验教学成果、扩大学校行业声誉。四是构建“教研创展”一体化平台，在校内建设名师工作室与创作工坊，系统推动教师的项目经验、创作成果转化为教学案例与课程资源，形成“以创作带动教学、以教学反哺创作”的良性循环，持续提升师生创新能力和文创成果的社会转化效能。</w:t>
            </w:r>
          </w:p>
          <w:p w14:paraId="56F38550">
            <w:pPr>
              <w:rPr>
                <w:rFonts w:eastAsia="楷体" w:cs="Times New Roman"/>
                <w:sz w:val="21"/>
                <w:szCs w:val="21"/>
                <w:lang w:eastAsia="zh-CN"/>
              </w:rPr>
            </w:pPr>
          </w:p>
          <w:p w14:paraId="719EC059">
            <w:pPr>
              <w:rPr>
                <w:rFonts w:eastAsia="楷体" w:cs="Times New Roman"/>
                <w:sz w:val="21"/>
                <w:szCs w:val="21"/>
                <w:lang w:eastAsia="zh-CN"/>
              </w:rPr>
            </w:pPr>
          </w:p>
          <w:p w14:paraId="574E3862">
            <w:pPr>
              <w:spacing w:line="240" w:lineRule="auto"/>
              <w:jc w:val="center"/>
              <w:rPr>
                <w:sz w:val="21"/>
                <w:szCs w:val="21"/>
              </w:rPr>
            </w:pPr>
            <w:r>
              <w:rPr>
                <w:sz w:val="21"/>
                <w:szCs w:val="21"/>
              </w:rPr>
              <w:drawing>
                <wp:inline distT="0" distB="0" distL="0" distR="0">
                  <wp:extent cx="3599815" cy="2700655"/>
                  <wp:effectExtent l="0" t="0" r="5715" b="8890"/>
                  <wp:docPr id="76" name="IM 76"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 76" descr="C:/Users/Administrator/Desktop/图片1.png图片1"/>
                          <pic:cNvPicPr>
                            <a:picLocks noChangeAspect="1"/>
                          </pic:cNvPicPr>
                        </pic:nvPicPr>
                        <pic:blipFill>
                          <a:blip r:embed="rId30"/>
                          <a:srcRect t="7621" b="7621"/>
                          <a:stretch>
                            <a:fillRect/>
                          </a:stretch>
                        </pic:blipFill>
                        <pic:spPr>
                          <a:xfrm>
                            <a:off x="0" y="0"/>
                            <a:ext cx="3599815" cy="2700655"/>
                          </a:xfrm>
                          <a:prstGeom prst="rect">
                            <a:avLst/>
                          </a:prstGeom>
                        </pic:spPr>
                      </pic:pic>
                    </a:graphicData>
                  </a:graphic>
                </wp:inline>
              </w:drawing>
            </w:r>
          </w:p>
          <w:p w14:paraId="6ED5FE23">
            <w:pPr>
              <w:pStyle w:val="7"/>
              <w:rPr>
                <w:sz w:val="21"/>
                <w:szCs w:val="21"/>
              </w:rPr>
            </w:pPr>
            <w:bookmarkStart w:id="111" w:name="bookmark276"/>
            <w:bookmarkEnd w:id="111"/>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15</w:t>
            </w:r>
            <w:r>
              <w:rPr>
                <w:sz w:val="21"/>
                <w:szCs w:val="21"/>
              </w:rPr>
              <w:fldChar w:fldCharType="end"/>
            </w:r>
            <w:bookmarkStart w:id="112" w:name="_Toc25861"/>
            <w:r>
              <w:rPr>
                <w:rFonts w:hint="eastAsia"/>
                <w:sz w:val="21"/>
                <w:szCs w:val="21"/>
                <w:lang w:val="en-US" w:eastAsia="zh-CN"/>
              </w:rPr>
              <w:t xml:space="preserve">  重庆市工艺美术学校</w:t>
            </w:r>
            <w:r>
              <w:rPr>
                <w:rFonts w:hint="eastAsia"/>
                <w:sz w:val="21"/>
                <w:szCs w:val="21"/>
              </w:rPr>
              <w:t>张俊德老师作品《法家韩非》被中国国家博物馆永久收藏</w:t>
            </w:r>
            <w:bookmarkEnd w:id="112"/>
          </w:p>
        </w:tc>
      </w:tr>
    </w:tbl>
    <w:p w14:paraId="26DA67CC">
      <w:pPr>
        <w:pStyle w:val="3"/>
        <w:spacing w:before="327" w:after="327"/>
      </w:pPr>
      <w:bookmarkStart w:id="113" w:name="bookmark54"/>
      <w:bookmarkEnd w:id="113"/>
      <w:bookmarkStart w:id="114" w:name="bookmark130"/>
      <w:bookmarkEnd w:id="114"/>
      <w:bookmarkStart w:id="115" w:name="bookmark129"/>
      <w:bookmarkEnd w:id="115"/>
      <w:bookmarkStart w:id="116" w:name="_Toc29123"/>
      <w:r>
        <w:rPr>
          <w:rFonts w:hint="eastAsia"/>
        </w:rPr>
        <w:t xml:space="preserve">3.2 </w:t>
      </w:r>
      <w:r>
        <w:rPr>
          <w:rFonts w:hint="eastAsia" w:ascii="方正黑体_GBK" w:hAnsi="方正黑体_GBK" w:eastAsia="方正黑体_GBK" w:cs="方正黑体_GBK"/>
        </w:rPr>
        <w:t>服务地方发展</w:t>
      </w:r>
      <w:bookmarkEnd w:id="116"/>
    </w:p>
    <w:p w14:paraId="23CCC857">
      <w:pPr>
        <w:ind w:firstLine="480" w:firstLineChars="200"/>
        <w:rPr>
          <w:lang w:eastAsia="zh-CN"/>
        </w:rPr>
      </w:pPr>
      <w:r>
        <w:rPr>
          <w:rFonts w:hint="eastAsia"/>
          <w:lang w:eastAsia="zh-CN"/>
        </w:rPr>
        <w:t>2025年，重庆市九龙坡职业教育中心依托自身专业优势，为区域内30余所中小学提供涵盖智能制造、现代服务等领域的沉浸式实践体验服务，累计接待学生超过3000人次；持续深耕“大国小工匠”品牌，通过升级体验课程、引入全息投影与虚拟仿真等前沿技术，与九龙坡区中小学联合开展“职业体验月”活动8期，有效启蒙了青少年的职业梦想与工匠精神。重庆市工艺美术学校积极融入“九龙艺术半岛”建设，积极参与“遇见黄桷坪”、黄桷坪国际光影艺术节等大型艺术活动，承接金凤小学等中小学非遗体验活动，精心设计了剪纸、刺绣、陶艺等丰富多彩的非遗体验课程，累计接待学生达1000余人次。重庆舞蹈学校充分发挥舞蹈艺术专业优势，组织师生积极参与重庆市第十届中小学艺术展演活动，承担开幕式和闭幕式的重要演出任务，通过精心编排的舞蹈节目，为展演活动增添了艺术光彩。</w:t>
      </w:r>
    </w:p>
    <w:p w14:paraId="436DFF24">
      <w:pPr>
        <w:pStyle w:val="7"/>
        <w:ind w:left="1850" w:leftChars="200" w:hanging="1370" w:hangingChars="650"/>
        <w:jc w:val="center"/>
        <w:rPr>
          <w:rFonts w:hint="default" w:ascii="Times New Roman" w:hAnsi="Times New Roman" w:eastAsia="黑体" w:cs="Times New Roman"/>
          <w:b/>
          <w:bCs/>
          <w:color w:val="2E54A1" w:themeColor="accent1" w:themeShade="BF"/>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13</w:t>
      </w:r>
      <w:r>
        <w:rPr>
          <w:rFonts w:hint="default" w:ascii="Times New Roman" w:hAnsi="Times New Roman" w:eastAsia="黑体" w:cs="Times New Roman"/>
          <w:b/>
          <w:bCs/>
          <w:color w:val="2E54A1" w:themeColor="accent1" w:themeShade="BF"/>
          <w:sz w:val="21"/>
          <w:szCs w:val="21"/>
        </w:rPr>
        <w:fldChar w:fldCharType="end"/>
      </w:r>
      <w:bookmarkStart w:id="117" w:name="_Toc11101"/>
      <w:r>
        <w:rPr>
          <w:rFonts w:hint="default" w:ascii="Times New Roman" w:hAnsi="Times New Roman" w:eastAsia="黑体" w:cs="Times New Roman"/>
          <w:b/>
          <w:bCs/>
          <w:color w:val="2E54A1" w:themeColor="accent1" w:themeShade="BF"/>
          <w:sz w:val="21"/>
          <w:szCs w:val="21"/>
        </w:rPr>
        <w:t>】  重庆市九龙坡职业教育中心深耕</w:t>
      </w:r>
      <w:r>
        <w:rPr>
          <w:rFonts w:hint="eastAsia" w:eastAsia="黑体" w:cs="Times New Roman"/>
          <w:b/>
          <w:bCs/>
          <w:color w:val="2E54A1" w:themeColor="accent1" w:themeShade="BF"/>
          <w:sz w:val="21"/>
          <w:szCs w:val="21"/>
          <w:lang w:eastAsia="zh-CN"/>
        </w:rPr>
        <w:t>“</w:t>
      </w:r>
      <w:r>
        <w:rPr>
          <w:rFonts w:hint="default" w:ascii="Times New Roman" w:hAnsi="Times New Roman" w:eastAsia="黑体" w:cs="Times New Roman"/>
          <w:b/>
          <w:bCs/>
          <w:color w:val="2E54A1" w:themeColor="accent1" w:themeShade="BF"/>
          <w:sz w:val="21"/>
          <w:szCs w:val="21"/>
        </w:rPr>
        <w:t>大国小工匠</w:t>
      </w:r>
      <w:r>
        <w:rPr>
          <w:rFonts w:hint="eastAsia" w:eastAsia="黑体" w:cs="Times New Roman"/>
          <w:b/>
          <w:bCs/>
          <w:color w:val="2E54A1" w:themeColor="accent1" w:themeShade="BF"/>
          <w:sz w:val="21"/>
          <w:szCs w:val="21"/>
          <w:lang w:eastAsia="zh-CN"/>
        </w:rPr>
        <w:t>”</w:t>
      </w:r>
      <w:r>
        <w:rPr>
          <w:rFonts w:hint="default" w:ascii="Times New Roman" w:hAnsi="Times New Roman" w:eastAsia="黑体" w:cs="Times New Roman"/>
          <w:b/>
          <w:bCs/>
          <w:color w:val="2E54A1" w:themeColor="accent1" w:themeShade="BF"/>
          <w:sz w:val="21"/>
          <w:szCs w:val="21"/>
        </w:rPr>
        <w:t>活动</w:t>
      </w:r>
      <w:bookmarkEnd w:id="117"/>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1990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4B050FFD">
            <w:pPr>
              <w:ind w:firstLine="420" w:firstLineChars="200"/>
              <w:rPr>
                <w:rFonts w:eastAsia="楷体" w:cs="Times New Roman"/>
                <w:sz w:val="21"/>
                <w:szCs w:val="21"/>
                <w:lang w:eastAsia="zh-CN"/>
              </w:rPr>
            </w:pPr>
            <w:r>
              <w:rPr>
                <w:rFonts w:hint="eastAsia" w:eastAsia="楷体" w:cs="Times New Roman"/>
                <w:sz w:val="21"/>
                <w:szCs w:val="21"/>
                <w:lang w:eastAsia="zh-CN"/>
              </w:rPr>
              <w:t>为切实履行职业教育的社会服务功能，破解中小学劳动与职业启蒙教育瓶颈，学校充分发挥资源枢纽作用，系统构建了以“滋养职业理想、夯实素养根基”为核心的中小学社会实践育人模式。一是聚焦文化铸魂，点燃“小工匠”的职业理想之火。学校坚持将职业精神塑造融入育人全过程，一方面，深耕红色文化与工匠精神，深度整合区域红色遗迹、劳模事迹等资源，创编《匠心筑梦》等主题短剧6部，以鲜活事迹激发青少年的职业向往与报国情怀；另一方面，推动传统文化活态传承，依托学校智能制造、非遗工艺等优势专业，开发23门校本实践课程，让青少年在动手实践中感知工匠精神的时代价值。二是建强精锐师资，筑牢“小工匠”的成长支撑体系。着力打造一支“专兼结合、德技双馨”的实践导师队伍。对内实施“青蓝工程”，结成</w:t>
            </w:r>
            <w:r>
              <w:rPr>
                <w:rFonts w:hint="eastAsia" w:eastAsia="楷体" w:cs="Times New Roman"/>
                <w:color w:val="auto"/>
                <w:sz w:val="21"/>
                <w:szCs w:val="21"/>
                <w:lang w:val="en-US" w:eastAsia="zh-CN"/>
              </w:rPr>
              <w:t>20</w:t>
            </w:r>
            <w:r>
              <w:rPr>
                <w:rFonts w:hint="eastAsia" w:eastAsia="楷体" w:cs="Times New Roman"/>
                <w:sz w:val="21"/>
                <w:szCs w:val="21"/>
                <w:lang w:eastAsia="zh-CN"/>
              </w:rPr>
              <w:t>对帮扶对子，共同研发实践教学项目。对外广泛吸纳行业精英、技术能手、劳动模范等</w:t>
            </w:r>
            <w:r>
              <w:rPr>
                <w:rFonts w:hint="eastAsia" w:eastAsia="楷体" w:cs="Times New Roman"/>
                <w:sz w:val="21"/>
                <w:szCs w:val="21"/>
                <w:lang w:val="en-US" w:eastAsia="zh-CN"/>
              </w:rPr>
              <w:t>12</w:t>
            </w:r>
            <w:r>
              <w:rPr>
                <w:rFonts w:hint="eastAsia" w:eastAsia="楷体" w:cs="Times New Roman"/>
                <w:sz w:val="21"/>
                <w:szCs w:val="21"/>
                <w:lang w:eastAsia="zh-CN"/>
              </w:rPr>
              <w:t>人组建“校外导师团”，全年开展专题讲学与实操指导</w:t>
            </w:r>
            <w:r>
              <w:rPr>
                <w:rFonts w:hint="eastAsia" w:eastAsia="楷体" w:cs="Times New Roman"/>
                <w:sz w:val="21"/>
                <w:szCs w:val="21"/>
                <w:lang w:val="en-US" w:eastAsia="zh-CN"/>
              </w:rPr>
              <w:t>20</w:t>
            </w:r>
            <w:r>
              <w:rPr>
                <w:rFonts w:hint="eastAsia" w:eastAsia="楷体" w:cs="Times New Roman"/>
                <w:sz w:val="21"/>
                <w:szCs w:val="21"/>
                <w:lang w:eastAsia="zh-CN"/>
              </w:rPr>
              <w:t>余场。三是创新服务机制，实现“小工匠”的培养精准供给。为提升服务精准度，全年深入20余所合作学校开展调研，精准定制了23个主题实践课程包，实现合作学校“一键下单”、学校“48小时内”快速响应的全流程服务。本年度，学校成功将职业启蒙教育服务延伸至九龙坡区内外10余所中小学，累计惠及学生超3000名，问卷调研综合满意度高达98.5%，有效推动了普职教育的早期融通，为培育具备劳动精神与职业素养的“大国小匠”提供了可复制、可推广的实践范式。</w:t>
            </w:r>
          </w:p>
          <w:p w14:paraId="1C432ED0">
            <w:pPr>
              <w:spacing w:line="240" w:lineRule="auto"/>
              <w:jc w:val="center"/>
              <w:rPr>
                <w:sz w:val="21"/>
                <w:szCs w:val="21"/>
                <w:lang w:eastAsia="zh-CN"/>
              </w:rPr>
            </w:pPr>
            <w:r>
              <w:rPr>
                <w:rFonts w:hint="eastAsia"/>
                <w:sz w:val="21"/>
                <w:szCs w:val="21"/>
                <w:lang w:eastAsia="zh-CN"/>
              </w:rPr>
              <w:drawing>
                <wp:inline distT="0" distB="0" distL="114300" distR="114300">
                  <wp:extent cx="3599815" cy="2327910"/>
                  <wp:effectExtent l="0" t="0" r="5715" b="3810"/>
                  <wp:docPr id="5" name="图片 5" descr="微信图片_2024120119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1201191701"/>
                          <pic:cNvPicPr>
                            <a:picLocks noChangeAspect="1"/>
                          </pic:cNvPicPr>
                        </pic:nvPicPr>
                        <pic:blipFill>
                          <a:blip r:embed="rId31"/>
                          <a:stretch>
                            <a:fillRect/>
                          </a:stretch>
                        </pic:blipFill>
                        <pic:spPr>
                          <a:xfrm>
                            <a:off x="0" y="0"/>
                            <a:ext cx="3599815" cy="2327910"/>
                          </a:xfrm>
                          <a:prstGeom prst="rect">
                            <a:avLst/>
                          </a:prstGeom>
                        </pic:spPr>
                      </pic:pic>
                    </a:graphicData>
                  </a:graphic>
                </wp:inline>
              </w:drawing>
            </w:r>
          </w:p>
          <w:p w14:paraId="58679A22">
            <w:pPr>
              <w:pStyle w:val="7"/>
              <w:rPr>
                <w:sz w:val="21"/>
                <w:szCs w:val="21"/>
              </w:rPr>
            </w:pPr>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16</w:t>
            </w:r>
            <w:r>
              <w:rPr>
                <w:sz w:val="21"/>
                <w:szCs w:val="21"/>
              </w:rPr>
              <w:fldChar w:fldCharType="end"/>
            </w:r>
            <w:bookmarkStart w:id="118" w:name="_Toc26394"/>
            <w:r>
              <w:rPr>
                <w:rFonts w:hint="eastAsia"/>
                <w:sz w:val="21"/>
                <w:szCs w:val="21"/>
                <w:lang w:val="en-US" w:eastAsia="zh-CN"/>
              </w:rPr>
              <w:t xml:space="preserve">  </w:t>
            </w:r>
            <w:r>
              <w:rPr>
                <w:rFonts w:hint="eastAsia"/>
                <w:sz w:val="21"/>
                <w:szCs w:val="21"/>
              </w:rPr>
              <w:t>重庆舞蹈学校</w:t>
            </w:r>
            <w:r>
              <w:rPr>
                <w:rFonts w:hint="eastAsia"/>
                <w:sz w:val="21"/>
                <w:szCs w:val="21"/>
                <w:lang w:eastAsia="zh-CN"/>
              </w:rPr>
              <w:t>学生</w:t>
            </w:r>
            <w:r>
              <w:rPr>
                <w:rFonts w:hint="eastAsia"/>
                <w:sz w:val="21"/>
                <w:szCs w:val="21"/>
              </w:rPr>
              <w:t>参加重庆市第十届中小学艺术展演开幕式</w:t>
            </w:r>
            <w:bookmarkEnd w:id="118"/>
          </w:p>
        </w:tc>
      </w:tr>
    </w:tbl>
    <w:p w14:paraId="675B144A">
      <w:pPr>
        <w:pStyle w:val="3"/>
        <w:bidi w:val="0"/>
      </w:pPr>
      <w:bookmarkStart w:id="119" w:name="bookmark192"/>
      <w:bookmarkEnd w:id="119"/>
      <w:bookmarkStart w:id="120" w:name="bookmark55"/>
      <w:bookmarkEnd w:id="120"/>
      <w:bookmarkStart w:id="121" w:name="_Toc9949"/>
      <w:r>
        <w:rPr>
          <w:rFonts w:hint="eastAsia"/>
        </w:rPr>
        <w:t>3</w:t>
      </w:r>
      <w:r>
        <w:t xml:space="preserve">.3 </w:t>
      </w:r>
      <w:r>
        <w:rPr>
          <w:rFonts w:hint="eastAsia" w:ascii="方正黑体_GBK" w:hAnsi="方正黑体_GBK" w:eastAsia="方正黑体_GBK" w:cs="方正黑体_GBK"/>
        </w:rPr>
        <w:t>服务国家战略</w:t>
      </w:r>
      <w:bookmarkEnd w:id="121"/>
    </w:p>
    <w:p w14:paraId="2C264296">
      <w:pPr>
        <w:ind w:firstLine="480" w:firstLineChars="200"/>
        <w:rPr>
          <w:lang w:eastAsia="zh-CN"/>
        </w:rPr>
      </w:pPr>
      <w:r>
        <w:rPr>
          <w:rFonts w:hint="eastAsia"/>
          <w:lang w:eastAsia="zh-CN"/>
        </w:rPr>
        <w:t>本年度，重庆市九龙坡职业教育中心围绕成渝地区双城经济圈建设等国家战略，与四川大英县等5个县和西彭镇等19个镇街建立合作关系，重点围绕电商直播、旅游管理、烹饪等优势专业，开展社会培训10余场次，送教21场次。重庆建筑高级技工学校进一步探索与“一带一路”沿线国家技能合作与培训工作，与印尼阿斯特拉理工学院签署教育合作备忘录，承接香港建造学院世界技能大赛瓷砖贴面项目培训工作，助力大湾区技能人才培养。重庆市工艺美术学校派出4名教师，到城口县参加乡村教育人才“组团式”帮扶，2025年7月，姚红等3名支教教师受到市委组织部表彰。</w:t>
      </w:r>
    </w:p>
    <w:p w14:paraId="0EE32248">
      <w:pPr>
        <w:pStyle w:val="7"/>
        <w:ind w:left="1850" w:leftChars="200" w:hanging="1370" w:hangingChars="650"/>
        <w:jc w:val="center"/>
        <w:rPr>
          <w:rFonts w:hint="default" w:ascii="Times New Roman" w:hAnsi="Times New Roman" w:eastAsia="黑体" w:cs="Times New Roman"/>
          <w:b/>
          <w:bCs/>
          <w:color w:val="2E54A1" w:themeColor="accent1" w:themeShade="BF"/>
          <w:sz w:val="21"/>
          <w:szCs w:val="21"/>
        </w:rPr>
      </w:pPr>
      <w:bookmarkStart w:id="122" w:name="_Toc11181"/>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14</w:t>
      </w:r>
      <w:r>
        <w:rPr>
          <w:rFonts w:hint="default" w:ascii="Times New Roman" w:hAnsi="Times New Roman" w:eastAsia="黑体" w:cs="Times New Roman"/>
          <w:b/>
          <w:bCs/>
          <w:color w:val="2E54A1" w:themeColor="accent1" w:themeShade="BF"/>
          <w:sz w:val="21"/>
          <w:szCs w:val="21"/>
        </w:rPr>
        <w:fldChar w:fldCharType="end"/>
      </w:r>
      <w:bookmarkStart w:id="123" w:name="_Toc27975"/>
      <w:r>
        <w:rPr>
          <w:rFonts w:hint="default" w:ascii="Times New Roman" w:hAnsi="Times New Roman" w:eastAsia="黑体" w:cs="Times New Roman"/>
          <w:b/>
          <w:bCs/>
          <w:color w:val="2E54A1" w:themeColor="accent1" w:themeShade="BF"/>
          <w:sz w:val="21"/>
          <w:szCs w:val="21"/>
        </w:rPr>
        <w:t>】  重庆建筑高级技工学校定制培训助力大湾区技能人才培育</w:t>
      </w:r>
      <w:bookmarkEnd w:id="123"/>
    </w:p>
    <w:bookmarkEnd w:id="122"/>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0EBD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58AA0CE6">
            <w:pPr>
              <w:ind w:firstLine="420" w:firstLineChars="200"/>
              <w:rPr>
                <w:sz w:val="21"/>
                <w:szCs w:val="21"/>
                <w:lang w:eastAsia="zh-CN"/>
              </w:rPr>
            </w:pPr>
            <w:bookmarkStart w:id="124" w:name="_Toc7428"/>
            <w:r>
              <w:rPr>
                <w:rFonts w:hint="eastAsia" w:eastAsia="楷体" w:cs="Times New Roman"/>
                <w:sz w:val="21"/>
                <w:szCs w:val="21"/>
                <w:lang w:eastAsia="zh-CN"/>
              </w:rPr>
              <w:t>为响应大湾区技能人才协同培育号召，解决香港建造学院在瓷砖贴面项目中选手技能提升瓶颈与世赛备赛经验不足的问题，适配大湾区建筑行业高质量发展需求，学校充分利用世界技能大赛中国集训基地资源优势和市级大师工作室人才优势，于2025年11月3日—15日承接香港建造学院专项培训任务，为其2名教练及3名选手开展12天定制化培训。培训中，学校大师工作室对标世赛标准设计方案，开放专业场地与设备，以“实操演示+分组训练+逐人指导”攻克技能难点；围绕世赛备赛全流程输出经验，组织“一对一”交流解答疑问。最终，香港选手实操精度与备赛能力显著提升，学校培养模式为对方填补经验空白，其带队教练高度认可学校实力，此次培训也为大湾区跨区域技能人才培育提供范例，同时启示地方技工院校可凭专业优势主动担当，以精准培训与长效协作助力大湾区技能人才队伍建设。</w:t>
            </w:r>
            <w:bookmarkEnd w:id="124"/>
          </w:p>
        </w:tc>
      </w:tr>
    </w:tbl>
    <w:p w14:paraId="20976C00">
      <w:pPr>
        <w:ind w:firstLine="480" w:firstLineChars="200"/>
        <w:rPr>
          <w:lang w:eastAsia="zh-CN"/>
        </w:rPr>
        <w:sectPr>
          <w:pgSz w:w="11905" w:h="16838"/>
          <w:pgMar w:top="1701" w:right="1701" w:bottom="1701" w:left="1701" w:header="1134" w:footer="1134" w:gutter="0"/>
          <w:cols w:space="0" w:num="1"/>
          <w:docGrid w:type="lines" w:linePitch="327" w:charSpace="0"/>
        </w:sectPr>
      </w:pPr>
      <w:bookmarkStart w:id="125" w:name="bookmark279"/>
      <w:bookmarkEnd w:id="125"/>
    </w:p>
    <w:p w14:paraId="6C16F9F7">
      <w:pPr>
        <w:pStyle w:val="2"/>
        <w:spacing w:before="654" w:after="654"/>
        <w:rPr>
          <w:lang w:eastAsia="zh-CN"/>
        </w:rPr>
      </w:pPr>
      <w:bookmarkStart w:id="126" w:name="_Toc7837"/>
      <w:r>
        <w:rPr>
          <w:rFonts w:hint="eastAsia"/>
          <w:lang w:eastAsia="zh-CN"/>
        </w:rPr>
        <w:t xml:space="preserve">4 </w:t>
      </w:r>
      <w:r>
        <w:rPr>
          <w:lang w:eastAsia="zh-CN"/>
        </w:rPr>
        <w:t>文化传承</w:t>
      </w:r>
      <w:bookmarkEnd w:id="126"/>
    </w:p>
    <w:p w14:paraId="48805AE3">
      <w:pPr>
        <w:pStyle w:val="3"/>
        <w:spacing w:before="327" w:after="327"/>
      </w:pPr>
      <w:bookmarkStart w:id="127" w:name="bookmark57"/>
      <w:bookmarkEnd w:id="127"/>
      <w:bookmarkStart w:id="128" w:name="bookmark56"/>
      <w:bookmarkEnd w:id="128"/>
      <w:bookmarkStart w:id="129" w:name="_Toc14820"/>
      <w:r>
        <w:rPr>
          <w:rFonts w:hint="eastAsia"/>
        </w:rPr>
        <w:t>4</w:t>
      </w:r>
      <w:r>
        <w:t xml:space="preserve">.1 </w:t>
      </w:r>
      <w:r>
        <w:rPr>
          <w:rFonts w:hint="eastAsia" w:ascii="方正黑体_GBK" w:hAnsi="方正黑体_GBK" w:eastAsia="方正黑体_GBK" w:cs="方正黑体_GBK"/>
        </w:rPr>
        <w:t>传承工匠精神</w:t>
      </w:r>
      <w:bookmarkEnd w:id="129"/>
    </w:p>
    <w:p w14:paraId="7F2B8E81">
      <w:pPr>
        <w:ind w:firstLine="480" w:firstLineChars="200"/>
        <w:rPr>
          <w:lang w:eastAsia="zh-CN"/>
        </w:rPr>
      </w:pPr>
      <w:r>
        <w:rPr>
          <w:rFonts w:hint="eastAsia"/>
          <w:lang w:eastAsia="zh-CN"/>
        </w:rPr>
        <w:t>全区中职学校坚持以培养新时代高素质技能人才为目标，将工匠精神全面融入人才培养全过程。重庆市九龙坡职业教育中心通过在专业课程中嵌入工匠精神案例，引入“大国工匠”进校园宣讲，开展“工匠精神与职业素养”专题教学；通过现代学徒制、校内合作企业等模式，让学生在企业实境中淬炼精湛技艺；开展“劳模工匠进校园”活动，设立大师工作室，通过非遗传承人、技术能手现场示范，营造“劳动光荣、技能宝贵、创造伟大”的校园氛围。重庆市工艺美术学校组织学生深入传统工艺作坊、非遗传承基地开展实地研学，通过沉浸式体验培养学生精益求精的工匠精神；开展校园工艺技能大赛、校园工匠之星评选活动，让学生通过比赛切磋技艺，通过活动提升技能水平。重庆建筑高级技工学校</w:t>
      </w:r>
      <w:r>
        <w:rPr>
          <w:lang w:eastAsia="zh-CN"/>
        </w:rPr>
        <w:t>将传承工匠精神融入教学实训的每一个环节，推行</w:t>
      </w:r>
      <w:r>
        <w:rPr>
          <w:rFonts w:hint="eastAsia"/>
          <w:lang w:eastAsia="zh-CN"/>
        </w:rPr>
        <w:t>“</w:t>
      </w:r>
      <w:r>
        <w:rPr>
          <w:lang w:eastAsia="zh-CN"/>
        </w:rPr>
        <w:t>师徒式</w:t>
      </w:r>
      <w:r>
        <w:rPr>
          <w:rFonts w:hint="eastAsia"/>
          <w:lang w:eastAsia="zh-CN"/>
        </w:rPr>
        <w:t>”</w:t>
      </w:r>
      <w:r>
        <w:rPr>
          <w:lang w:eastAsia="zh-CN"/>
        </w:rPr>
        <w:t>教学，让经验丰富的实训教师带着学生反复打磨砌墙、抹灰、管线安装等基础技能，搭建</w:t>
      </w:r>
      <w:r>
        <w:rPr>
          <w:rFonts w:hint="eastAsia"/>
          <w:lang w:eastAsia="zh-CN"/>
        </w:rPr>
        <w:t>“</w:t>
      </w:r>
      <w:r>
        <w:rPr>
          <w:lang w:eastAsia="zh-CN"/>
        </w:rPr>
        <w:t>工匠精神展示台</w:t>
      </w:r>
      <w:r>
        <w:rPr>
          <w:rFonts w:hint="eastAsia"/>
          <w:lang w:eastAsia="zh-CN"/>
        </w:rPr>
        <w:t>”</w:t>
      </w:r>
      <w:r>
        <w:rPr>
          <w:lang w:eastAsia="zh-CN"/>
        </w:rPr>
        <w:t>，每学期举办</w:t>
      </w:r>
      <w:r>
        <w:rPr>
          <w:rFonts w:hint="eastAsia"/>
          <w:lang w:eastAsia="zh-CN"/>
        </w:rPr>
        <w:t>“</w:t>
      </w:r>
      <w:r>
        <w:rPr>
          <w:lang w:eastAsia="zh-CN"/>
        </w:rPr>
        <w:t>砌筑技能大赛</w:t>
      </w:r>
      <w:r>
        <w:rPr>
          <w:rFonts w:hint="eastAsia"/>
          <w:lang w:eastAsia="zh-CN"/>
        </w:rPr>
        <w:t>”“</w:t>
      </w:r>
      <w:r>
        <w:rPr>
          <w:lang w:eastAsia="zh-CN"/>
        </w:rPr>
        <w:t>BIM建模挑战赛</w:t>
      </w:r>
      <w:r>
        <w:rPr>
          <w:rFonts w:hint="eastAsia"/>
          <w:lang w:eastAsia="zh-CN"/>
        </w:rPr>
        <w:t>”</w:t>
      </w:r>
      <w:r>
        <w:rPr>
          <w:lang w:eastAsia="zh-CN"/>
        </w:rPr>
        <w:t>等特色赛事，让学生在比拼中锤炼技能、打磨匠心。</w:t>
      </w:r>
    </w:p>
    <w:p w14:paraId="4506D51D">
      <w:pPr>
        <w:spacing w:line="240" w:lineRule="auto"/>
        <w:jc w:val="center"/>
      </w:pPr>
      <w:r>
        <w:drawing>
          <wp:inline distT="0" distB="0" distL="0" distR="0">
            <wp:extent cx="3599815" cy="2400300"/>
            <wp:effectExtent l="0" t="0" r="5715" b="6985"/>
            <wp:docPr id="86" name="IM 86"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 86" descr="C:/Users/Administrator/Desktop/图片1.png图片1"/>
                    <pic:cNvPicPr>
                      <a:picLocks noChangeAspect="1"/>
                    </pic:cNvPicPr>
                  </pic:nvPicPr>
                  <pic:blipFill>
                    <a:blip r:embed="rId32"/>
                    <a:srcRect l="10305" r="10305"/>
                    <a:stretch>
                      <a:fillRect/>
                    </a:stretch>
                  </pic:blipFill>
                  <pic:spPr>
                    <a:xfrm>
                      <a:off x="0" y="0"/>
                      <a:ext cx="3599815" cy="2400300"/>
                    </a:xfrm>
                    <a:prstGeom prst="rect">
                      <a:avLst/>
                    </a:prstGeom>
                  </pic:spPr>
                </pic:pic>
              </a:graphicData>
            </a:graphic>
          </wp:inline>
        </w:drawing>
      </w:r>
    </w:p>
    <w:p w14:paraId="322A82E4">
      <w:pPr>
        <w:pStyle w:val="7"/>
        <w:rPr>
          <w:rFonts w:hint="eastAsia" w:eastAsia="楷体"/>
          <w:lang w:eastAsia="zh-CN"/>
        </w:rPr>
      </w:pPr>
      <w:bookmarkStart w:id="130" w:name="bookmark195"/>
      <w:bookmarkEnd w:id="130"/>
      <w:bookmarkStart w:id="131" w:name="bookmark196"/>
      <w:bookmarkEnd w:id="131"/>
      <w:r>
        <w:t>图</w:t>
      </w:r>
      <w:r>
        <w:fldChar w:fldCharType="begin"/>
      </w:r>
      <w:r>
        <w:instrText xml:space="preserve"> SEQ 图 \* ARABIC </w:instrText>
      </w:r>
      <w:r>
        <w:fldChar w:fldCharType="separate"/>
      </w:r>
      <w:r>
        <w:t>17</w:t>
      </w:r>
      <w:r>
        <w:fldChar w:fldCharType="end"/>
      </w:r>
      <w:bookmarkStart w:id="132" w:name="_Toc21144"/>
      <w:r>
        <w:rPr>
          <w:rFonts w:hint="eastAsia"/>
          <w:lang w:val="en-US" w:eastAsia="zh-CN"/>
        </w:rPr>
        <w:t xml:space="preserve">  </w:t>
      </w:r>
      <w:r>
        <w:rPr>
          <w:rFonts w:hint="eastAsia"/>
        </w:rPr>
        <w:t>重庆市九龙坡职业教育中心</w:t>
      </w:r>
      <w:r>
        <w:t>大国工匠进校园</w:t>
      </w:r>
      <w:bookmarkEnd w:id="132"/>
      <w:r>
        <w:rPr>
          <w:rFonts w:hint="eastAsia"/>
          <w:lang w:eastAsia="zh-CN"/>
        </w:rPr>
        <w:t>活动</w:t>
      </w:r>
    </w:p>
    <w:p w14:paraId="23EC3800">
      <w:pPr>
        <w:rPr>
          <w:lang w:eastAsia="zh-CN"/>
        </w:rPr>
      </w:pPr>
    </w:p>
    <w:p w14:paraId="382D234E">
      <w:pPr>
        <w:rPr>
          <w:lang w:eastAsia="zh-CN"/>
        </w:rPr>
      </w:pPr>
    </w:p>
    <w:p w14:paraId="36B02FDE">
      <w:pPr>
        <w:pStyle w:val="7"/>
        <w:ind w:left="1850" w:leftChars="200" w:hanging="1370" w:hangingChars="650"/>
        <w:jc w:val="center"/>
        <w:rPr>
          <w:sz w:val="21"/>
          <w:szCs w:val="21"/>
        </w:rPr>
      </w:pPr>
      <w:bookmarkStart w:id="133" w:name="bookmark281"/>
      <w:bookmarkEnd w:id="133"/>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15</w:t>
      </w:r>
      <w:r>
        <w:rPr>
          <w:rFonts w:hint="default" w:ascii="Times New Roman" w:hAnsi="Times New Roman" w:eastAsia="黑体" w:cs="Times New Roman"/>
          <w:b/>
          <w:bCs/>
          <w:color w:val="2E54A1" w:themeColor="accent1" w:themeShade="BF"/>
          <w:sz w:val="21"/>
          <w:szCs w:val="21"/>
        </w:rPr>
        <w:fldChar w:fldCharType="end"/>
      </w:r>
      <w:bookmarkStart w:id="134" w:name="_Toc28496"/>
      <w:r>
        <w:rPr>
          <w:rFonts w:hint="default" w:ascii="Times New Roman" w:hAnsi="Times New Roman" w:eastAsia="黑体" w:cs="Times New Roman"/>
          <w:b/>
          <w:bCs/>
          <w:color w:val="2E54A1" w:themeColor="accent1" w:themeShade="BF"/>
          <w:sz w:val="21"/>
          <w:szCs w:val="21"/>
        </w:rPr>
        <w:t xml:space="preserve">】  </w:t>
      </w:r>
      <w:r>
        <w:rPr>
          <w:rFonts w:eastAsia="黑体"/>
          <w:b/>
          <w:bCs/>
          <w:color w:val="2E54A1" w:themeColor="accent1" w:themeShade="BF"/>
          <w:sz w:val="21"/>
          <w:szCs w:val="21"/>
        </w:rPr>
        <w:t>重庆建筑高级技工学校以匠育匠 筑就匠心</w:t>
      </w:r>
      <w:bookmarkEnd w:id="134"/>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74C4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20292AE5">
            <w:pPr>
              <w:ind w:firstLine="420" w:firstLineChars="200"/>
              <w:rPr>
                <w:rFonts w:eastAsia="楷体" w:cs="Times New Roman"/>
                <w:sz w:val="21"/>
                <w:szCs w:val="21"/>
                <w:lang w:eastAsia="zh-CN"/>
              </w:rPr>
            </w:pPr>
            <w:r>
              <w:rPr>
                <w:rFonts w:hint="eastAsia" w:eastAsia="楷体" w:cs="Times New Roman"/>
                <w:sz w:val="21"/>
                <w:szCs w:val="21"/>
                <w:lang w:eastAsia="zh-CN"/>
              </w:rPr>
              <w:t>学校立足建筑行业特色，将工匠精神融入人才培养全链条，以“精工艺、强素养、育匠才”为目标，走出一条独具建筑特色的工匠精神传承之路。</w:t>
            </w:r>
          </w:p>
          <w:p w14:paraId="665F6576">
            <w:pPr>
              <w:ind w:firstLine="420" w:firstLineChars="200"/>
              <w:rPr>
                <w:sz w:val="21"/>
                <w:szCs w:val="21"/>
                <w:lang w:eastAsia="zh-CN"/>
              </w:rPr>
            </w:pPr>
            <w:r>
              <w:rPr>
                <w:rFonts w:hint="eastAsia" w:eastAsia="楷体" w:cs="Times New Roman"/>
                <w:sz w:val="21"/>
                <w:szCs w:val="21"/>
                <w:lang w:eastAsia="zh-CN"/>
              </w:rPr>
              <w:t>一是锚定培养目标，夯实匠心根基。学校明确“技能过硬+素养优良”的培养标准，将“每一道工序都经得起测量，每一个节点都经得起检验”的建筑行业要求，为人才培育找准方向。二是聚焦实践落地，培育匠艺本领。课程融“匠”：在《建筑施工技术》等专业课程中增设“工艺改良案例”模块，在思政课中开设“建筑工匠故事”专题，讲解工匠精神的实践价值。活动兴“匠”：每年举办“校园技能赛”，设置砌筑精度、图纸识读等竞技项目；定期邀请企业的“金牌工匠”进校，分享从学徒到技术骨干的成长经历，传递敬业坚守的力量。校企育“匠”：与本地20余家建筑企业共建实训基地，让学生参与真实项目建设，在“师傅带徒”的模式中锤炼专注品质，在技术攻关中培养创新意识。三是厚植匠心文化，收获育人成果。学校培养的毕业生中，多人成为企业技术骨干，并在相关领域推动工艺创新。其成功经验在于：以校园文化为载体，以产教融合为纽带，让工匠精神真正成为建筑学子的职业底色。</w:t>
            </w:r>
          </w:p>
        </w:tc>
      </w:tr>
    </w:tbl>
    <w:p w14:paraId="29704933">
      <w:pPr>
        <w:pStyle w:val="3"/>
        <w:spacing w:before="327" w:after="327"/>
      </w:pPr>
      <w:bookmarkStart w:id="135" w:name="bookmark59"/>
      <w:bookmarkEnd w:id="135"/>
      <w:bookmarkStart w:id="136" w:name="bookmark58"/>
      <w:bookmarkEnd w:id="136"/>
      <w:bookmarkStart w:id="137" w:name="_Toc18799"/>
      <w:r>
        <w:rPr>
          <w:rFonts w:hint="eastAsia"/>
        </w:rPr>
        <w:t>4</w:t>
      </w:r>
      <w:r>
        <w:t xml:space="preserve">.2 </w:t>
      </w:r>
      <w:r>
        <w:rPr>
          <w:rFonts w:hint="eastAsia" w:ascii="方正黑体_GBK" w:hAnsi="方正黑体_GBK" w:eastAsia="方正黑体_GBK" w:cs="方正黑体_GBK"/>
        </w:rPr>
        <w:t>传承红色文化</w:t>
      </w:r>
      <w:bookmarkEnd w:id="137"/>
    </w:p>
    <w:p w14:paraId="53B4F847">
      <w:pPr>
        <w:ind w:firstLine="480" w:firstLineChars="200"/>
        <w:rPr>
          <w:lang w:eastAsia="zh-CN"/>
        </w:rPr>
      </w:pPr>
      <w:bookmarkStart w:id="138" w:name="bookmark282"/>
      <w:bookmarkEnd w:id="138"/>
      <w:r>
        <w:rPr>
          <w:rFonts w:hint="eastAsia"/>
          <w:lang w:eastAsia="zh-CN"/>
        </w:rPr>
        <w:t>重庆市九龙坡职业教育中心深挖校史中的“红色基因”，广泛动员师生深度参与“学一次理论知识、敲一次自强警钟、听一个烈士故事、走一回文化遗址、做一轮志愿服务、写一篇心得体会”的“六个一”红色文化教育活动，利用身边的抗战文物——未爆的炸弹警示钟，对学生进行爱国主义教育，开学第一课“铭记历史，警钟长鸣”获央视新闻频道报道。重庆市工艺美术学校定期组织红色研学和主题团日活动，本年度累计组织100余名师生前往166舰、空军坟、抗战遗址博物馆等红色教育基地参观学习，以重要节日、纪念日为契机，深入开展“缅先烈、感党恩、报家国”主题团日活动7次。</w:t>
      </w:r>
      <w:bookmarkStart w:id="139" w:name="_Toc216365785"/>
      <w:bookmarkStart w:id="140" w:name="_Toc216363498"/>
      <w:bookmarkStart w:id="141" w:name="_Toc216364319"/>
      <w:r>
        <w:rPr>
          <w:rFonts w:hint="eastAsia"/>
          <w:lang w:eastAsia="zh-CN"/>
        </w:rPr>
        <w:t>重庆市聚英技工学校聚焦红岩精神等本地红色文化内核，精心策划“红色经典诵读”“纪念11·27缅怀革命英烈”“升国旗·颂祖国”等活动，组织师生观看《长津湖》《烈火中永生》等红色电影，让红色历史可感可触。</w:t>
      </w:r>
      <w:bookmarkEnd w:id="139"/>
      <w:bookmarkEnd w:id="140"/>
      <w:bookmarkEnd w:id="141"/>
    </w:p>
    <w:p w14:paraId="60A591F5">
      <w:pPr>
        <w:spacing w:line="240" w:lineRule="auto"/>
        <w:jc w:val="center"/>
        <w:rPr>
          <w:lang w:eastAsia="zh-CN"/>
        </w:rPr>
      </w:pPr>
      <w:r>
        <w:rPr>
          <w:rFonts w:hint="eastAsia"/>
          <w:lang w:eastAsia="zh-CN"/>
        </w:rPr>
        <w:drawing>
          <wp:inline distT="0" distB="0" distL="114300" distR="114300">
            <wp:extent cx="3780155" cy="2143125"/>
            <wp:effectExtent l="0" t="0" r="8890" b="508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33"/>
                    <a:stretch>
                      <a:fillRect/>
                    </a:stretch>
                  </pic:blipFill>
                  <pic:spPr>
                    <a:xfrm>
                      <a:off x="0" y="0"/>
                      <a:ext cx="3780155" cy="2143125"/>
                    </a:xfrm>
                    <a:prstGeom prst="rect">
                      <a:avLst/>
                    </a:prstGeom>
                  </pic:spPr>
                </pic:pic>
              </a:graphicData>
            </a:graphic>
          </wp:inline>
        </w:drawing>
      </w:r>
    </w:p>
    <w:p w14:paraId="4ADD5FDC">
      <w:pPr>
        <w:pStyle w:val="7"/>
      </w:pPr>
      <w:r>
        <w:t>图</w:t>
      </w:r>
      <w:r>
        <w:fldChar w:fldCharType="begin"/>
      </w:r>
      <w:r>
        <w:instrText xml:space="preserve"> SEQ 图 \* ARABIC </w:instrText>
      </w:r>
      <w:r>
        <w:fldChar w:fldCharType="separate"/>
      </w:r>
      <w:r>
        <w:t>18</w:t>
      </w:r>
      <w:r>
        <w:fldChar w:fldCharType="end"/>
      </w:r>
      <w:bookmarkStart w:id="142" w:name="_Toc20837"/>
      <w:r>
        <w:rPr>
          <w:rFonts w:hint="eastAsia"/>
          <w:lang w:val="en-US" w:eastAsia="zh-CN"/>
        </w:rPr>
        <w:t xml:space="preserve">  </w:t>
      </w:r>
      <w:r>
        <w:t>央视新闻报道</w:t>
      </w:r>
      <w:r>
        <w:rPr>
          <w:rFonts w:hint="eastAsia"/>
        </w:rPr>
        <w:t>重庆市九龙坡职业教育中心</w:t>
      </w:r>
      <w:r>
        <w:t>开学第一课</w:t>
      </w:r>
      <w:bookmarkEnd w:id="142"/>
    </w:p>
    <w:p w14:paraId="29B35E6E">
      <w:pPr>
        <w:pStyle w:val="7"/>
        <w:ind w:left="1850" w:leftChars="200" w:hanging="1370" w:hangingChars="650"/>
        <w:jc w:val="center"/>
        <w:rPr>
          <w:sz w:val="21"/>
          <w:szCs w:val="21"/>
        </w:rPr>
      </w:pPr>
      <w:bookmarkStart w:id="143" w:name="bookmark137"/>
      <w:bookmarkEnd w:id="143"/>
      <w:bookmarkStart w:id="144" w:name="bookmark283"/>
      <w:bookmarkEnd w:id="144"/>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16</w:t>
      </w:r>
      <w:r>
        <w:rPr>
          <w:rFonts w:hint="default" w:ascii="Times New Roman" w:hAnsi="Times New Roman" w:eastAsia="黑体" w:cs="Times New Roman"/>
          <w:b/>
          <w:bCs/>
          <w:color w:val="2E54A1" w:themeColor="accent1" w:themeShade="BF"/>
          <w:sz w:val="21"/>
          <w:szCs w:val="21"/>
        </w:rPr>
        <w:fldChar w:fldCharType="end"/>
      </w:r>
      <w:bookmarkStart w:id="145" w:name="_Toc19831"/>
      <w:r>
        <w:rPr>
          <w:rFonts w:hint="default" w:ascii="Times New Roman" w:hAnsi="Times New Roman" w:eastAsia="黑体" w:cs="Times New Roman"/>
          <w:b/>
          <w:bCs/>
          <w:color w:val="2E54A1" w:themeColor="accent1" w:themeShade="BF"/>
          <w:sz w:val="21"/>
          <w:szCs w:val="21"/>
        </w:rPr>
        <w:t xml:space="preserve">】  </w:t>
      </w:r>
      <w:r>
        <w:rPr>
          <w:rFonts w:eastAsia="黑体"/>
          <w:b/>
          <w:bCs/>
          <w:color w:val="2E54A1" w:themeColor="accent1" w:themeShade="BF"/>
          <w:sz w:val="21"/>
          <w:szCs w:val="21"/>
        </w:rPr>
        <w:t>重庆市九龙坡职业教育中心三维体系开展红色教育</w:t>
      </w:r>
      <w:bookmarkEnd w:id="145"/>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172E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613A5DD4">
            <w:pPr>
              <w:ind w:firstLine="420" w:firstLineChars="200"/>
              <w:rPr>
                <w:sz w:val="21"/>
                <w:szCs w:val="21"/>
                <w:lang w:eastAsia="zh-CN"/>
              </w:rPr>
            </w:pPr>
            <w:r>
              <w:rPr>
                <w:rFonts w:hint="eastAsia" w:eastAsia="楷体" w:cs="Times New Roman"/>
                <w:sz w:val="21"/>
                <w:szCs w:val="21"/>
                <w:lang w:eastAsia="zh-CN"/>
              </w:rPr>
              <w:t>为深化团员青年思想政治引领，校团委依托重庆丰富红色资源，策划“我的红岩行”主题活动，构建“理论+实践+宣讲”三维教育体系，引导青年传承红色基因、坚定理想信念，筑牢思想根基。一是理论沉浸学，赴红色基地前开展专题团日，通过领学红岩文献、观看革命影片、专题研讨，实现理论学习先行。二是实践体验学，锚定重大纪念日组织实地研学，清明节赴刘伯承故居等开展祭扫与入团仪式，1127烈士殉难日走进红岩革命纪念馆等开展实景团课。三是宣讲倾听学，依托升旗仪式、校园广播等阵地，举办红色演讲、手抄报评比，编排英烈事迹情景表演，搭建红色精神传播平台。活动形成“理论输入—实践内化—辐射影响”闭环，累计开展主题团日8场、实地研学5次，覆盖团青800余人；2025年举办红色演讲10余场，编排红岩情景表演3个，辐射全校师生。校园形成“人人学红岩、个个讲红色”氛围，团青思想觉悟与使命担当显著增强，活动经验获上级团委肯定。</w:t>
            </w:r>
          </w:p>
        </w:tc>
      </w:tr>
    </w:tbl>
    <w:p w14:paraId="6B13A590">
      <w:pPr>
        <w:pStyle w:val="3"/>
        <w:spacing w:before="327" w:after="327"/>
      </w:pPr>
      <w:bookmarkStart w:id="146" w:name="bookmark61"/>
      <w:bookmarkEnd w:id="146"/>
      <w:bookmarkStart w:id="147" w:name="bookmark199"/>
      <w:bookmarkEnd w:id="147"/>
      <w:bookmarkStart w:id="148" w:name="bookmark284"/>
      <w:bookmarkEnd w:id="148"/>
      <w:bookmarkStart w:id="149" w:name="bookmark60"/>
      <w:bookmarkEnd w:id="149"/>
      <w:bookmarkStart w:id="150" w:name="bookmark198"/>
      <w:bookmarkEnd w:id="150"/>
      <w:bookmarkStart w:id="151" w:name="_Toc31711"/>
      <w:r>
        <w:rPr>
          <w:rFonts w:hint="eastAsia"/>
        </w:rPr>
        <w:t>4</w:t>
      </w:r>
      <w:r>
        <w:t xml:space="preserve">.3 </w:t>
      </w:r>
      <w:r>
        <w:rPr>
          <w:rFonts w:hint="eastAsia" w:ascii="方正黑体_GBK" w:hAnsi="方正黑体_GBK" w:eastAsia="方正黑体_GBK" w:cs="方正黑体_GBK"/>
        </w:rPr>
        <w:t>传承中华优秀传统文化</w:t>
      </w:r>
      <w:bookmarkEnd w:id="151"/>
    </w:p>
    <w:p w14:paraId="6BC37D7F">
      <w:pPr>
        <w:ind w:firstLine="480" w:firstLineChars="200"/>
        <w:rPr>
          <w:lang w:eastAsia="zh-CN"/>
        </w:rPr>
      </w:pPr>
      <w:r>
        <w:rPr>
          <w:rFonts w:hint="eastAsia"/>
          <w:lang w:eastAsia="zh-CN"/>
        </w:rPr>
        <w:t>本年度，全区中职学校多渠道开展非遗文化进校园系列活动，传承中华优秀传统文化。重庆市工艺美术学校积极引进蜀绣市级非遗传承人向红霞、烙画非遗传承人张明志等非遗传承人，建立蜀绣、烙画、漆器、掐丝、剪纸等5个非遗工作室，为学生提供系统全面的非遗传承课程。重庆市九龙坡职业教育中心依托旅游专业双基地优势，搭建重庆融传非遗技艺传承中心，重点引入重庆摊摊面非遗项目，共建重庆市非遗小面产业学院，创新性地将职业教育技术技能人才特色培养与非遗传承保护有机融合。重庆舞蹈学校开设传统文化选修课程，举办重阳节专题讲座、传统艺术欣赏等活动，增进学生对传统文化的认知，结合传统节日，组织端午节包粽子、中秋节诗词创作等实践活动，让学生在体验中感悟传统文化魅力。</w:t>
      </w:r>
    </w:p>
    <w:p w14:paraId="45B25876">
      <w:pPr>
        <w:pStyle w:val="7"/>
        <w:ind w:left="1850" w:leftChars="200" w:hanging="1370" w:hangingChars="650"/>
        <w:jc w:val="center"/>
        <w:rPr>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17</w:t>
      </w:r>
      <w:r>
        <w:rPr>
          <w:rFonts w:hint="default" w:ascii="Times New Roman" w:hAnsi="Times New Roman" w:eastAsia="黑体" w:cs="Times New Roman"/>
          <w:b/>
          <w:bCs/>
          <w:color w:val="2E54A1" w:themeColor="accent1" w:themeShade="BF"/>
          <w:sz w:val="21"/>
          <w:szCs w:val="21"/>
        </w:rPr>
        <w:fldChar w:fldCharType="end"/>
      </w:r>
      <w:bookmarkStart w:id="152" w:name="_Toc32740"/>
      <w:r>
        <w:rPr>
          <w:rFonts w:hint="default" w:ascii="Times New Roman" w:hAnsi="Times New Roman" w:eastAsia="黑体" w:cs="Times New Roman"/>
          <w:b/>
          <w:bCs/>
          <w:color w:val="2E54A1" w:themeColor="accent1" w:themeShade="BF"/>
          <w:sz w:val="21"/>
          <w:szCs w:val="21"/>
        </w:rPr>
        <w:t xml:space="preserve">】  </w:t>
      </w:r>
      <w:r>
        <w:rPr>
          <w:rFonts w:eastAsia="黑体"/>
          <w:b/>
          <w:bCs/>
          <w:color w:val="2E54A1" w:themeColor="accent1" w:themeShade="BF"/>
          <w:sz w:val="21"/>
          <w:szCs w:val="21"/>
        </w:rPr>
        <w:t>重庆市工艺美术学校系统构建传统文化育人体系</w:t>
      </w:r>
      <w:bookmarkEnd w:id="152"/>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3BB1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65F89349">
            <w:pPr>
              <w:ind w:firstLine="420" w:firstLineChars="200"/>
              <w:rPr>
                <w:rFonts w:eastAsia="楷体" w:cs="Times New Roman"/>
                <w:sz w:val="21"/>
                <w:szCs w:val="21"/>
                <w:lang w:eastAsia="zh-CN"/>
              </w:rPr>
            </w:pPr>
            <w:r>
              <w:rPr>
                <w:rFonts w:hint="eastAsia" w:eastAsia="楷体" w:cs="Times New Roman"/>
                <w:sz w:val="21"/>
                <w:szCs w:val="21"/>
                <w:lang w:eastAsia="zh-CN"/>
              </w:rPr>
              <w:t>重庆市工艺美术学校立足地域文化特色，系统构建传统文化育人体系：一是课程与非遗深度融合，将蜀绣、树叶画、烙画等非遗技艺纳入专业课程，开发特色教材与数字资源库；二是师资实行“大师+教师”双导师制，聘请非遗传承人驻校共建工作室，确保技艺传承的原真性与创新性；三是开展项目化实践活动，组织学生参与黄桷坪涂鸦街传统元素绘制、博物馆纹样采集等“行走的美育课堂”；四是推动成果社会化转化，师生共创的文创产品多次获奖并成为外事礼品，年服务市民超2000人次；通过“传承-转化-创新”的系统实践，学校成功将传统文化资源转化为育人优势与专业特色。</w:t>
            </w:r>
          </w:p>
          <w:p w14:paraId="0C37515B">
            <w:pPr>
              <w:jc w:val="center"/>
              <w:rPr>
                <w:rFonts w:eastAsia="楷体" w:cs="Times New Roman"/>
                <w:sz w:val="21"/>
                <w:szCs w:val="21"/>
                <w:lang w:eastAsia="zh-CN"/>
              </w:rPr>
            </w:pPr>
            <w:r>
              <w:rPr>
                <w:rFonts w:hint="eastAsia" w:eastAsia="楷体" w:cs="Times New Roman"/>
                <w:sz w:val="21"/>
                <w:szCs w:val="21"/>
                <w:lang w:eastAsia="zh-CN"/>
              </w:rPr>
              <w:drawing>
                <wp:inline distT="0" distB="0" distL="0" distR="0">
                  <wp:extent cx="3599815" cy="2400935"/>
                  <wp:effectExtent l="0" t="0" r="5715" b="6350"/>
                  <wp:docPr id="92" name="IM 92"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 92" descr="C:/Users/Administrator/Desktop/图片3.png图片3"/>
                          <pic:cNvPicPr>
                            <a:picLocks noChangeAspect="1"/>
                          </pic:cNvPicPr>
                        </pic:nvPicPr>
                        <pic:blipFill>
                          <a:blip r:embed="rId34"/>
                          <a:srcRect l="93" r="93"/>
                          <a:stretch>
                            <a:fillRect/>
                          </a:stretch>
                        </pic:blipFill>
                        <pic:spPr>
                          <a:xfrm>
                            <a:off x="0" y="0"/>
                            <a:ext cx="3599815" cy="2400935"/>
                          </a:xfrm>
                          <a:prstGeom prst="rect">
                            <a:avLst/>
                          </a:prstGeom>
                        </pic:spPr>
                      </pic:pic>
                    </a:graphicData>
                  </a:graphic>
                </wp:inline>
              </w:drawing>
            </w:r>
          </w:p>
          <w:p w14:paraId="4138D0DF">
            <w:pPr>
              <w:pStyle w:val="7"/>
              <w:rPr>
                <w:sz w:val="21"/>
                <w:szCs w:val="21"/>
              </w:rPr>
            </w:pPr>
            <w:bookmarkStart w:id="153" w:name="bookmark286"/>
            <w:bookmarkEnd w:id="153"/>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19</w:t>
            </w:r>
            <w:r>
              <w:rPr>
                <w:sz w:val="21"/>
                <w:szCs w:val="21"/>
              </w:rPr>
              <w:fldChar w:fldCharType="end"/>
            </w:r>
            <w:bookmarkStart w:id="154" w:name="_Toc5480"/>
            <w:r>
              <w:rPr>
                <w:rFonts w:hint="eastAsia"/>
                <w:sz w:val="21"/>
                <w:szCs w:val="21"/>
                <w:lang w:val="en-US" w:eastAsia="zh-CN"/>
              </w:rPr>
              <w:t xml:space="preserve">  </w:t>
            </w:r>
            <w:r>
              <w:rPr>
                <w:rFonts w:hint="eastAsia"/>
                <w:sz w:val="21"/>
                <w:szCs w:val="21"/>
              </w:rPr>
              <w:t>四川省第三批职业院校紧缺领域教师技艺技能传承创新平台专家团与重庆市工艺美术学校教师交流非遗传承</w:t>
            </w:r>
            <w:bookmarkEnd w:id="154"/>
          </w:p>
        </w:tc>
      </w:tr>
    </w:tbl>
    <w:p w14:paraId="30EED8FB">
      <w:pPr>
        <w:pStyle w:val="3"/>
        <w:spacing w:before="327" w:after="327"/>
      </w:pPr>
      <w:bookmarkStart w:id="155" w:name="bookmark200"/>
      <w:bookmarkEnd w:id="155"/>
      <w:bookmarkStart w:id="156" w:name="bookmark62"/>
      <w:bookmarkEnd w:id="156"/>
      <w:bookmarkStart w:id="157" w:name="_Toc29130"/>
      <w:r>
        <w:rPr>
          <w:rFonts w:hint="eastAsia"/>
        </w:rPr>
        <w:t>4</w:t>
      </w:r>
      <w:r>
        <w:t xml:space="preserve">.4 </w:t>
      </w:r>
      <w:r>
        <w:rPr>
          <w:rFonts w:hint="eastAsia" w:ascii="方正黑体_GBK" w:hAnsi="方正黑体_GBK" w:eastAsia="方正黑体_GBK" w:cs="方正黑体_GBK"/>
        </w:rPr>
        <w:t>传承地方或校园特色文化</w:t>
      </w:r>
      <w:bookmarkEnd w:id="157"/>
    </w:p>
    <w:p w14:paraId="5606D95E">
      <w:pPr>
        <w:ind w:firstLine="480" w:firstLineChars="200"/>
        <w:rPr>
          <w:lang w:eastAsia="zh-CN"/>
        </w:rPr>
      </w:pPr>
      <w:r>
        <w:rPr>
          <w:lang w:eastAsia="zh-CN"/>
        </w:rPr>
        <w:t>重庆市工艺美术学校师生构思创作了200米的浮雕墙，以纪实的手法记载了学校70年奋斗史，成为全校师生的精神引领</w:t>
      </w:r>
      <w:r>
        <w:rPr>
          <w:rFonts w:hint="eastAsia"/>
          <w:lang w:eastAsia="zh-CN"/>
        </w:rPr>
        <w:t>，</w:t>
      </w:r>
      <w:r>
        <w:rPr>
          <w:lang w:eastAsia="zh-CN"/>
        </w:rPr>
        <w:t>与之相呼应的艺术墙、雕塑和后花园，形成了校园文化视觉系统，</w:t>
      </w:r>
      <w:r>
        <w:rPr>
          <w:rFonts w:hint="eastAsia"/>
          <w:lang w:eastAsia="zh-CN"/>
        </w:rPr>
        <w:t>展现了传统工艺的魅力，为校园增添了艺术活力。重庆建筑高级技工学校通过组织学生调研、邀请工匠进校园等，形成“地方文化进校园、校园文化促专业”的良性互动格局，构建了课程渗透、实践赋能、环境浸润的多元传承载体，培育学生的文化认同与行业使命感。重庆市聚英技工学校积极盘活地方资源，联合街道社区共建实践平台，组织“跳蹬河河道清理”等具有地域特色的活动，以社团活动、文明班级创建、社区文化共建为抓手，引导师生将地方文化底蕴与校园文化内核，转化为学风建设、志愿服务的实际行动。</w:t>
      </w:r>
    </w:p>
    <w:p w14:paraId="5FCDD03A">
      <w:pPr>
        <w:pStyle w:val="7"/>
        <w:ind w:left="1850" w:leftChars="200" w:hanging="1370" w:hangingChars="650"/>
        <w:jc w:val="center"/>
        <w:rPr>
          <w:sz w:val="21"/>
          <w:szCs w:val="21"/>
        </w:rPr>
      </w:pPr>
      <w:bookmarkStart w:id="158" w:name="_Toc10804"/>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18</w:t>
      </w:r>
      <w:r>
        <w:rPr>
          <w:rFonts w:hint="default" w:ascii="Times New Roman" w:hAnsi="Times New Roman" w:eastAsia="黑体" w:cs="Times New Roman"/>
          <w:b/>
          <w:bCs/>
          <w:color w:val="2E54A1" w:themeColor="accent1" w:themeShade="BF"/>
          <w:sz w:val="21"/>
          <w:szCs w:val="21"/>
        </w:rPr>
        <w:fldChar w:fldCharType="end"/>
      </w:r>
      <w:bookmarkStart w:id="159" w:name="_Toc15834"/>
      <w:r>
        <w:rPr>
          <w:rFonts w:hint="default" w:ascii="Times New Roman" w:hAnsi="Times New Roman" w:eastAsia="黑体" w:cs="Times New Roman"/>
          <w:b/>
          <w:bCs/>
          <w:color w:val="2E54A1" w:themeColor="accent1" w:themeShade="BF"/>
          <w:sz w:val="21"/>
          <w:szCs w:val="21"/>
        </w:rPr>
        <w:t>】</w:t>
      </w:r>
      <w:r>
        <w:rPr>
          <w:rFonts w:eastAsia="黑体"/>
          <w:b/>
          <w:bCs/>
          <w:color w:val="2E54A1" w:themeColor="accent1" w:themeShade="BF"/>
          <w:sz w:val="21"/>
          <w:szCs w:val="21"/>
        </w:rPr>
        <w:t xml:space="preserve">  重庆市工艺美术学校</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五美四融</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推进校园文化建设</w:t>
      </w:r>
      <w:bookmarkEnd w:id="159"/>
    </w:p>
    <w:bookmarkEnd w:id="158"/>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7FD8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75BA1C2E">
            <w:pPr>
              <w:ind w:firstLine="420" w:firstLineChars="200"/>
              <w:rPr>
                <w:sz w:val="21"/>
                <w:szCs w:val="21"/>
                <w:lang w:eastAsia="zh-CN"/>
              </w:rPr>
            </w:pPr>
            <w:r>
              <w:rPr>
                <w:rFonts w:hint="eastAsia" w:eastAsia="楷体" w:cs="Times New Roman"/>
                <w:sz w:val="21"/>
                <w:szCs w:val="21"/>
                <w:lang w:eastAsia="zh-CN"/>
              </w:rPr>
              <w:t>学校以“五美四融”理念为核心，系统推进校园文化建设：一是理念引领体系化，确立“美品、美形、美情、美艺、美劳”育人目标，将美育融入校园环境、课程教学、学生活动全过程；二是环境建设多维化，打造美术馆式校园空间，建设专业工作室、非遗工坊等实践场所，营造“处处是美育课堂”的文化氛围；三是活动开展品牌化，持续举办艺术节、技能竞赛月、非遗体验日等品牌活动，成立53个学生社团，形成“常规+主题”双轨运行机制；四是师生共创成果化，建立师生艺术创作共同体，教师作品被国家博物馆收藏，学生作品获国家级奖项百余项，实现教学相长；五是社会服务常态化，组织“艺行者”服务队深入社区开展墙绘、非遗展示等活动，将校园文化辐射社会。通过系统化建设，学校形成了具有鲜明艺术职业教育特色的文化育人生态。</w:t>
            </w:r>
          </w:p>
        </w:tc>
      </w:tr>
    </w:tbl>
    <w:p w14:paraId="1E55BB09">
      <w:pPr>
        <w:ind w:firstLine="480" w:firstLineChars="200"/>
        <w:rPr>
          <w:lang w:eastAsia="zh-CN"/>
        </w:rPr>
      </w:pPr>
    </w:p>
    <w:p w14:paraId="59F4FD8B">
      <w:pPr>
        <w:ind w:firstLine="480" w:firstLineChars="200"/>
        <w:rPr>
          <w:lang w:eastAsia="zh-CN"/>
        </w:rPr>
      </w:pPr>
    </w:p>
    <w:p w14:paraId="26AF9CF5">
      <w:pPr>
        <w:ind w:firstLine="480" w:firstLineChars="200"/>
        <w:rPr>
          <w:lang w:eastAsia="zh-CN"/>
        </w:rPr>
        <w:sectPr>
          <w:pgSz w:w="11905" w:h="16838"/>
          <w:pgMar w:top="1701" w:right="1701" w:bottom="1701" w:left="1701" w:header="1134" w:footer="1134" w:gutter="0"/>
          <w:cols w:space="0" w:num="1"/>
          <w:docGrid w:type="lines" w:linePitch="327" w:charSpace="0"/>
        </w:sectPr>
      </w:pPr>
    </w:p>
    <w:p w14:paraId="3A252637">
      <w:pPr>
        <w:pStyle w:val="2"/>
        <w:spacing w:before="654" w:after="654"/>
        <w:rPr>
          <w:lang w:eastAsia="zh-CN"/>
        </w:rPr>
      </w:pPr>
      <w:bookmarkStart w:id="160" w:name="_Toc5894"/>
      <w:r>
        <w:rPr>
          <w:rFonts w:hint="eastAsia"/>
          <w:lang w:eastAsia="zh-CN"/>
        </w:rPr>
        <w:t xml:space="preserve">5 </w:t>
      </w:r>
      <w:r>
        <w:rPr>
          <w:lang w:eastAsia="zh-CN"/>
        </w:rPr>
        <w:t>国际合作</w:t>
      </w:r>
      <w:bookmarkEnd w:id="160"/>
    </w:p>
    <w:p w14:paraId="3E37E333">
      <w:pPr>
        <w:pStyle w:val="3"/>
        <w:spacing w:before="327" w:after="327"/>
      </w:pPr>
      <w:bookmarkStart w:id="161" w:name="bookmark63"/>
      <w:bookmarkEnd w:id="161"/>
      <w:bookmarkStart w:id="162" w:name="bookmark64"/>
      <w:bookmarkEnd w:id="162"/>
      <w:bookmarkStart w:id="163" w:name="_Toc17997"/>
      <w:r>
        <w:rPr>
          <w:rFonts w:hint="eastAsia"/>
        </w:rPr>
        <w:t>5</w:t>
      </w:r>
      <w:r>
        <w:t xml:space="preserve">.1 </w:t>
      </w:r>
      <w:r>
        <w:rPr>
          <w:rFonts w:hint="eastAsia" w:ascii="方正黑体_GBK" w:hAnsi="方正黑体_GBK" w:eastAsia="方正黑体_GBK" w:cs="方正黑体_GBK"/>
        </w:rPr>
        <w:t>资源输出</w:t>
      </w:r>
      <w:bookmarkEnd w:id="163"/>
    </w:p>
    <w:p w14:paraId="0113DF7E">
      <w:pPr>
        <w:ind w:firstLine="480" w:firstLineChars="200"/>
        <w:rPr>
          <w:lang w:val="zh-CN" w:eastAsia="zh-CN"/>
        </w:rPr>
      </w:pPr>
      <w:r>
        <w:rPr>
          <w:lang w:eastAsia="zh-CN"/>
        </w:rPr>
        <w:t>为满足</w:t>
      </w:r>
      <w:r>
        <w:rPr>
          <w:rFonts w:hint="eastAsia"/>
          <w:lang w:eastAsia="zh-CN"/>
        </w:rPr>
        <w:t>“</w:t>
      </w:r>
      <w:r>
        <w:rPr>
          <w:lang w:eastAsia="zh-CN"/>
        </w:rPr>
        <w:t>一带一路</w:t>
      </w:r>
      <w:r>
        <w:rPr>
          <w:rFonts w:hint="eastAsia"/>
          <w:lang w:eastAsia="zh-CN"/>
        </w:rPr>
        <w:t>”</w:t>
      </w:r>
      <w:r>
        <w:rPr>
          <w:lang w:eastAsia="zh-CN"/>
        </w:rPr>
        <w:t>沿线国家职业教育需求，本年度</w:t>
      </w:r>
      <w:r>
        <w:rPr>
          <w:rFonts w:hint="eastAsia"/>
          <w:lang w:eastAsia="zh-CN"/>
        </w:rPr>
        <w:t>，重庆市九龙坡职业教育中心</w:t>
      </w:r>
      <w:r>
        <w:rPr>
          <w:lang w:eastAsia="zh-CN"/>
        </w:rPr>
        <w:t>为老挝量身开发了《发动机维修》课程标准及视频标准，助力当地职业教育课程提质升级</w:t>
      </w:r>
      <w:r>
        <w:rPr>
          <w:rFonts w:hint="eastAsia"/>
          <w:lang w:eastAsia="zh-CN"/>
        </w:rPr>
        <w:t>，</w:t>
      </w:r>
      <w:r>
        <w:rPr>
          <w:lang w:eastAsia="zh-CN"/>
        </w:rPr>
        <w:t>取得</w:t>
      </w:r>
      <w:r>
        <w:rPr>
          <w:rFonts w:hint="eastAsia"/>
          <w:lang w:eastAsia="zh-CN"/>
        </w:rPr>
        <w:t>了</w:t>
      </w:r>
      <w:r>
        <w:rPr>
          <w:lang w:eastAsia="zh-CN"/>
        </w:rPr>
        <w:t>国际化课程与标准资源输出</w:t>
      </w:r>
      <w:r>
        <w:rPr>
          <w:rFonts w:hint="eastAsia"/>
          <w:lang w:eastAsia="zh-CN"/>
        </w:rPr>
        <w:t>的</w:t>
      </w:r>
      <w:r>
        <w:rPr>
          <w:lang w:eastAsia="zh-CN"/>
        </w:rPr>
        <w:t>实质性进展。</w:t>
      </w:r>
      <w:r>
        <w:rPr>
          <w:rFonts w:hint="eastAsia"/>
          <w:lang w:eastAsia="zh-CN"/>
        </w:rPr>
        <w:t>学校还</w:t>
      </w:r>
      <w:r>
        <w:rPr>
          <w:lang w:eastAsia="zh-CN"/>
        </w:rPr>
        <w:t>与重庆城市职业学院、重庆长安汽车股份有限公司共同开展</w:t>
      </w:r>
      <w:r>
        <w:rPr>
          <w:rFonts w:hint="eastAsia"/>
          <w:lang w:eastAsia="zh-CN"/>
        </w:rPr>
        <w:t>“</w:t>
      </w:r>
      <w:r>
        <w:rPr>
          <w:lang w:eastAsia="zh-CN"/>
        </w:rPr>
        <w:t>中·高·企</w:t>
      </w:r>
      <w:r>
        <w:rPr>
          <w:rFonts w:hint="eastAsia"/>
          <w:lang w:eastAsia="zh-CN"/>
        </w:rPr>
        <w:t>”</w:t>
      </w:r>
      <w:r>
        <w:rPr>
          <w:lang w:eastAsia="zh-CN"/>
        </w:rPr>
        <w:t>协同出海创新实践，其核心成果《标准构建、资源开发、技能适配：汽车专业</w:t>
      </w:r>
      <w:r>
        <w:rPr>
          <w:rFonts w:hint="eastAsia"/>
          <w:lang w:eastAsia="zh-CN"/>
        </w:rPr>
        <w:t>“</w:t>
      </w:r>
      <w:r>
        <w:rPr>
          <w:lang w:eastAsia="zh-CN"/>
        </w:rPr>
        <w:t>中·高·企</w:t>
      </w:r>
      <w:r>
        <w:rPr>
          <w:rFonts w:hint="eastAsia"/>
          <w:lang w:eastAsia="zh-CN"/>
        </w:rPr>
        <w:t>”</w:t>
      </w:r>
      <w:r>
        <w:rPr>
          <w:lang w:eastAsia="zh-CN"/>
        </w:rPr>
        <w:t>协同出海创新实践》获得2025年重庆市教学成果奖二等奖</w:t>
      </w:r>
      <w:r>
        <w:rPr>
          <w:rFonts w:hint="eastAsia"/>
          <w:lang w:eastAsia="zh-CN"/>
        </w:rPr>
        <w:t>，</w:t>
      </w:r>
      <w:r>
        <w:rPr>
          <w:lang w:eastAsia="zh-CN"/>
        </w:rPr>
        <w:t>该成果聚焦于构建国际化的教学标准体系和开发适配性的教学资源，成功推动了中国汽车专业教育标准与产业技术的</w:t>
      </w:r>
      <w:r>
        <w:rPr>
          <w:rFonts w:hint="eastAsia"/>
          <w:lang w:eastAsia="zh-CN"/>
        </w:rPr>
        <w:t>“</w:t>
      </w:r>
      <w:r>
        <w:rPr>
          <w:lang w:eastAsia="zh-CN"/>
        </w:rPr>
        <w:t>走出去</w:t>
      </w:r>
      <w:r>
        <w:rPr>
          <w:rFonts w:hint="eastAsia"/>
          <w:lang w:eastAsia="zh-CN"/>
        </w:rPr>
        <w:t>”</w:t>
      </w:r>
      <w:r>
        <w:rPr>
          <w:lang w:eastAsia="zh-CN"/>
        </w:rPr>
        <w:t>。</w:t>
      </w:r>
    </w:p>
    <w:p w14:paraId="72718E95">
      <w:pPr>
        <w:spacing w:line="240" w:lineRule="auto"/>
        <w:jc w:val="center"/>
        <w:rPr>
          <w:lang w:val="zh-CN" w:eastAsia="zh-CN"/>
        </w:rPr>
      </w:pPr>
      <w:r>
        <w:drawing>
          <wp:inline distT="0" distB="0" distL="114300" distR="114300">
            <wp:extent cx="3420110" cy="4323080"/>
            <wp:effectExtent l="0" t="0" r="1905" b="571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35"/>
                    <a:stretch>
                      <a:fillRect/>
                    </a:stretch>
                  </pic:blipFill>
                  <pic:spPr>
                    <a:xfrm>
                      <a:off x="0" y="0"/>
                      <a:ext cx="3420110" cy="4323080"/>
                    </a:xfrm>
                    <a:prstGeom prst="rect">
                      <a:avLst/>
                    </a:prstGeom>
                    <a:noFill/>
                    <a:ln>
                      <a:noFill/>
                    </a:ln>
                  </pic:spPr>
                </pic:pic>
              </a:graphicData>
            </a:graphic>
          </wp:inline>
        </w:drawing>
      </w:r>
    </w:p>
    <w:p w14:paraId="0977D19C">
      <w:pPr>
        <w:pStyle w:val="7"/>
      </w:pPr>
      <w:r>
        <w:t>图</w:t>
      </w:r>
      <w:r>
        <w:fldChar w:fldCharType="begin"/>
      </w:r>
      <w:r>
        <w:instrText xml:space="preserve"> SEQ 图 \* ARABIC </w:instrText>
      </w:r>
      <w:r>
        <w:fldChar w:fldCharType="separate"/>
      </w:r>
      <w:r>
        <w:t>20</w:t>
      </w:r>
      <w:r>
        <w:fldChar w:fldCharType="end"/>
      </w:r>
      <w:bookmarkStart w:id="164" w:name="_Toc32562"/>
      <w:r>
        <w:rPr>
          <w:rFonts w:hint="eastAsia"/>
          <w:lang w:val="en-US" w:eastAsia="zh-CN"/>
        </w:rPr>
        <w:t xml:space="preserve">  </w:t>
      </w:r>
      <w:r>
        <w:t>老挝国家国际课程</w:t>
      </w:r>
      <w:r>
        <w:rPr>
          <w:rFonts w:hint="eastAsia"/>
          <w:lang w:eastAsia="zh-CN"/>
        </w:rPr>
        <w:t>标准</w:t>
      </w:r>
      <w:r>
        <w:t>认证</w:t>
      </w:r>
      <w:bookmarkEnd w:id="164"/>
    </w:p>
    <w:p w14:paraId="54B106D7">
      <w:pPr>
        <w:pStyle w:val="3"/>
        <w:spacing w:before="327" w:after="327"/>
      </w:pPr>
      <w:bookmarkStart w:id="165" w:name="bookmark65"/>
      <w:bookmarkEnd w:id="165"/>
      <w:bookmarkStart w:id="166" w:name="_Toc32694"/>
      <w:r>
        <w:rPr>
          <w:rFonts w:hint="eastAsia"/>
        </w:rPr>
        <w:t>5</w:t>
      </w:r>
      <w:r>
        <w:t xml:space="preserve">.2 </w:t>
      </w:r>
      <w:r>
        <w:rPr>
          <w:rFonts w:hint="eastAsia" w:ascii="方正黑体_GBK" w:hAnsi="方正黑体_GBK" w:eastAsia="方正黑体_GBK" w:cs="方正黑体_GBK"/>
        </w:rPr>
        <w:t>国际交流</w:t>
      </w:r>
      <w:bookmarkEnd w:id="166"/>
    </w:p>
    <w:p w14:paraId="266056A6">
      <w:pPr>
        <w:ind w:firstLine="480" w:firstLineChars="200"/>
        <w:rPr>
          <w:lang w:eastAsia="zh-CN"/>
        </w:rPr>
      </w:pPr>
      <w:r>
        <w:rPr>
          <w:rFonts w:hint="eastAsia"/>
          <w:lang w:eastAsia="zh-CN"/>
        </w:rPr>
        <w:t>重庆市九龙坡职业教育中心以“中文+职业技能”项目为关键抓手，积极开展国际交流，全年累计接待来自哈萨克斯坦、泰国、老挝、印度尼西亚等沿线国家师生代表4批次，70余人次来访。学校针对泰国皇家理工大学教师团开展“新能源汽车技术”培训，通过28学时的实操教学，帮助泰方参训教师考核通过率达到100%。学校依托“中国重庆市九龙坡职业教育中心老挝中文+职业技能培训中心”平台，定期组织已取得国际中文教师资格的教师开展实地培训，与泰国塔亚武里皇家理工大学签署《合作备忘录》，明确将在新能源汽车、航空服务等领域深化合作，共同拓展平台建设。</w:t>
      </w:r>
    </w:p>
    <w:p w14:paraId="58E8F166">
      <w:pPr>
        <w:ind w:firstLine="480" w:firstLineChars="200"/>
        <w:rPr>
          <w:lang w:eastAsia="zh-CN"/>
        </w:rPr>
      </w:pPr>
      <w:r>
        <w:rPr>
          <w:rFonts w:hint="eastAsia"/>
          <w:lang w:eastAsia="zh-CN"/>
        </w:rPr>
        <w:t>重庆市工艺美术学校专业教师为重庆城市职业学院等高职院校留学生开设中国优秀传统文化专题活动课3次，开展体验活动1次。学校参与中外职业教育交流平台建设，加入重庆市教育国际交流协会、“中国-老挝职业教育发展共同体”、成都外语翻译培训中心等对外交流平台，构建“工美出海”新格局。储备对外交流师资，与联合国培训和研究中心合作开展培训，26名教师获得国际中文教师资格证书。</w:t>
      </w:r>
    </w:p>
    <w:p w14:paraId="7B81C0C0">
      <w:pPr>
        <w:spacing w:line="240" w:lineRule="auto"/>
        <w:jc w:val="center"/>
      </w:pPr>
      <w:r>
        <w:drawing>
          <wp:inline distT="0" distB="0" distL="0" distR="0">
            <wp:extent cx="3599815" cy="2884170"/>
            <wp:effectExtent l="0" t="0" r="5715" b="8890"/>
            <wp:docPr id="94" name="IM 94" descr="C:/Users/Administrator/Desktop/相关图片/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 94" descr="C:/Users/Administrator/Desktop/相关图片/图片5.png图片5"/>
                    <pic:cNvPicPr>
                      <a:picLocks noChangeAspect="1"/>
                    </pic:cNvPicPr>
                  </pic:nvPicPr>
                  <pic:blipFill>
                    <a:blip r:embed="rId36"/>
                    <a:srcRect l="9326" r="9326"/>
                    <a:stretch>
                      <a:fillRect/>
                    </a:stretch>
                  </pic:blipFill>
                  <pic:spPr>
                    <a:xfrm>
                      <a:off x="0" y="0"/>
                      <a:ext cx="3599815" cy="2884170"/>
                    </a:xfrm>
                    <a:prstGeom prst="rect">
                      <a:avLst/>
                    </a:prstGeom>
                  </pic:spPr>
                </pic:pic>
              </a:graphicData>
            </a:graphic>
          </wp:inline>
        </w:drawing>
      </w:r>
    </w:p>
    <w:p w14:paraId="3BCC78C4">
      <w:pPr>
        <w:pStyle w:val="7"/>
      </w:pPr>
      <w:bookmarkStart w:id="167" w:name="bookmark201"/>
      <w:bookmarkEnd w:id="167"/>
      <w:bookmarkStart w:id="168" w:name="bookmark202"/>
      <w:bookmarkEnd w:id="168"/>
      <w:r>
        <w:t>图</w:t>
      </w:r>
      <w:r>
        <w:fldChar w:fldCharType="begin"/>
      </w:r>
      <w:r>
        <w:instrText xml:space="preserve"> SEQ 图 \* ARABIC </w:instrText>
      </w:r>
      <w:r>
        <w:fldChar w:fldCharType="separate"/>
      </w:r>
      <w:r>
        <w:t>21</w:t>
      </w:r>
      <w:r>
        <w:fldChar w:fldCharType="end"/>
      </w:r>
      <w:bookmarkStart w:id="169" w:name="_Toc12016"/>
      <w:r>
        <w:rPr>
          <w:rFonts w:hint="eastAsia"/>
          <w:lang w:val="en-US" w:eastAsia="zh-CN"/>
        </w:rPr>
        <w:t xml:space="preserve">  </w:t>
      </w:r>
      <w:r>
        <w:t>哈萨克斯坦职业学院师生代表到</w:t>
      </w:r>
      <w:r>
        <w:rPr>
          <w:rFonts w:hint="eastAsia"/>
        </w:rPr>
        <w:t>重庆市九龙坡职业教育中心</w:t>
      </w:r>
      <w:r>
        <w:t>交流学习</w:t>
      </w:r>
      <w:bookmarkEnd w:id="169"/>
    </w:p>
    <w:p w14:paraId="2E41CA26">
      <w:pPr>
        <w:pStyle w:val="7"/>
        <w:ind w:left="1850" w:leftChars="200" w:hanging="1370" w:hangingChars="650"/>
        <w:jc w:val="center"/>
        <w:rPr>
          <w:sz w:val="21"/>
          <w:szCs w:val="21"/>
        </w:rPr>
      </w:pPr>
      <w:bookmarkStart w:id="170" w:name="bookmark289"/>
      <w:bookmarkEnd w:id="170"/>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19</w:t>
      </w:r>
      <w:r>
        <w:rPr>
          <w:rFonts w:hint="default" w:ascii="Times New Roman" w:hAnsi="Times New Roman" w:eastAsia="黑体" w:cs="Times New Roman"/>
          <w:b/>
          <w:bCs/>
          <w:color w:val="2E54A1" w:themeColor="accent1" w:themeShade="BF"/>
          <w:sz w:val="21"/>
          <w:szCs w:val="21"/>
        </w:rPr>
        <w:fldChar w:fldCharType="end"/>
      </w:r>
      <w:bookmarkStart w:id="171" w:name="_Toc1321"/>
      <w:r>
        <w:rPr>
          <w:rFonts w:hint="default" w:ascii="Times New Roman" w:hAnsi="Times New Roman" w:eastAsia="黑体" w:cs="Times New Roman"/>
          <w:b/>
          <w:bCs/>
          <w:color w:val="2E54A1" w:themeColor="accent1" w:themeShade="BF"/>
          <w:sz w:val="21"/>
          <w:szCs w:val="21"/>
        </w:rPr>
        <w:t>】</w:t>
      </w:r>
      <w:r>
        <w:rPr>
          <w:rFonts w:eastAsia="黑体"/>
          <w:b/>
          <w:bCs/>
          <w:color w:val="2E54A1" w:themeColor="accent1" w:themeShade="BF"/>
          <w:sz w:val="21"/>
          <w:szCs w:val="21"/>
        </w:rPr>
        <w:t xml:space="preserve">  重庆市九龙坡职业教育中心打造国际交流合作新范式</w:t>
      </w:r>
      <w:bookmarkEnd w:id="171"/>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4BBD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2CF4F091">
            <w:pPr>
              <w:ind w:firstLine="420" w:firstLineChars="200"/>
              <w:rPr>
                <w:sz w:val="21"/>
                <w:szCs w:val="21"/>
                <w:lang w:eastAsia="zh-CN"/>
              </w:rPr>
            </w:pPr>
            <w:r>
              <w:rPr>
                <w:rFonts w:hint="eastAsia" w:eastAsia="楷体" w:cs="Times New Roman"/>
                <w:sz w:val="21"/>
                <w:szCs w:val="21"/>
                <w:lang w:eastAsia="zh-CN"/>
              </w:rPr>
              <w:t>学校紧扣“一带一路”倡议与重庆市“渝车出海”战略，以“中文+职业技能”为核心抓手，通过优化合作机制、深化资源输出、拓展平台建设，累计开展跨国交流活动4场，接待泰国、哈萨克斯坦、印度尼西亚等沿线国家师生代表逾73人次，推动国际化教育实现从“单向输出”到“双向赋能”的范式升级。一是完善合作机制，构建常态化国际交流体系。修订《国际合作项目管理办法》等制度，接轨国际教育规范，明确项目申报、实施、评估流程，确保合作项目高效落地。二是强化师资团队，打造教培一体化国际队伍。依托“中国重庆市九龙坡职业教育中心老挝中文+职业技能培训中心”定期组织取得国际中文教师资格的10名教师实地培训，推动国际教学落地实施。泰国新能源汽车技术培训中，学校教师黄钧浩、刘渝威等开展技术实训4场，泰方学员考核通过率达100%，实现“教学相长”。三是深耕课程资源，推动优质标准国际化输出。结合老挝职业教育实际，为老挝量身开发《发动机维修》课程标准及视频标准，助力当地职业教育课程提质升级。与泰国塔亚武里皇家理工大学签署《合作备忘录》，明确在新能源汽车、航空服务等领域共建课程资源。</w:t>
            </w:r>
          </w:p>
        </w:tc>
      </w:tr>
    </w:tbl>
    <w:p w14:paraId="496B1629">
      <w:pPr>
        <w:rPr>
          <w:lang w:eastAsia="zh-CN"/>
        </w:rPr>
      </w:pPr>
    </w:p>
    <w:p w14:paraId="2C3DFFBB">
      <w:pPr>
        <w:ind w:firstLine="480" w:firstLineChars="200"/>
        <w:rPr>
          <w:lang w:eastAsia="zh-CN"/>
        </w:rPr>
      </w:pPr>
    </w:p>
    <w:p w14:paraId="618884CB">
      <w:pPr>
        <w:ind w:firstLine="480" w:firstLineChars="200"/>
        <w:rPr>
          <w:lang w:eastAsia="zh-CN"/>
        </w:rPr>
        <w:sectPr>
          <w:pgSz w:w="11905" w:h="16838"/>
          <w:pgMar w:top="1701" w:right="1701" w:bottom="1701" w:left="1701" w:header="1134" w:footer="1134" w:gutter="0"/>
          <w:cols w:space="0" w:num="1"/>
          <w:docGrid w:type="lines" w:linePitch="327" w:charSpace="0"/>
        </w:sectPr>
      </w:pPr>
    </w:p>
    <w:p w14:paraId="4D5B541C">
      <w:pPr>
        <w:pStyle w:val="2"/>
        <w:spacing w:before="654" w:after="654"/>
        <w:rPr>
          <w:lang w:eastAsia="zh-CN"/>
        </w:rPr>
      </w:pPr>
      <w:bookmarkStart w:id="172" w:name="_Toc20785"/>
      <w:r>
        <w:rPr>
          <w:rFonts w:hint="eastAsia"/>
          <w:lang w:eastAsia="zh-CN"/>
        </w:rPr>
        <w:t xml:space="preserve">6 </w:t>
      </w:r>
      <w:r>
        <w:rPr>
          <w:lang w:eastAsia="zh-CN"/>
        </w:rPr>
        <w:t>产教融合</w:t>
      </w:r>
      <w:bookmarkEnd w:id="172"/>
    </w:p>
    <w:p w14:paraId="43B69362">
      <w:pPr>
        <w:pStyle w:val="3"/>
        <w:spacing w:before="327" w:after="327"/>
      </w:pPr>
      <w:bookmarkStart w:id="173" w:name="bookmark48"/>
      <w:bookmarkEnd w:id="173"/>
      <w:bookmarkStart w:id="174" w:name="_Toc10574"/>
      <w:r>
        <w:rPr>
          <w:rFonts w:hint="eastAsia"/>
        </w:rPr>
        <w:t>6</w:t>
      </w:r>
      <w:r>
        <w:t>.</w:t>
      </w:r>
      <w:r>
        <w:rPr>
          <w:rFonts w:hint="eastAsia"/>
        </w:rPr>
        <w:t>1</w:t>
      </w:r>
      <w:r>
        <w:t xml:space="preserve"> </w:t>
      </w:r>
      <w:r>
        <w:rPr>
          <w:rFonts w:hint="eastAsia" w:ascii="方正黑体_GBK" w:hAnsi="方正黑体_GBK" w:eastAsia="方正黑体_GBK" w:cs="方正黑体_GBK"/>
        </w:rPr>
        <w:t>机制共筑</w:t>
      </w:r>
      <w:bookmarkEnd w:id="174"/>
    </w:p>
    <w:p w14:paraId="4E40EEF1">
      <w:pPr>
        <w:ind w:firstLine="480" w:firstLineChars="200"/>
        <w:rPr>
          <w:lang w:eastAsia="zh-CN"/>
        </w:rPr>
      </w:pPr>
      <w:r>
        <w:rPr>
          <w:rFonts w:hint="eastAsia"/>
          <w:lang w:eastAsia="zh-CN"/>
        </w:rPr>
        <w:t>全区中职学校积极融入重庆“33618”现代制造业集群体系建设，深化合作育人与协同发展机制，持续深化产教融合。重庆市九龙坡职业教育中心依托重庆市先进材料市域产教融合体，联合重庆宏钢数控机床有限公司、重庆工业职业技术学院等多元主体，研制《中高职衔接培养工业机器人技术应用联合体成员单位学徒制改革方案》，共同搭建集人才培养、技术创新、成果转化于一体的协同创新平台；</w:t>
      </w:r>
      <w:r>
        <w:rPr>
          <w:lang w:eastAsia="zh-CN"/>
        </w:rPr>
        <w:t>学校牵头组建重庆市职业教育学会电子商务专业委员会等5个产教联盟并担任理事长单位，担任重庆先进制造职教集团等7个职教集团副理事长单位，积极参与全国信息通信行业产教融合共同体等6个产教融合共同体建设</w:t>
      </w:r>
      <w:r>
        <w:rPr>
          <w:rFonts w:hint="eastAsia"/>
          <w:lang w:eastAsia="zh-CN"/>
        </w:rPr>
        <w:t>，</w:t>
      </w:r>
      <w:r>
        <w:rPr>
          <w:lang w:eastAsia="zh-CN"/>
        </w:rPr>
        <w:t>在各类行业交流会议中累计分享产教融合实践成果与创新经验5次。重庆市工艺美术学校动漫与游戏制作专业是全国数字创意行业产教融合共同体副理事长单位，工艺美术专业是全国电子商务行业产教融合共同体理事单位</w:t>
      </w:r>
      <w:r>
        <w:rPr>
          <w:rFonts w:hint="eastAsia"/>
          <w:lang w:eastAsia="zh-CN"/>
        </w:rPr>
        <w:t>，</w:t>
      </w:r>
      <w:r>
        <w:rPr>
          <w:lang w:eastAsia="zh-CN"/>
        </w:rPr>
        <w:t>学校是重庆市艺术职业教育联盟工作理事单位、重庆市动漫学会秘书长单位。本年度，参加第二十届国际漫画家大会</w:t>
      </w:r>
      <w:r>
        <w:rPr>
          <w:rFonts w:hint="eastAsia"/>
          <w:lang w:eastAsia="zh-CN"/>
        </w:rPr>
        <w:t>、</w:t>
      </w:r>
      <w:r>
        <w:rPr>
          <w:lang w:eastAsia="zh-CN"/>
        </w:rPr>
        <w:t>第十一届嘉兴漫画双年展，</w:t>
      </w:r>
      <w:r>
        <w:rPr>
          <w:rFonts w:hint="eastAsia"/>
          <w:lang w:eastAsia="zh-CN"/>
        </w:rPr>
        <w:t>教师</w:t>
      </w:r>
      <w:r>
        <w:rPr>
          <w:lang w:eastAsia="zh-CN"/>
        </w:rPr>
        <w:t>受聘担任中国美术家协会动漫艺委会委员</w:t>
      </w:r>
      <w:r>
        <w:rPr>
          <w:rFonts w:hint="eastAsia"/>
          <w:lang w:eastAsia="zh-CN"/>
        </w:rPr>
        <w:t>、</w:t>
      </w:r>
      <w:r>
        <w:rPr>
          <w:lang w:eastAsia="zh-CN"/>
        </w:rPr>
        <w:t>福建省技能大赛裁判。</w:t>
      </w:r>
    </w:p>
    <w:p w14:paraId="2C1B7350">
      <w:pPr>
        <w:pStyle w:val="7"/>
        <w:ind w:left="1850" w:leftChars="200" w:hanging="1370" w:hangingChars="650"/>
        <w:jc w:val="center"/>
        <w:rPr>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20</w:t>
      </w:r>
      <w:r>
        <w:rPr>
          <w:rFonts w:hint="default" w:ascii="Times New Roman" w:hAnsi="Times New Roman" w:eastAsia="黑体" w:cs="Times New Roman"/>
          <w:b/>
          <w:bCs/>
          <w:color w:val="2E54A1" w:themeColor="accent1" w:themeShade="BF"/>
          <w:sz w:val="21"/>
          <w:szCs w:val="21"/>
        </w:rPr>
        <w:fldChar w:fldCharType="end"/>
      </w:r>
      <w:bookmarkStart w:id="175" w:name="_Toc21026"/>
      <w:r>
        <w:rPr>
          <w:rFonts w:hint="default" w:ascii="Times New Roman" w:hAnsi="Times New Roman" w:eastAsia="黑体" w:cs="Times New Roman"/>
          <w:b/>
          <w:bCs/>
          <w:color w:val="2E54A1" w:themeColor="accent1" w:themeShade="BF"/>
          <w:sz w:val="21"/>
          <w:szCs w:val="21"/>
        </w:rPr>
        <w:t>】</w:t>
      </w:r>
      <w:r>
        <w:rPr>
          <w:rFonts w:eastAsia="黑体"/>
          <w:b/>
          <w:bCs/>
          <w:color w:val="2E54A1" w:themeColor="accent1" w:themeShade="BF"/>
          <w:sz w:val="21"/>
          <w:szCs w:val="21"/>
        </w:rPr>
        <w:t xml:space="preserve">  重庆市工艺美术学校构建动漫专业产教融合机制</w:t>
      </w:r>
      <w:bookmarkEnd w:id="175"/>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5076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34237CC9">
            <w:pPr>
              <w:ind w:firstLine="420" w:firstLineChars="200"/>
              <w:rPr>
                <w:sz w:val="21"/>
                <w:szCs w:val="21"/>
                <w:lang w:eastAsia="zh-CN"/>
              </w:rPr>
            </w:pPr>
            <w:r>
              <w:rPr>
                <w:rFonts w:hint="eastAsia" w:eastAsia="楷体" w:cs="Times New Roman"/>
                <w:sz w:val="21"/>
                <w:szCs w:val="21"/>
                <w:lang w:eastAsia="zh-CN"/>
              </w:rPr>
              <w:t>学校以全国数字创意行业产教融合共同体副理事长单位身份为平台，系统构建“行业联动、校企协同、双师共育、成果转化”四维融合生态。一是深化行业协作机制，作为重庆市动漫学会秘书长单位，组织师生参与香港国际漫画家大会等行业活动，引入国际前沿标准；二是创新“4321”合作范式，与重庆灼灼文化等企业共建“校中企、企中校”，近三年联合开发课程资源包12个，共建实训基地3个；三是实施“双线交叉”师资共育，组建39人企业专家库，年授课379课时，专兼职教师联合开发教学项目获市级奖项6项；四是推动成果双向转化，学生参与企业真实项目占比达70%，近三年获全国职业院校技能大赛一等奖3项，毕业生创办动漫工作室5个，专业对口就业率稳定在92%以上。</w:t>
            </w:r>
          </w:p>
        </w:tc>
      </w:tr>
    </w:tbl>
    <w:p w14:paraId="7E253E91">
      <w:pPr>
        <w:pStyle w:val="3"/>
        <w:spacing w:before="327" w:after="327"/>
      </w:pPr>
      <w:bookmarkStart w:id="176" w:name="bookmark49"/>
      <w:bookmarkEnd w:id="176"/>
      <w:bookmarkStart w:id="177" w:name="bookmark186"/>
      <w:bookmarkEnd w:id="177"/>
      <w:bookmarkStart w:id="178" w:name="bookmark270"/>
      <w:bookmarkEnd w:id="178"/>
      <w:bookmarkStart w:id="179" w:name="bookmark185"/>
      <w:bookmarkEnd w:id="179"/>
      <w:bookmarkStart w:id="180" w:name="bookmark271"/>
      <w:bookmarkEnd w:id="180"/>
      <w:bookmarkStart w:id="181" w:name="_Toc10811"/>
      <w:r>
        <w:rPr>
          <w:rFonts w:hint="eastAsia"/>
        </w:rPr>
        <w:t>6</w:t>
      </w:r>
      <w:r>
        <w:t xml:space="preserve">.2 </w:t>
      </w:r>
      <w:r>
        <w:rPr>
          <w:rFonts w:hint="eastAsia" w:ascii="方正黑体_GBK" w:hAnsi="方正黑体_GBK" w:eastAsia="方正黑体_GBK" w:cs="方正黑体_GBK"/>
        </w:rPr>
        <w:t>资源共建</w:t>
      </w:r>
      <w:bookmarkEnd w:id="181"/>
    </w:p>
    <w:p w14:paraId="75DE4F7C">
      <w:pPr>
        <w:ind w:firstLine="480" w:firstLineChars="200"/>
        <w:rPr>
          <w:lang w:eastAsia="zh-CN"/>
        </w:rPr>
      </w:pPr>
      <w:r>
        <w:rPr>
          <w:rFonts w:hint="eastAsia"/>
          <w:lang w:eastAsia="zh-CN"/>
        </w:rPr>
        <w:t>全区中职学校</w:t>
      </w:r>
      <w:r>
        <w:rPr>
          <w:lang w:eastAsia="zh-CN"/>
        </w:rPr>
        <w:t>深化现代职业教育体系建设改革，坚持以教促产、以产助教、产教融合、产学合作。</w:t>
      </w:r>
      <w:r>
        <w:rPr>
          <w:rFonts w:hint="eastAsia"/>
          <w:lang w:eastAsia="zh-CN"/>
        </w:rPr>
        <w:t>重庆市九龙坡职业教育中心7个重点专业精准对接区域主导产业，与重庆京东方光电科技有限公司、重庆长安汽车股份有限公司、北京京东信息科技有限公司等13家行业企业签订合作协议，共建产教融合协同育人平台；学校与行业企业合作打造“校-企-院”三元产业学院6个，覆盖长安新能源汽车、物联网技术、非遗重庆小面、英咖西点咖啡等特色领域，获批职业教育示范性教师企业实践流动站、市级示范性职工培训基地、装备制造大类现场工程师联合培养项目。重庆市工艺美术学校建成区级林敏劳模和工匠人才创新工作室，辐射工艺美术、艺术设计、展示设计等专业，吸纳校内外艺术设计、中小学美术教学等相关专业教师20余人。重庆市聚英技工学校当选为“新一代智能硬件技术行业产教融合共同体”常务理事单位，与小米集团旗下重庆括弧科技有限公司合作共建产教融合实践中心——小米AIOT工程师产业学院，实现教学资源与产业需求的精准对接。</w:t>
      </w:r>
    </w:p>
    <w:p w14:paraId="6C9C5057">
      <w:pPr>
        <w:spacing w:line="240" w:lineRule="auto"/>
        <w:jc w:val="center"/>
      </w:pPr>
      <w:r>
        <w:drawing>
          <wp:inline distT="0" distB="0" distL="0" distR="0">
            <wp:extent cx="3599815" cy="2442845"/>
            <wp:effectExtent l="0" t="0" r="5715" b="7620"/>
            <wp:docPr id="70" name="IM 70" descr="C:/Users/Administrator/Desktop/2025年质量年报/相关图片/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 70" descr="C:/Users/Administrator/Desktop/2025年质量年报/相关图片/图片6.png图片6"/>
                    <pic:cNvPicPr>
                      <a:picLocks noChangeAspect="1"/>
                    </pic:cNvPicPr>
                  </pic:nvPicPr>
                  <pic:blipFill>
                    <a:blip r:embed="rId37"/>
                    <a:srcRect l="9188" r="9188"/>
                    <a:stretch>
                      <a:fillRect/>
                    </a:stretch>
                  </pic:blipFill>
                  <pic:spPr>
                    <a:xfrm>
                      <a:off x="0" y="0"/>
                      <a:ext cx="3599815" cy="2442845"/>
                    </a:xfrm>
                    <a:prstGeom prst="rect">
                      <a:avLst/>
                    </a:prstGeom>
                  </pic:spPr>
                </pic:pic>
              </a:graphicData>
            </a:graphic>
          </wp:inline>
        </w:drawing>
      </w:r>
    </w:p>
    <w:p w14:paraId="43C30308">
      <w:pPr>
        <w:pStyle w:val="7"/>
      </w:pPr>
      <w:bookmarkStart w:id="182" w:name="bookmark125"/>
      <w:bookmarkEnd w:id="182"/>
      <w:bookmarkStart w:id="183" w:name="bookmark124"/>
      <w:bookmarkEnd w:id="183"/>
      <w:bookmarkStart w:id="184" w:name="bookmark187"/>
      <w:bookmarkEnd w:id="184"/>
      <w:r>
        <w:t>图</w:t>
      </w:r>
      <w:r>
        <w:fldChar w:fldCharType="begin"/>
      </w:r>
      <w:r>
        <w:instrText xml:space="preserve"> SEQ 图 \* ARABIC </w:instrText>
      </w:r>
      <w:r>
        <w:fldChar w:fldCharType="separate"/>
      </w:r>
      <w:r>
        <w:t>22</w:t>
      </w:r>
      <w:r>
        <w:fldChar w:fldCharType="end"/>
      </w:r>
      <w:bookmarkStart w:id="185" w:name="_Toc31216"/>
      <w:r>
        <w:rPr>
          <w:rFonts w:hint="eastAsia"/>
          <w:lang w:val="en-US" w:eastAsia="zh-CN"/>
        </w:rPr>
        <w:t xml:space="preserve">  </w:t>
      </w:r>
      <w:r>
        <w:rPr>
          <w:rFonts w:hint="eastAsia"/>
        </w:rPr>
        <w:t>重庆市聚英技工学校合作共建小米AIOT工程师产业学院</w:t>
      </w:r>
      <w:bookmarkEnd w:id="185"/>
      <w:bookmarkStart w:id="186" w:name="bookmark272"/>
      <w:bookmarkEnd w:id="186"/>
    </w:p>
    <w:p w14:paraId="2B581343">
      <w:pPr>
        <w:pStyle w:val="3"/>
        <w:spacing w:before="327" w:after="327"/>
      </w:pPr>
      <w:bookmarkStart w:id="187" w:name="bookmark50"/>
      <w:bookmarkEnd w:id="187"/>
      <w:bookmarkStart w:id="188" w:name="_Toc32473"/>
      <w:r>
        <w:rPr>
          <w:rFonts w:hint="eastAsia"/>
        </w:rPr>
        <w:t>6</w:t>
      </w:r>
      <w:r>
        <w:t xml:space="preserve">.3 </w:t>
      </w:r>
      <w:r>
        <w:rPr>
          <w:rFonts w:hint="eastAsia" w:ascii="方正黑体_GBK" w:hAnsi="方正黑体_GBK" w:eastAsia="方正黑体_GBK" w:cs="方正黑体_GBK"/>
        </w:rPr>
        <w:t>人才共育</w:t>
      </w:r>
      <w:bookmarkEnd w:id="188"/>
    </w:p>
    <w:p w14:paraId="6CE7C482">
      <w:pPr>
        <w:ind w:firstLine="480" w:firstLineChars="200"/>
        <w:rPr>
          <w:lang w:eastAsia="zh-CN"/>
        </w:rPr>
      </w:pPr>
      <w:r>
        <w:rPr>
          <w:rFonts w:hint="eastAsia"/>
          <w:lang w:eastAsia="zh-CN"/>
        </w:rPr>
        <w:t>全区中职学校聚焦“职业技能培养+升学发展+岗位适配”三位一体培养目标，积极开展校企合作、人才共育。重庆市九龙坡职业教育中心开展跟岗实习、顶岗实习、职业技能等级培训（1+X证书考核）等多元化育人服务，覆盖学生、企业职工及社会技能提升人群，本年度学生企业实习累计达1694人，企业实习满意度达98%以上，教师企业实践累计达636人次。重庆市工艺美术学校美发与形象设计专业与重庆美丽椰岛美容美发有限公司联合举办现代学徒制班级3个，专业教师定期到公司进行专业实训，公司派出行业专家、技术能手到学校进行教育教学，本年度培养订单班毕业生22人。重庆建筑高级技工学校</w:t>
      </w:r>
      <w:r>
        <w:rPr>
          <w:lang w:eastAsia="zh-CN"/>
        </w:rPr>
        <w:t>与建立重庆工业设备安装集团有限公司等企业开设定向委培班，企业派导师参与授课、提供实训设备，学生在校学理论、进企业练技能，毕业直接入职合作企业</w:t>
      </w:r>
      <w:r>
        <w:rPr>
          <w:rFonts w:hint="eastAsia"/>
          <w:lang w:eastAsia="zh-CN"/>
        </w:rPr>
        <w:t>。</w:t>
      </w:r>
    </w:p>
    <w:p w14:paraId="126AA0E5">
      <w:pPr>
        <w:pStyle w:val="7"/>
        <w:ind w:left="1850" w:leftChars="200" w:hanging="1370" w:hangingChars="650"/>
        <w:jc w:val="center"/>
        <w:rPr>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21</w:t>
      </w:r>
      <w:r>
        <w:rPr>
          <w:rFonts w:hint="default" w:ascii="Times New Roman" w:hAnsi="Times New Roman" w:eastAsia="黑体" w:cs="Times New Roman"/>
          <w:b/>
          <w:bCs/>
          <w:color w:val="2E54A1" w:themeColor="accent1" w:themeShade="BF"/>
          <w:sz w:val="21"/>
          <w:szCs w:val="21"/>
        </w:rPr>
        <w:fldChar w:fldCharType="end"/>
      </w:r>
      <w:bookmarkStart w:id="189" w:name="_Toc13419"/>
      <w:r>
        <w:rPr>
          <w:rFonts w:hint="default" w:ascii="Times New Roman" w:hAnsi="Times New Roman" w:eastAsia="黑体" w:cs="Times New Roman"/>
          <w:b/>
          <w:bCs/>
          <w:color w:val="2E54A1" w:themeColor="accent1" w:themeShade="BF"/>
          <w:sz w:val="21"/>
          <w:szCs w:val="21"/>
        </w:rPr>
        <w:t xml:space="preserve">】  </w:t>
      </w:r>
      <w:r>
        <w:rPr>
          <w:rFonts w:hint="eastAsia" w:eastAsia="黑体" w:cs="Times New Roman"/>
          <w:b/>
          <w:bCs/>
          <w:color w:val="2E54A1" w:themeColor="accent1" w:themeShade="BF"/>
          <w:sz w:val="21"/>
          <w:szCs w:val="21"/>
          <w:lang w:eastAsia="zh-CN"/>
        </w:rPr>
        <w:t>重庆市</w:t>
      </w:r>
      <w:r>
        <w:rPr>
          <w:rFonts w:eastAsia="黑体"/>
          <w:b/>
          <w:bCs/>
          <w:color w:val="2E54A1" w:themeColor="accent1" w:themeShade="BF"/>
          <w:sz w:val="21"/>
          <w:szCs w:val="21"/>
        </w:rPr>
        <w:t>工艺美术学校探索</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非遗+</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现代学徒制育人模式</w:t>
      </w:r>
      <w:bookmarkEnd w:id="189"/>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06D5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1FAB39CD">
            <w:pPr>
              <w:ind w:firstLine="420" w:firstLineChars="200"/>
              <w:rPr>
                <w:sz w:val="21"/>
                <w:szCs w:val="21"/>
                <w:lang w:eastAsia="zh-CN"/>
              </w:rPr>
            </w:pPr>
            <w:r>
              <w:rPr>
                <w:rFonts w:hint="eastAsia" w:eastAsia="楷体" w:cs="Times New Roman"/>
                <w:sz w:val="21"/>
                <w:szCs w:val="21"/>
                <w:lang w:eastAsia="zh-CN"/>
              </w:rPr>
              <w:t>学校依托全国电子商务行业产教融合共同体平台，创新“非遗传承+现代设计”双轨育人模式。一是重构课程体系，将蜀绣、綦江版画等非遗技艺融入工艺美术专业课程，开发“传统工艺数字化”等6门模块化课程；二是深化校企双主体育人，与重庆荣昌陶文化企业共建现代学徒制班级，实施“一周企业实训、一周学校理论”的交替培养机制；三是搭建技艺传承平台，聘请非遗传承人担任产业导师，校内教师与企业导师共同开发《传统纹样创新设计》等活页式教材；四是推动创新成果转化，师生合作开发的“非遗文创产品包”获全国职业院校艺术设计类大赛金奖，年服务社区非遗体验活动超2000人次，近三年为合作企业输送技术骨干37名。</w:t>
            </w:r>
          </w:p>
        </w:tc>
      </w:tr>
    </w:tbl>
    <w:p w14:paraId="396C3B4E">
      <w:pPr>
        <w:pStyle w:val="3"/>
        <w:spacing w:before="327" w:after="327"/>
      </w:pPr>
      <w:bookmarkStart w:id="190" w:name="_Toc24890"/>
      <w:r>
        <w:rPr>
          <w:rFonts w:hint="eastAsia"/>
        </w:rPr>
        <w:t>6</w:t>
      </w:r>
      <w:r>
        <w:t xml:space="preserve">.4 </w:t>
      </w:r>
      <w:r>
        <w:rPr>
          <w:rFonts w:hint="eastAsia" w:ascii="方正黑体_GBK" w:hAnsi="方正黑体_GBK" w:eastAsia="方正黑体_GBK" w:cs="方正黑体_GBK"/>
        </w:rPr>
        <w:t>双师共培</w:t>
      </w:r>
      <w:bookmarkEnd w:id="190"/>
    </w:p>
    <w:p w14:paraId="082BE420">
      <w:pPr>
        <w:ind w:firstLine="480" w:firstLineChars="200"/>
        <w:rPr>
          <w:lang w:eastAsia="zh-CN"/>
        </w:rPr>
      </w:pPr>
      <w:r>
        <w:rPr>
          <w:rFonts w:hint="eastAsia"/>
          <w:lang w:eastAsia="zh-CN"/>
        </w:rPr>
        <w:t>重庆市九龙坡职业教育中心通过系统制定并有效落实《师资队伍建设五年规划》及详尽的年度实施计划，构建起多层次、全覆盖的师资培养体系，本年度，学校着力构建校企协同、双向互动的“双师型”教师培养新机制，依托产业学院等平台，常态化、分阶段实施“教师进企业，大师进校园”计划，推动教师与企业技术专家双向流动，实现理论教学与实践能力的有机融合，全年新增“双师型”教师11人，“双师型”教师在专业教师中的占比达95.65%。重庆市工艺美术学校积极从合作企业中广泛遴选兼职教师，组建了一支由39名优秀企业人才构成的兼职教师库，并从兼职教师库中精心选聘了9名兼职教师参与到实习指导、课程建设等关键教学环节中，本年度，兼职教师授课总课时达到了379课时。重庆建筑高级技工学校</w:t>
      </w:r>
      <w:r>
        <w:rPr>
          <w:lang w:eastAsia="zh-CN"/>
        </w:rPr>
        <w:t>通过选聘有10年相关行业从业经验的产业教授和建设兼职教师队伍，提升学校的教学水平与实践能力</w:t>
      </w:r>
      <w:r>
        <w:rPr>
          <w:rFonts w:hint="eastAsia"/>
          <w:lang w:eastAsia="zh-CN"/>
        </w:rPr>
        <w:t>，</w:t>
      </w:r>
      <w:r>
        <w:rPr>
          <w:lang w:eastAsia="zh-CN"/>
        </w:rPr>
        <w:t>鼓励教师参加各类专业培训和进修课程，获取更多的职业资格证书</w:t>
      </w:r>
      <w:r>
        <w:rPr>
          <w:rFonts w:hint="eastAsia"/>
          <w:lang w:eastAsia="zh-CN"/>
        </w:rPr>
        <w:t>，</w:t>
      </w:r>
      <w:r>
        <w:rPr>
          <w:lang w:eastAsia="zh-CN"/>
        </w:rPr>
        <w:t>利用寒暑假时间安排教师到企业进行挂职锻炼，深入了解企业的生产流程和技术需求为教学积累丰富的实践经验。</w:t>
      </w:r>
    </w:p>
    <w:p w14:paraId="16DB495D">
      <w:pPr>
        <w:pStyle w:val="7"/>
        <w:ind w:left="1850" w:leftChars="200" w:hanging="1370" w:hangingChars="650"/>
        <w:jc w:val="center"/>
        <w:rPr>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22</w:t>
      </w:r>
      <w:r>
        <w:rPr>
          <w:rFonts w:hint="default" w:ascii="Times New Roman" w:hAnsi="Times New Roman" w:eastAsia="黑体" w:cs="Times New Roman"/>
          <w:b/>
          <w:bCs/>
          <w:color w:val="2E54A1" w:themeColor="accent1" w:themeShade="BF"/>
          <w:sz w:val="21"/>
          <w:szCs w:val="21"/>
        </w:rPr>
        <w:fldChar w:fldCharType="end"/>
      </w:r>
      <w:bookmarkStart w:id="191" w:name="_Toc3867"/>
      <w:r>
        <w:rPr>
          <w:rFonts w:hint="default" w:ascii="Times New Roman" w:hAnsi="Times New Roman" w:eastAsia="黑体" w:cs="Times New Roman"/>
          <w:b/>
          <w:bCs/>
          <w:color w:val="2E54A1" w:themeColor="accent1" w:themeShade="BF"/>
          <w:sz w:val="21"/>
          <w:szCs w:val="21"/>
        </w:rPr>
        <w:t xml:space="preserve">】  </w:t>
      </w:r>
      <w:r>
        <w:rPr>
          <w:rFonts w:eastAsia="黑体"/>
          <w:b/>
          <w:bCs/>
          <w:color w:val="2E54A1" w:themeColor="accent1" w:themeShade="BF"/>
          <w:sz w:val="21"/>
          <w:szCs w:val="21"/>
        </w:rPr>
        <w:t>重庆建筑高级技工学校</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双师共培</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育匠才</w:t>
      </w:r>
      <w:bookmarkEnd w:id="191"/>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2B0F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759A2EED">
            <w:pPr>
              <w:ind w:firstLine="420" w:firstLineChars="200"/>
              <w:rPr>
                <w:rFonts w:eastAsia="楷体" w:cs="Times New Roman"/>
                <w:sz w:val="21"/>
                <w:szCs w:val="21"/>
                <w:lang w:eastAsia="zh-CN"/>
              </w:rPr>
            </w:pPr>
            <w:r>
              <w:rPr>
                <w:rFonts w:hint="eastAsia" w:eastAsia="楷体" w:cs="Times New Roman"/>
                <w:sz w:val="21"/>
                <w:szCs w:val="21"/>
                <w:lang w:eastAsia="zh-CN"/>
              </w:rPr>
              <w:t>为精准对接建筑行业人才需求，学校创新推行“双师共培”模式，通过产业教授引进、兼职教师补能、自有教师强基，构建起一支“理论精、实践强”的教师队伍，为技能人才培养筑牢根基。</w:t>
            </w:r>
          </w:p>
          <w:p w14:paraId="37073881">
            <w:pPr>
              <w:ind w:firstLine="420" w:firstLineChars="200"/>
              <w:rPr>
                <w:sz w:val="21"/>
                <w:szCs w:val="21"/>
                <w:lang w:eastAsia="zh-CN"/>
              </w:rPr>
            </w:pPr>
            <w:r>
              <w:rPr>
                <w:rFonts w:hint="eastAsia" w:eastAsia="楷体" w:cs="Times New Roman"/>
                <w:sz w:val="21"/>
                <w:szCs w:val="21"/>
                <w:lang w:eastAsia="zh-CN"/>
              </w:rPr>
              <w:t>一是精准引才，夯实“双师”队伍基础。严选产业教授，聚焦装配式建筑、建筑智能化等前沿领域，赴中建八局、重庆建工等龙头企业选聘产业教授。首批选聘5名行业领军人才，深度参与专业建设与课程开发。扩充兼职教师，通过企业推荐、行业协会举荐等渠道，筛选一线工程师、技术骨干。目前兼职教师队伍达32人，覆盖12个专业，有效弥补学生实践短板。二是精细管理，保障教学质量成效。兼职教师需完成教学能力培训方可上岗；每月组织“双师”教研会，促进校企教学经验互通；每年从教学效果、企业反馈等维度开展综合评估，优秀者优先续聘并给予表彰。三是特色赋能，深化产教融合实效。推行工学一体化教学，由产业教授牵头，结合重庆城市更新项目设计教学任务，让学生在“做中学、学中做”。构建产教融合共同体，联合18家企业共建实训基地，企业提供最新设备与技术支持，学校教师参与企业技术攻关，实现资源共享、协同育人。</w:t>
            </w:r>
          </w:p>
        </w:tc>
      </w:tr>
    </w:tbl>
    <w:p w14:paraId="0A681ED4">
      <w:pPr>
        <w:ind w:firstLine="480" w:firstLineChars="200"/>
        <w:rPr>
          <w:lang w:eastAsia="zh-CN"/>
        </w:rPr>
      </w:pPr>
      <w:bookmarkStart w:id="192" w:name="bookmark287"/>
      <w:bookmarkEnd w:id="192"/>
      <w:bookmarkStart w:id="193" w:name="bookmark275"/>
      <w:bookmarkEnd w:id="193"/>
      <w:bookmarkStart w:id="194" w:name="bookmark290"/>
      <w:bookmarkEnd w:id="194"/>
      <w:bookmarkStart w:id="195" w:name="bookmark280"/>
      <w:bookmarkEnd w:id="195"/>
    </w:p>
    <w:p w14:paraId="57736C21">
      <w:pPr>
        <w:ind w:firstLine="480" w:firstLineChars="200"/>
        <w:rPr>
          <w:lang w:eastAsia="zh-CN"/>
        </w:rPr>
        <w:sectPr>
          <w:pgSz w:w="11905" w:h="16838"/>
          <w:pgMar w:top="1701" w:right="1701" w:bottom="1701" w:left="1701" w:header="1134" w:footer="1134" w:gutter="0"/>
          <w:cols w:space="0" w:num="1"/>
          <w:docGrid w:type="lines" w:linePitch="327" w:charSpace="0"/>
        </w:sectPr>
      </w:pPr>
    </w:p>
    <w:p w14:paraId="020801E9">
      <w:pPr>
        <w:pStyle w:val="2"/>
        <w:spacing w:before="654" w:after="654"/>
        <w:rPr>
          <w:lang w:eastAsia="zh-CN"/>
        </w:rPr>
      </w:pPr>
      <w:bookmarkStart w:id="196" w:name="_Toc9749"/>
      <w:r>
        <w:rPr>
          <w:lang w:eastAsia="zh-CN"/>
        </w:rPr>
        <w:t>7</w:t>
      </w:r>
      <w:r>
        <w:rPr>
          <w:rFonts w:hint="eastAsia"/>
          <w:lang w:eastAsia="zh-CN"/>
        </w:rPr>
        <w:t xml:space="preserve"> </w:t>
      </w:r>
      <w:r>
        <w:rPr>
          <w:lang w:eastAsia="zh-CN"/>
        </w:rPr>
        <w:t>发展保障</w:t>
      </w:r>
      <w:bookmarkEnd w:id="196"/>
    </w:p>
    <w:p w14:paraId="083E0BE8">
      <w:pPr>
        <w:pStyle w:val="3"/>
        <w:spacing w:before="327" w:after="327"/>
      </w:pPr>
      <w:bookmarkStart w:id="197" w:name="bookmark70"/>
      <w:bookmarkEnd w:id="197"/>
      <w:bookmarkStart w:id="198" w:name="_Toc11644"/>
      <w:r>
        <w:t xml:space="preserve">7.1 </w:t>
      </w:r>
      <w:r>
        <w:rPr>
          <w:rFonts w:hint="eastAsia" w:ascii="方正黑体_GBK" w:hAnsi="方正黑体_GBK" w:eastAsia="方正黑体_GBK" w:cs="方正黑体_GBK"/>
        </w:rPr>
        <w:t>党建引领</w:t>
      </w:r>
      <w:bookmarkEnd w:id="198"/>
    </w:p>
    <w:p w14:paraId="4F5B88F7">
      <w:pPr>
        <w:ind w:firstLine="480" w:firstLineChars="200"/>
        <w:rPr>
          <w:lang w:eastAsia="zh-CN"/>
        </w:rPr>
      </w:pPr>
      <w:r>
        <w:rPr>
          <w:rFonts w:hint="eastAsia"/>
          <w:lang w:eastAsia="zh-CN"/>
        </w:rPr>
        <w:t>全区中职</w:t>
      </w:r>
      <w:r>
        <w:rPr>
          <w:lang w:eastAsia="zh-CN"/>
        </w:rPr>
        <w:t>学校始终把党建</w:t>
      </w:r>
      <w:r>
        <w:rPr>
          <w:rFonts w:hint="eastAsia"/>
          <w:lang w:eastAsia="zh-CN"/>
        </w:rPr>
        <w:t>工作</w:t>
      </w:r>
      <w:r>
        <w:rPr>
          <w:lang w:eastAsia="zh-CN"/>
        </w:rPr>
        <w:t>摆在首位</w:t>
      </w:r>
      <w:r>
        <w:rPr>
          <w:rFonts w:hint="eastAsia"/>
          <w:lang w:eastAsia="zh-CN"/>
        </w:rPr>
        <w:t>，</w:t>
      </w:r>
      <w:r>
        <w:rPr>
          <w:lang w:eastAsia="zh-CN"/>
        </w:rPr>
        <w:t>坚决贯彻落实党中央的决策部署，深入学习贯彻习近平新时代中国特色社会主义思想、党的二十大及二十届三中</w:t>
      </w:r>
      <w:r>
        <w:rPr>
          <w:rFonts w:hint="eastAsia"/>
          <w:lang w:eastAsia="zh-CN"/>
        </w:rPr>
        <w:t>、四中</w:t>
      </w:r>
      <w:r>
        <w:rPr>
          <w:lang w:eastAsia="zh-CN"/>
        </w:rPr>
        <w:t>全会精神</w:t>
      </w:r>
      <w:r>
        <w:rPr>
          <w:rFonts w:hint="eastAsia"/>
          <w:lang w:eastAsia="zh-CN"/>
        </w:rPr>
        <w:t>，</w:t>
      </w:r>
      <w:r>
        <w:rPr>
          <w:lang w:eastAsia="zh-CN"/>
        </w:rPr>
        <w:t>扎实推进主题教育、党纪学习教育，开展学生宣传教育活动。</w:t>
      </w:r>
      <w:r>
        <w:rPr>
          <w:rFonts w:hint="eastAsia"/>
          <w:lang w:eastAsia="zh-CN"/>
        </w:rPr>
        <w:t>重庆市九龙坡职业教育中心党委严格落实“第一议题”制度，通过中心组学习、专题党课、政治轮训等形式，推动党的创新理论进头脑、进课堂、进实践；健全“党建+业务”融合机制，实施教师队伍“三培养两提升”行动；党委主导课程思政顶层设计，校长推动思政元素与专业教学深度融合，打造“智德党建”品牌，开展校史、新中国史、党史“三史”融合教育，通过创建“11544”思政工作体系，实现思政教育与职业教育有机统一。重庆市工艺美术学校全年集中开展党委会达20余次，充分利用身边案例深入党纪学习；加强对教材教辅征订、教师教学内容及课堂言行的规范监管，为学校发展营造出风清气正的育人环境；强化师德师风建设，制定《师德师风考核评价办法》，将师德师风纳入教师全面考核；深入开展群腐集中整治工作，建立食品安全和膳食经费管理、招生送生、教育收费等11个问题台账，明确整改时限与责任人，确保问题整改到位。重庆建筑高级技工学校</w:t>
      </w:r>
      <w:r>
        <w:rPr>
          <w:lang w:eastAsia="zh-CN"/>
        </w:rPr>
        <w:t>举办深入贯彻中央八项规定精神学习教育读书班3期</w:t>
      </w:r>
      <w:r>
        <w:rPr>
          <w:rFonts w:hint="eastAsia"/>
          <w:lang w:eastAsia="zh-CN"/>
        </w:rPr>
        <w:t>，</w:t>
      </w:r>
      <w:r>
        <w:rPr>
          <w:lang w:eastAsia="zh-CN"/>
        </w:rPr>
        <w:t>开展理想信念现场教学，组织全体党员赴重庆市党风廉政教育基地——卢作孚纪念馆，开展</w:t>
      </w:r>
      <w:r>
        <w:rPr>
          <w:rFonts w:hint="eastAsia"/>
          <w:lang w:eastAsia="zh-CN"/>
        </w:rPr>
        <w:t>“</w:t>
      </w:r>
      <w:r>
        <w:rPr>
          <w:lang w:eastAsia="zh-CN"/>
        </w:rPr>
        <w:t>清风正气伴我行，廉洁自律守初心</w:t>
      </w:r>
      <w:r>
        <w:rPr>
          <w:rFonts w:hint="eastAsia"/>
          <w:lang w:eastAsia="zh-CN"/>
        </w:rPr>
        <w:t>”</w:t>
      </w:r>
      <w:r>
        <w:rPr>
          <w:lang w:eastAsia="zh-CN"/>
        </w:rPr>
        <w:t>主题党日活动</w:t>
      </w:r>
      <w:r>
        <w:rPr>
          <w:rFonts w:hint="eastAsia"/>
          <w:lang w:eastAsia="zh-CN"/>
        </w:rPr>
        <w:t>，</w:t>
      </w:r>
      <w:r>
        <w:rPr>
          <w:lang w:eastAsia="zh-CN"/>
        </w:rPr>
        <w:t>引导全体党员坚定理想信念，严守纪律规矩，营造风清气正的校园政治生态。</w:t>
      </w:r>
    </w:p>
    <w:p w14:paraId="05A259B8">
      <w:pPr>
        <w:pStyle w:val="7"/>
        <w:ind w:left="1850" w:leftChars="200" w:hanging="1370" w:hangingChars="650"/>
        <w:jc w:val="center"/>
        <w:rPr>
          <w:rFonts w:hint="eastAsia" w:eastAsia="黑体"/>
          <w:sz w:val="21"/>
          <w:szCs w:val="21"/>
          <w:lang w:eastAsia="zh-CN"/>
        </w:rPr>
      </w:pPr>
      <w:bookmarkStart w:id="199" w:name="_Toc17854"/>
      <w:bookmarkStart w:id="200" w:name="_Toc30728"/>
      <w:bookmarkStart w:id="201" w:name="_Toc28407"/>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23</w:t>
      </w:r>
      <w:r>
        <w:rPr>
          <w:rFonts w:hint="default" w:ascii="Times New Roman" w:hAnsi="Times New Roman" w:eastAsia="黑体" w:cs="Times New Roman"/>
          <w:b/>
          <w:bCs/>
          <w:color w:val="2E54A1" w:themeColor="accent1" w:themeShade="BF"/>
          <w:sz w:val="21"/>
          <w:szCs w:val="21"/>
        </w:rPr>
        <w:fldChar w:fldCharType="end"/>
      </w:r>
      <w:bookmarkStart w:id="202" w:name="_Toc1799"/>
      <w:r>
        <w:rPr>
          <w:rFonts w:hint="default" w:ascii="Times New Roman" w:hAnsi="Times New Roman" w:eastAsia="黑体" w:cs="Times New Roman"/>
          <w:b/>
          <w:bCs/>
          <w:color w:val="2E54A1" w:themeColor="accent1" w:themeShade="BF"/>
          <w:sz w:val="21"/>
          <w:szCs w:val="21"/>
        </w:rPr>
        <w:t>】</w:t>
      </w:r>
      <w:r>
        <w:rPr>
          <w:rFonts w:eastAsia="黑体"/>
          <w:b/>
          <w:bCs/>
          <w:color w:val="2E54A1" w:themeColor="accent1" w:themeShade="BF"/>
          <w:sz w:val="21"/>
          <w:szCs w:val="21"/>
        </w:rPr>
        <w:t xml:space="preserve">  重庆市九龙坡职业教育中心做实党建</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五大工程</w:t>
      </w:r>
      <w:bookmarkEnd w:id="202"/>
      <w:r>
        <w:rPr>
          <w:rFonts w:hint="eastAsia" w:eastAsia="黑体"/>
          <w:b/>
          <w:bCs/>
          <w:color w:val="2E54A1" w:themeColor="accent1" w:themeShade="BF"/>
          <w:sz w:val="21"/>
          <w:szCs w:val="21"/>
          <w:lang w:eastAsia="zh-CN"/>
        </w:rPr>
        <w:t>”</w:t>
      </w:r>
    </w:p>
    <w:bookmarkEnd w:id="199"/>
    <w:bookmarkEnd w:id="200"/>
    <w:bookmarkEnd w:id="201"/>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62D4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4058A4E9">
            <w:pPr>
              <w:ind w:firstLine="420" w:firstLineChars="200"/>
              <w:rPr>
                <w:rFonts w:eastAsia="楷体" w:cs="Times New Roman"/>
                <w:sz w:val="21"/>
                <w:szCs w:val="21"/>
                <w:lang w:eastAsia="zh-CN"/>
              </w:rPr>
            </w:pPr>
            <w:r>
              <w:rPr>
                <w:rFonts w:hint="eastAsia" w:eastAsia="楷体" w:cs="Times New Roman"/>
                <w:sz w:val="21"/>
                <w:szCs w:val="21"/>
                <w:lang w:eastAsia="zh-CN"/>
              </w:rPr>
              <w:t>推进党建工作与事业发展深度融合，引领学校高质量发展。一是“智德铸魂”工程。挖掘红色育人基因，加强校园文化建设，弘扬行知精神和工匠精神，强化价值文化引领。二是“智德先锋”工程。健全“双带头人”培育体系，推动党支部书记挂帅项目建设，实现党建与业务工作一体化。三是“智德强基”工程。开发党员“先锋指数”评价小程序，构建“123智德志愿服务”体系，提升党员执行力。四是“智德领航”工程。构建“1+N”大思政课程体系和“三全五融”文化育人模式，建设课程思政教学平台和实践教育基地。五是“智德护航”工程：坚持全面从严治党，完善党风廉政建设制度，形成工作闭环。</w:t>
            </w:r>
          </w:p>
          <w:p w14:paraId="23BB59E9">
            <w:pPr>
              <w:ind w:firstLine="420" w:firstLineChars="200"/>
              <w:rPr>
                <w:rFonts w:eastAsia="楷体" w:cs="Times New Roman"/>
                <w:sz w:val="21"/>
                <w:szCs w:val="21"/>
                <w:lang w:eastAsia="zh-CN"/>
              </w:rPr>
            </w:pPr>
            <w:r>
              <w:rPr>
                <w:rFonts w:hint="eastAsia" w:eastAsia="楷体" w:cs="Times New Roman"/>
                <w:sz w:val="21"/>
                <w:szCs w:val="21"/>
                <w:lang w:eastAsia="zh-CN"/>
              </w:rPr>
              <w:t>党建引领下，学校成功创建为A类优质校，通过党员教师的培养，培育出全国优秀教师1名、市级教学创新团队1个、区级技能大师工作室1个，国家精品课程1门、区级名优教师12人，典型经验被工人日报等主流媒体报道了52次。</w:t>
            </w:r>
          </w:p>
          <w:p w14:paraId="6574FC42">
            <w:pPr>
              <w:spacing w:line="240" w:lineRule="auto"/>
              <w:jc w:val="center"/>
              <w:rPr>
                <w:sz w:val="21"/>
                <w:szCs w:val="21"/>
              </w:rPr>
            </w:pPr>
            <w:r>
              <w:rPr>
                <w:sz w:val="21"/>
                <w:szCs w:val="21"/>
              </w:rPr>
              <w:drawing>
                <wp:inline distT="0" distB="0" distL="0" distR="0">
                  <wp:extent cx="3599815" cy="3231515"/>
                  <wp:effectExtent l="0" t="0" r="5715" b="6985"/>
                  <wp:docPr id="96" name="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 96"/>
                          <pic:cNvPicPr>
                            <a:picLocks noChangeAspect="1"/>
                          </pic:cNvPicPr>
                        </pic:nvPicPr>
                        <pic:blipFill>
                          <a:blip r:embed="rId38"/>
                          <a:stretch>
                            <a:fillRect/>
                          </a:stretch>
                        </pic:blipFill>
                        <pic:spPr>
                          <a:xfrm>
                            <a:off x="0" y="0"/>
                            <a:ext cx="3599815" cy="3231515"/>
                          </a:xfrm>
                          <a:prstGeom prst="rect">
                            <a:avLst/>
                          </a:prstGeom>
                        </pic:spPr>
                      </pic:pic>
                    </a:graphicData>
                  </a:graphic>
                </wp:inline>
              </w:drawing>
            </w:r>
          </w:p>
          <w:p w14:paraId="53FE6E28">
            <w:pPr>
              <w:pStyle w:val="7"/>
              <w:rPr>
                <w:rFonts w:hint="eastAsia" w:eastAsia="楷体"/>
                <w:sz w:val="21"/>
                <w:szCs w:val="21"/>
                <w:lang w:eastAsia="zh-CN"/>
              </w:rPr>
            </w:pPr>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23</w:t>
            </w:r>
            <w:r>
              <w:rPr>
                <w:sz w:val="21"/>
                <w:szCs w:val="21"/>
              </w:rPr>
              <w:fldChar w:fldCharType="end"/>
            </w:r>
            <w:bookmarkStart w:id="203" w:name="_Toc20793"/>
            <w:r>
              <w:rPr>
                <w:rFonts w:hint="eastAsia"/>
                <w:sz w:val="21"/>
                <w:szCs w:val="21"/>
                <w:lang w:val="en-US" w:eastAsia="zh-CN"/>
              </w:rPr>
              <w:t xml:space="preserve">  </w:t>
            </w:r>
            <w:r>
              <w:rPr>
                <w:sz w:val="21"/>
                <w:szCs w:val="21"/>
              </w:rPr>
              <w:t>重庆市九龙坡职业教育中心党建双创五大工程</w:t>
            </w:r>
            <w:bookmarkEnd w:id="203"/>
            <w:r>
              <w:rPr>
                <w:rFonts w:hint="eastAsia"/>
                <w:sz w:val="21"/>
                <w:szCs w:val="21"/>
                <w:lang w:eastAsia="zh-CN"/>
              </w:rPr>
              <w:t>图示</w:t>
            </w:r>
          </w:p>
        </w:tc>
      </w:tr>
    </w:tbl>
    <w:p w14:paraId="18516BF2">
      <w:pPr>
        <w:pStyle w:val="7"/>
        <w:ind w:left="1850" w:leftChars="200" w:hanging="1370" w:hangingChars="650"/>
        <w:jc w:val="center"/>
        <w:rPr>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24</w:t>
      </w:r>
      <w:r>
        <w:rPr>
          <w:rFonts w:hint="default" w:ascii="Times New Roman" w:hAnsi="Times New Roman" w:eastAsia="黑体" w:cs="Times New Roman"/>
          <w:b/>
          <w:bCs/>
          <w:color w:val="2E54A1" w:themeColor="accent1" w:themeShade="BF"/>
          <w:sz w:val="21"/>
          <w:szCs w:val="21"/>
        </w:rPr>
        <w:fldChar w:fldCharType="end"/>
      </w:r>
      <w:bookmarkStart w:id="204" w:name="_Toc30759"/>
      <w:r>
        <w:rPr>
          <w:rFonts w:hint="default" w:ascii="Times New Roman" w:hAnsi="Times New Roman" w:eastAsia="黑体" w:cs="Times New Roman"/>
          <w:b/>
          <w:bCs/>
          <w:color w:val="2E54A1" w:themeColor="accent1" w:themeShade="BF"/>
          <w:sz w:val="21"/>
          <w:szCs w:val="21"/>
        </w:rPr>
        <w:t xml:space="preserve">】 </w:t>
      </w:r>
      <w:r>
        <w:rPr>
          <w:rFonts w:eastAsia="黑体"/>
          <w:b/>
          <w:bCs/>
          <w:color w:val="2E54A1" w:themeColor="accent1" w:themeShade="BF"/>
          <w:sz w:val="21"/>
          <w:szCs w:val="21"/>
        </w:rPr>
        <w:t xml:space="preserve"> 重庆市工艺美术学校构建党建引领</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五维融合</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工作机制</w:t>
      </w:r>
      <w:bookmarkEnd w:id="204"/>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4BF9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FFFFFF" w:sz="4" w:space="0"/>
              <w:left w:val="single" w:color="FFFFFF" w:sz="4" w:space="0"/>
              <w:bottom w:val="single" w:color="FFFFFF" w:sz="4" w:space="0"/>
              <w:right w:val="single" w:color="FFFFFF" w:sz="4" w:space="0"/>
              <w:tl2br w:val="nil"/>
            </w:tcBorders>
            <w:shd w:val="clear" w:color="auto" w:fill="DAE3F5"/>
          </w:tcPr>
          <w:p w14:paraId="06A6E707">
            <w:pPr>
              <w:ind w:firstLine="420" w:firstLineChars="200"/>
              <w:rPr>
                <w:sz w:val="21"/>
                <w:szCs w:val="21"/>
                <w:lang w:eastAsia="zh-CN"/>
              </w:rPr>
            </w:pPr>
            <w:r>
              <w:rPr>
                <w:rFonts w:hint="eastAsia" w:eastAsia="楷体" w:cs="Times New Roman"/>
                <w:sz w:val="21"/>
                <w:szCs w:val="21"/>
                <w:lang w:eastAsia="zh-CN"/>
              </w:rPr>
              <w:t>学校坚持把党的领导贯穿办学治校全过程，创新构建“思想引领、组织建设、纪律监督、阵地管理、服务践行”五维融合的党建工作机制。一是严格执行“第一议题”制度，全年开展党委会学习20余次，结合党纪学习教育筑牢思想根基；二是优化基层组织建设，设立“党员护学岗”“应急处突先锋队”，组织“护学先锋”行动，党员教师结对帮扶困难学生，全年新增入党积极分子和申请人4名；三是健全监督问责体系，建立巡察整改“三张清单”，出台《师德师风考核评价办法》《小微权力运行管理办法》，建立11类问题整改台账；四是强化意识形态阵地管理，全年公众号发布214篇推文，浏览量达29万次，严把教材、课堂、言论关；五是推动党建与业务深度融合，在70周年教育成果展等重大活动中设立党员责任区，形成“党建+”特色品牌。该机制推动学校在巡察整改评估中获高度认可，风清气正的育人环境持续优化。</w:t>
            </w:r>
          </w:p>
        </w:tc>
      </w:tr>
    </w:tbl>
    <w:p w14:paraId="44C6891E">
      <w:pPr>
        <w:pStyle w:val="3"/>
        <w:spacing w:before="327" w:after="327"/>
      </w:pPr>
      <w:bookmarkStart w:id="205" w:name="_Toc1939"/>
      <w:r>
        <w:t xml:space="preserve">7.2 </w:t>
      </w:r>
      <w:r>
        <w:rPr>
          <w:rFonts w:hint="eastAsia" w:ascii="方正黑体_GBK" w:hAnsi="方正黑体_GBK" w:eastAsia="方正黑体_GBK" w:cs="方正黑体_GBK"/>
        </w:rPr>
        <w:t>政策落实</w:t>
      </w:r>
      <w:bookmarkEnd w:id="205"/>
    </w:p>
    <w:p w14:paraId="0F871892">
      <w:pPr>
        <w:ind w:firstLine="480" w:firstLineChars="200"/>
        <w:rPr>
          <w:lang w:eastAsia="zh-CN"/>
        </w:rPr>
      </w:pPr>
      <w:bookmarkStart w:id="206" w:name="bookmark71"/>
      <w:bookmarkEnd w:id="206"/>
      <w:bookmarkStart w:id="207" w:name="bookmark292"/>
      <w:bookmarkEnd w:id="207"/>
      <w:r>
        <w:rPr>
          <w:rFonts w:hint="eastAsia"/>
          <w:lang w:eastAsia="zh-CN"/>
        </w:rPr>
        <w:t>全区中职学校深入贯彻党的二十大关于深化现代教育体系改革的重要精神，积极落实国家和省市决策部署，在构建高质量教育体系进程中精准发力、扎实推进，切实增强服务区域经济社会发展的适应性与贡献度。重庆市九龙坡职业教育中心</w:t>
      </w:r>
      <w:r>
        <w:rPr>
          <w:lang w:eastAsia="zh-CN"/>
        </w:rPr>
        <w:t>通过构建</w:t>
      </w:r>
      <w:r>
        <w:rPr>
          <w:rFonts w:hint="eastAsia"/>
          <w:lang w:eastAsia="zh-CN"/>
        </w:rPr>
        <w:t>“</w:t>
      </w:r>
      <w:r>
        <w:rPr>
          <w:lang w:eastAsia="zh-CN"/>
        </w:rPr>
        <w:t>横向协同、纵向链接</w:t>
      </w:r>
      <w:r>
        <w:rPr>
          <w:rFonts w:hint="eastAsia"/>
          <w:lang w:eastAsia="zh-CN"/>
        </w:rPr>
        <w:t>”</w:t>
      </w:r>
      <w:r>
        <w:rPr>
          <w:lang w:eastAsia="zh-CN"/>
        </w:rPr>
        <w:t>的职普融通体系，成功立项重庆市中等职业学校分类发展职普融通项目</w:t>
      </w:r>
      <w:r>
        <w:rPr>
          <w:rFonts w:hint="eastAsia"/>
          <w:lang w:eastAsia="zh-CN"/>
        </w:rPr>
        <w:t>；</w:t>
      </w:r>
      <w:r>
        <w:rPr>
          <w:lang w:eastAsia="zh-CN"/>
        </w:rPr>
        <w:t>扎实推进综合高中试点，探索建立课程互选、学分互认机制；依托</w:t>
      </w:r>
      <w:r>
        <w:rPr>
          <w:rFonts w:hint="eastAsia"/>
          <w:lang w:eastAsia="zh-CN"/>
        </w:rPr>
        <w:t>“</w:t>
      </w:r>
      <w:r>
        <w:rPr>
          <w:lang w:eastAsia="zh-CN"/>
        </w:rPr>
        <w:t>大国小工匠</w:t>
      </w:r>
      <w:r>
        <w:rPr>
          <w:rFonts w:hint="eastAsia"/>
          <w:lang w:eastAsia="zh-CN"/>
        </w:rPr>
        <w:t>”</w:t>
      </w:r>
      <w:r>
        <w:rPr>
          <w:lang w:eastAsia="zh-CN"/>
        </w:rPr>
        <w:t>品牌特色职业启蒙实践项目，面向区域内中小学开展职业体验与劳动教育活动</w:t>
      </w:r>
      <w:r>
        <w:rPr>
          <w:rFonts w:hint="eastAsia"/>
          <w:lang w:eastAsia="zh-CN"/>
        </w:rPr>
        <w:t>。重庆市工艺美术学校持续优化内部治理结构，健全党委领导下的校长负责制与民主监督机制，积极落实编制政策，强化师德师风与专业能力双线提升，以制度创新为引擎，出台并实施一系列涵盖教学改革、质量评价、绩效考核的内控机制，有效激发办学活力。重庆市聚英技工学校对标《中等职业学校学生学籍管理办法》《职业学校学生实习管理规定》等国家层面政策，修订完善校内学籍、实习管理实施细则，实现新生注册、学籍异动全流程规范化信息化管理，严格执行实习备案制度，压实学校、实习单位、学生（监护人）三方责任，配备专职指导教师开展动态管理，将安全教育纳入实习必修环节并足额购买实习责任保险，筑牢实习安全防线。</w:t>
      </w:r>
    </w:p>
    <w:p w14:paraId="4CC65641">
      <w:pPr>
        <w:pStyle w:val="3"/>
        <w:spacing w:before="327" w:after="327"/>
      </w:pPr>
      <w:bookmarkStart w:id="208" w:name="bookmark72"/>
      <w:bookmarkEnd w:id="208"/>
      <w:bookmarkStart w:id="209" w:name="_Toc4572"/>
      <w:r>
        <w:t xml:space="preserve">7.3 </w:t>
      </w:r>
      <w:r>
        <w:rPr>
          <w:rFonts w:hint="eastAsia" w:ascii="方正黑体_GBK" w:hAnsi="方正黑体_GBK" w:eastAsia="方正黑体_GBK" w:cs="方正黑体_GBK"/>
        </w:rPr>
        <w:t>学校治理</w:t>
      </w:r>
      <w:bookmarkEnd w:id="209"/>
    </w:p>
    <w:p w14:paraId="6FE7E4CF">
      <w:pPr>
        <w:ind w:firstLine="480" w:firstLineChars="200"/>
        <w:rPr>
          <w:lang w:eastAsia="zh-CN"/>
        </w:rPr>
      </w:pPr>
      <w:bookmarkStart w:id="210" w:name="bookmark73"/>
      <w:bookmarkEnd w:id="210"/>
      <w:r>
        <w:rPr>
          <w:rFonts w:hint="eastAsia"/>
          <w:lang w:eastAsia="zh-CN"/>
        </w:rPr>
        <w:t>九龙坡区</w:t>
      </w:r>
      <w:r>
        <w:rPr>
          <w:lang w:eastAsia="zh-CN"/>
        </w:rPr>
        <w:t>坚持职业教育改革发展正确方向，</w:t>
      </w:r>
      <w:r>
        <w:rPr>
          <w:rFonts w:hint="eastAsia"/>
          <w:lang w:eastAsia="zh-CN"/>
        </w:rPr>
        <w:t>本年度，全面</w:t>
      </w:r>
      <w:r>
        <w:rPr>
          <w:lang w:eastAsia="zh-CN"/>
        </w:rPr>
        <w:t>推进</w:t>
      </w:r>
      <w:r>
        <w:rPr>
          <w:rFonts w:hint="eastAsia"/>
          <w:lang w:eastAsia="zh-CN"/>
        </w:rPr>
        <w:t>区管中职学校</w:t>
      </w:r>
      <w:r>
        <w:rPr>
          <w:lang w:eastAsia="zh-CN"/>
        </w:rPr>
        <w:t>党组织领导的校长负责制管理体制改革，完善学校</w:t>
      </w:r>
      <w:r>
        <w:rPr>
          <w:rFonts w:hint="eastAsia"/>
          <w:lang w:eastAsia="zh-CN"/>
        </w:rPr>
        <w:t>“</w:t>
      </w:r>
      <w:r>
        <w:rPr>
          <w:lang w:eastAsia="zh-CN"/>
        </w:rPr>
        <w:t>三重一大</w:t>
      </w:r>
      <w:r>
        <w:rPr>
          <w:rFonts w:hint="eastAsia"/>
          <w:lang w:eastAsia="zh-CN"/>
        </w:rPr>
        <w:t>”</w:t>
      </w:r>
      <w:r>
        <w:rPr>
          <w:lang w:eastAsia="zh-CN"/>
        </w:rPr>
        <w:t>决策制度，组织干部学习议事规则，修订涵盖教育、教学、科研、后勤、财务等制度，逐步</w:t>
      </w:r>
      <w:bookmarkStart w:id="211" w:name="bookmark146"/>
      <w:bookmarkEnd w:id="211"/>
      <w:r>
        <w:rPr>
          <w:lang w:eastAsia="zh-CN"/>
        </w:rPr>
        <w:t>实现</w:t>
      </w:r>
      <w:r>
        <w:rPr>
          <w:rFonts w:hint="eastAsia"/>
          <w:lang w:eastAsia="zh-CN"/>
        </w:rPr>
        <w:t>“</w:t>
      </w:r>
      <w:r>
        <w:rPr>
          <w:lang w:eastAsia="zh-CN"/>
        </w:rPr>
        <w:t>共治、法治、善治</w:t>
      </w:r>
      <w:r>
        <w:rPr>
          <w:rFonts w:hint="eastAsia"/>
          <w:lang w:eastAsia="zh-CN"/>
        </w:rPr>
        <w:t>”</w:t>
      </w:r>
      <w:r>
        <w:rPr>
          <w:lang w:eastAsia="zh-CN"/>
        </w:rPr>
        <w:t>。</w:t>
      </w:r>
      <w:bookmarkStart w:id="212" w:name="bookmark293"/>
      <w:bookmarkEnd w:id="212"/>
      <w:bookmarkStart w:id="213" w:name="bookmark74"/>
      <w:bookmarkEnd w:id="213"/>
      <w:bookmarkStart w:id="214" w:name="bookmark205"/>
      <w:bookmarkEnd w:id="214"/>
      <w:r>
        <w:rPr>
          <w:rFonts w:hint="eastAsia"/>
          <w:lang w:eastAsia="zh-CN"/>
        </w:rPr>
        <w:t>各</w:t>
      </w:r>
      <w:r>
        <w:rPr>
          <w:lang w:eastAsia="zh-CN"/>
        </w:rPr>
        <w:t>学校以提升质量为核心，构建了学术权利体系，规范了学术委员会、专业建设委员会、教材委员会</w:t>
      </w:r>
      <w:r>
        <w:rPr>
          <w:rFonts w:hint="eastAsia"/>
          <w:lang w:eastAsia="zh-CN"/>
        </w:rPr>
        <w:t>等各类专门委员会</w:t>
      </w:r>
      <w:r>
        <w:rPr>
          <w:lang w:eastAsia="zh-CN"/>
        </w:rPr>
        <w:t>的运行机制与权力。各委员会各司其职，确保决策科学、教育对接需求、教材质量保障、学生参与管理。通过完善制度、加强监督、提升能力及促进协作，共同推动学校健康发展，提升学术质量。</w:t>
      </w:r>
      <w:bookmarkStart w:id="215" w:name="bookmark75"/>
      <w:bookmarkEnd w:id="215"/>
    </w:p>
    <w:p w14:paraId="2E41DA4D">
      <w:pPr>
        <w:ind w:firstLine="480" w:firstLineChars="200"/>
        <w:rPr>
          <w:lang w:eastAsia="zh-CN"/>
        </w:rPr>
      </w:pPr>
      <w:r>
        <w:rPr>
          <w:lang w:eastAsia="zh-CN"/>
        </w:rPr>
        <w:t>学校工会在区总工会、区教育工会及学校党委领导下，以服务教职工为核心，充分发挥自身优势，致力于成为教职工信赖的</w:t>
      </w:r>
      <w:r>
        <w:rPr>
          <w:rFonts w:hint="eastAsia"/>
          <w:lang w:eastAsia="zh-CN"/>
        </w:rPr>
        <w:t>“</w:t>
      </w:r>
      <w:r>
        <w:rPr>
          <w:lang w:eastAsia="zh-CN"/>
        </w:rPr>
        <w:t>家</w:t>
      </w:r>
      <w:r>
        <w:rPr>
          <w:rFonts w:hint="eastAsia"/>
          <w:lang w:eastAsia="zh-CN"/>
        </w:rPr>
        <w:t>”</w:t>
      </w:r>
      <w:r>
        <w:rPr>
          <w:lang w:eastAsia="zh-CN"/>
        </w:rPr>
        <w:t>。工会积极履行基本职责，推动学校民主管理和监督机制建设。</w:t>
      </w:r>
      <w:r>
        <w:rPr>
          <w:rFonts w:hint="eastAsia"/>
          <w:lang w:eastAsia="zh-CN"/>
        </w:rPr>
        <w:t>各</w:t>
      </w:r>
      <w:r>
        <w:rPr>
          <w:lang w:eastAsia="zh-CN"/>
        </w:rPr>
        <w:t>学校</w:t>
      </w:r>
      <w:r>
        <w:rPr>
          <w:rFonts w:hint="eastAsia"/>
          <w:lang w:eastAsia="zh-CN"/>
        </w:rPr>
        <w:t>推进以教职工代表大会为主体的民主监督体系建设，重庆市九龙坡职业教育中心通过教代会、家代会、学生会等平台，建立民主参与数据采集机制，通过线上问卷，下线集中的方式，处理反馈率达到100%，确保民主监督落到实处。</w:t>
      </w:r>
    </w:p>
    <w:p w14:paraId="2F60949D">
      <w:pPr>
        <w:ind w:firstLine="480" w:firstLineChars="200"/>
        <w:rPr>
          <w:lang w:eastAsia="zh-CN"/>
        </w:rPr>
      </w:pPr>
      <w:bookmarkStart w:id="216" w:name="bookmark76"/>
      <w:bookmarkEnd w:id="216"/>
      <w:r>
        <w:rPr>
          <w:lang w:eastAsia="zh-CN"/>
        </w:rPr>
        <w:t>为进一步完善社会参与机制，</w:t>
      </w:r>
      <w:r>
        <w:rPr>
          <w:rFonts w:hint="eastAsia"/>
          <w:lang w:eastAsia="zh-CN"/>
        </w:rPr>
        <w:t>各</w:t>
      </w:r>
      <w:r>
        <w:rPr>
          <w:lang w:eastAsia="zh-CN"/>
        </w:rPr>
        <w:t>学校积极推进理事会与校友会的建设，旨在吸收包括办学利益主体在内的多方力量，共同参与学校的建设、发展、管理及监督过程。</w:t>
      </w:r>
      <w:r>
        <w:rPr>
          <w:rFonts w:hint="eastAsia"/>
          <w:lang w:eastAsia="zh-CN"/>
        </w:rPr>
        <w:t>重庆市工艺美术学校以建校70周年为契机，通过举办70年教育成果展，全面展示学校教育教学成就，举行高质量发展专家聘书颁发仪式和6位非遗大师工作室揭牌仪式，与四川美术学院美育学院签订战略合作协议，拉开与铜罐驿镇合作开展乡村振兴社会实践的序幕。</w:t>
      </w:r>
      <w:r>
        <w:rPr>
          <w:lang w:eastAsia="zh-CN"/>
        </w:rPr>
        <w:t>通过这一举措，学校不仅拓宽了社会参与和支持办学的渠道，还增强了与社会各界的联系与合作，为学校的发展注入了新的活力与资源。</w:t>
      </w:r>
    </w:p>
    <w:p w14:paraId="2732204E">
      <w:pPr>
        <w:pStyle w:val="7"/>
        <w:ind w:left="1850" w:leftChars="200" w:hanging="1370" w:hangingChars="650"/>
        <w:jc w:val="center"/>
        <w:rPr>
          <w:sz w:val="21"/>
          <w:szCs w:val="21"/>
        </w:rPr>
      </w:pPr>
      <w:bookmarkStart w:id="217" w:name="_Toc20759"/>
      <w:bookmarkStart w:id="218" w:name="_Toc4684"/>
      <w:bookmarkStart w:id="219" w:name="_Toc23734"/>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25</w:t>
      </w:r>
      <w:r>
        <w:rPr>
          <w:rFonts w:hint="default" w:ascii="Times New Roman" w:hAnsi="Times New Roman" w:eastAsia="黑体" w:cs="Times New Roman"/>
          <w:b/>
          <w:bCs/>
          <w:color w:val="2E54A1" w:themeColor="accent1" w:themeShade="BF"/>
          <w:sz w:val="21"/>
          <w:szCs w:val="21"/>
        </w:rPr>
        <w:fldChar w:fldCharType="end"/>
      </w:r>
      <w:bookmarkStart w:id="220" w:name="_Toc21373"/>
      <w:r>
        <w:rPr>
          <w:rFonts w:hint="default" w:ascii="Times New Roman" w:hAnsi="Times New Roman" w:eastAsia="黑体" w:cs="Times New Roman"/>
          <w:b/>
          <w:bCs/>
          <w:color w:val="2E54A1" w:themeColor="accent1" w:themeShade="BF"/>
          <w:sz w:val="21"/>
          <w:szCs w:val="21"/>
        </w:rPr>
        <w:t>】</w:t>
      </w:r>
      <w:r>
        <w:rPr>
          <w:rFonts w:eastAsia="黑体"/>
          <w:b/>
          <w:bCs/>
          <w:color w:val="2E54A1" w:themeColor="accent1" w:themeShade="BF"/>
          <w:sz w:val="21"/>
          <w:szCs w:val="21"/>
        </w:rPr>
        <w:t xml:space="preserve">  重庆市九龙坡职业教育中心</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一核三治</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促学校高质量发展</w:t>
      </w:r>
      <w:bookmarkEnd w:id="220"/>
    </w:p>
    <w:bookmarkEnd w:id="217"/>
    <w:bookmarkEnd w:id="218"/>
    <w:bookmarkEnd w:id="219"/>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44C7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9" w:type="dxa"/>
            <w:tcBorders>
              <w:top w:val="single" w:color="FFFFFF" w:sz="4" w:space="0"/>
              <w:left w:val="single" w:color="FFFFFF" w:sz="4" w:space="0"/>
              <w:bottom w:val="single" w:color="FFFFFF" w:sz="4" w:space="0"/>
              <w:right w:val="single" w:color="FFFFFF" w:sz="4" w:space="0"/>
              <w:tl2br w:val="nil"/>
            </w:tcBorders>
            <w:shd w:val="clear" w:color="auto" w:fill="DAE3F5"/>
          </w:tcPr>
          <w:p w14:paraId="490E1EEF">
            <w:pPr>
              <w:ind w:firstLine="420" w:firstLineChars="200"/>
              <w:rPr>
                <w:rFonts w:eastAsia="楷体" w:cs="Times New Roman"/>
                <w:sz w:val="21"/>
                <w:szCs w:val="21"/>
                <w:lang w:eastAsia="zh-CN"/>
              </w:rPr>
            </w:pPr>
            <w:r>
              <w:rPr>
                <w:rFonts w:hint="eastAsia" w:eastAsia="楷体" w:cs="Times New Roman"/>
                <w:sz w:val="21"/>
                <w:szCs w:val="21"/>
                <w:lang w:eastAsia="zh-CN"/>
              </w:rPr>
              <w:t>职业教育提质培优阶段，质量是中职学校核心竞争力。为破解管理协同不足等问题，学校探索“一核三治”治理模式，以党建为核心，融合法治、共治、善治，筑牢高质量发展根基。一是党建引领树标杆。挖掘校史“红色基因”，打造“智德党建”品牌，通过理论课堂“铸魂”、红色广场“探史”、技能大赛“提质”等“五维联动”举措，提升师生政治素养，以党建引领治理。二是制度保障强基础。建立制度“改立废”机制，修订教育教学、后勤等领域制度，形成《公共服务管理制度》等，同时构建“三全育人”体系，成立家委会落实共治责任，实现依规治理。三是创新驱动促善治。深化产教融合与校园学徒制改革，试点学分银行，建立学生综合素质评价体系，推动治理向“优质高效”升级。该模式助推学校内涵发展，斩获重庆市党建双创示范校、职业教育以赛促教优秀校、双优A类优质校等10余项市级荣誉。核心能力显著提升，在技能集训等领域优势突出，获批电子技术、物联网技术世赛辅基地及虚拟实训、职教师资基地，为师生搭建成长平台，彰显模式强大赋能作用。</w:t>
            </w:r>
          </w:p>
          <w:p w14:paraId="3DC5A56B">
            <w:pPr>
              <w:spacing w:line="240" w:lineRule="auto"/>
              <w:jc w:val="center"/>
              <w:rPr>
                <w:sz w:val="21"/>
                <w:szCs w:val="21"/>
                <w:lang w:eastAsia="zh-CN"/>
              </w:rPr>
            </w:pPr>
            <w:r>
              <w:rPr>
                <w:sz w:val="21"/>
                <w:szCs w:val="21"/>
                <w:lang w:eastAsia="zh-CN"/>
              </w:rPr>
              <w:drawing>
                <wp:inline distT="0" distB="0" distL="114300" distR="114300">
                  <wp:extent cx="3636010" cy="2479675"/>
                  <wp:effectExtent l="0" t="0" r="1905" b="3175"/>
                  <wp:docPr id="59" name="图片 59" descr="jimeng-2025-12-19-8048-学校探索“一核三治”治理模式，以党建为核心，融合法治、共治、善治，筑牢高质量发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jimeng-2025-12-19-8048-学校探索“一核三治”治理模式，以党建为核心，融合法治、共治、善治，筑牢高质量发展..."/>
                          <pic:cNvPicPr>
                            <a:picLocks noChangeAspect="1"/>
                          </pic:cNvPicPr>
                        </pic:nvPicPr>
                        <pic:blipFill>
                          <a:blip r:embed="rId39"/>
                          <a:stretch>
                            <a:fillRect/>
                          </a:stretch>
                        </pic:blipFill>
                        <pic:spPr>
                          <a:xfrm>
                            <a:off x="0" y="0"/>
                            <a:ext cx="3636010" cy="2479675"/>
                          </a:xfrm>
                          <a:prstGeom prst="rect">
                            <a:avLst/>
                          </a:prstGeom>
                        </pic:spPr>
                      </pic:pic>
                    </a:graphicData>
                  </a:graphic>
                </wp:inline>
              </w:drawing>
            </w:r>
          </w:p>
          <w:p w14:paraId="6267D79B">
            <w:pPr>
              <w:pStyle w:val="7"/>
              <w:rPr>
                <w:rFonts w:hint="eastAsia" w:eastAsia="楷体"/>
                <w:sz w:val="21"/>
                <w:szCs w:val="21"/>
                <w:lang w:eastAsia="zh-CN"/>
              </w:rPr>
            </w:pPr>
            <w:bookmarkStart w:id="221" w:name="_Toc14051"/>
            <w:bookmarkStart w:id="222" w:name="_Toc2468"/>
            <w:bookmarkStart w:id="223" w:name="_Toc15513"/>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24</w:t>
            </w:r>
            <w:r>
              <w:rPr>
                <w:sz w:val="21"/>
                <w:szCs w:val="21"/>
              </w:rPr>
              <w:fldChar w:fldCharType="end"/>
            </w:r>
            <w:bookmarkStart w:id="224" w:name="_Toc18957"/>
            <w:r>
              <w:rPr>
                <w:rFonts w:hint="eastAsia"/>
                <w:sz w:val="21"/>
                <w:szCs w:val="21"/>
                <w:lang w:val="en-US" w:eastAsia="zh-CN"/>
              </w:rPr>
              <w:t xml:space="preserve">  </w:t>
            </w:r>
            <w:r>
              <w:rPr>
                <w:rFonts w:hint="eastAsia"/>
                <w:sz w:val="21"/>
                <w:szCs w:val="21"/>
              </w:rPr>
              <w:t>重庆市九龙坡职业教育中心</w:t>
            </w:r>
            <w:r>
              <w:rPr>
                <w:rFonts w:hint="eastAsia"/>
                <w:sz w:val="21"/>
                <w:szCs w:val="21"/>
                <w:lang w:eastAsia="zh-CN"/>
              </w:rPr>
              <w:t>“</w:t>
            </w:r>
            <w:r>
              <w:rPr>
                <w:sz w:val="21"/>
                <w:szCs w:val="21"/>
              </w:rPr>
              <w:t>一核三治</w:t>
            </w:r>
            <w:r>
              <w:rPr>
                <w:rFonts w:hint="eastAsia"/>
                <w:sz w:val="21"/>
                <w:szCs w:val="21"/>
                <w:lang w:eastAsia="zh-CN"/>
              </w:rPr>
              <w:t>”</w:t>
            </w:r>
            <w:r>
              <w:rPr>
                <w:sz w:val="21"/>
                <w:szCs w:val="21"/>
              </w:rPr>
              <w:t>治理模式</w:t>
            </w:r>
            <w:bookmarkEnd w:id="221"/>
            <w:bookmarkEnd w:id="222"/>
            <w:bookmarkEnd w:id="223"/>
            <w:bookmarkEnd w:id="224"/>
            <w:r>
              <w:rPr>
                <w:rFonts w:hint="eastAsia"/>
                <w:sz w:val="21"/>
                <w:szCs w:val="21"/>
                <w:lang w:eastAsia="zh-CN"/>
              </w:rPr>
              <w:t>图示</w:t>
            </w:r>
          </w:p>
        </w:tc>
      </w:tr>
    </w:tbl>
    <w:p w14:paraId="29BEA717">
      <w:pPr>
        <w:pStyle w:val="7"/>
        <w:ind w:left="1850" w:leftChars="200" w:hanging="1370" w:hangingChars="650"/>
        <w:jc w:val="center"/>
        <w:rPr>
          <w:sz w:val="21"/>
          <w:szCs w:val="21"/>
        </w:rPr>
      </w:pPr>
      <w:r>
        <w:rPr>
          <w:rFonts w:hint="default" w:ascii="Times New Roman" w:hAnsi="Times New Roman" w:eastAsia="黑体" w:cs="Times New Roman"/>
          <w:b/>
          <w:bCs/>
          <w:color w:val="2E54A1" w:themeColor="accent1" w:themeShade="BF"/>
          <w:sz w:val="21"/>
          <w:szCs w:val="21"/>
        </w:rPr>
        <w:t>【案例</w:t>
      </w:r>
      <w:r>
        <w:rPr>
          <w:rFonts w:hint="default" w:ascii="Times New Roman" w:hAnsi="Times New Roman" w:eastAsia="黑体" w:cs="Times New Roman"/>
          <w:b/>
          <w:bCs/>
          <w:color w:val="2E54A1" w:themeColor="accent1" w:themeShade="BF"/>
          <w:sz w:val="21"/>
          <w:szCs w:val="21"/>
        </w:rPr>
        <w:fldChar w:fldCharType="begin"/>
      </w:r>
      <w:r>
        <w:rPr>
          <w:rFonts w:hint="default" w:ascii="Times New Roman" w:hAnsi="Times New Roman" w:eastAsia="黑体" w:cs="Times New Roman"/>
          <w:b/>
          <w:bCs/>
          <w:color w:val="2E54A1" w:themeColor="accent1" w:themeShade="BF"/>
          <w:sz w:val="21"/>
          <w:szCs w:val="21"/>
        </w:rPr>
        <w:instrText xml:space="preserve"> SEQ 案例 \* ARABIC </w:instrText>
      </w:r>
      <w:r>
        <w:rPr>
          <w:rFonts w:hint="default" w:ascii="Times New Roman" w:hAnsi="Times New Roman" w:eastAsia="黑体" w:cs="Times New Roman"/>
          <w:b/>
          <w:bCs/>
          <w:color w:val="2E54A1" w:themeColor="accent1" w:themeShade="BF"/>
          <w:sz w:val="21"/>
          <w:szCs w:val="21"/>
        </w:rPr>
        <w:fldChar w:fldCharType="separate"/>
      </w:r>
      <w:r>
        <w:rPr>
          <w:rFonts w:hint="default" w:ascii="Times New Roman" w:hAnsi="Times New Roman" w:eastAsia="黑体" w:cs="Times New Roman"/>
          <w:b/>
          <w:bCs/>
          <w:color w:val="2E54A1" w:themeColor="accent1" w:themeShade="BF"/>
          <w:sz w:val="21"/>
          <w:szCs w:val="21"/>
        </w:rPr>
        <w:t>26</w:t>
      </w:r>
      <w:r>
        <w:rPr>
          <w:rFonts w:hint="default" w:ascii="Times New Roman" w:hAnsi="Times New Roman" w:eastAsia="黑体" w:cs="Times New Roman"/>
          <w:b/>
          <w:bCs/>
          <w:color w:val="2E54A1" w:themeColor="accent1" w:themeShade="BF"/>
          <w:sz w:val="21"/>
          <w:szCs w:val="21"/>
        </w:rPr>
        <w:fldChar w:fldCharType="end"/>
      </w:r>
      <w:bookmarkStart w:id="225" w:name="_Toc4330"/>
      <w:r>
        <w:rPr>
          <w:rFonts w:hint="default" w:ascii="Times New Roman" w:hAnsi="Times New Roman" w:eastAsia="黑体" w:cs="Times New Roman"/>
          <w:b/>
          <w:bCs/>
          <w:color w:val="2E54A1" w:themeColor="accent1" w:themeShade="BF"/>
          <w:sz w:val="21"/>
          <w:szCs w:val="21"/>
        </w:rPr>
        <w:t>】</w:t>
      </w:r>
      <w:r>
        <w:rPr>
          <w:rFonts w:eastAsia="黑体"/>
          <w:b/>
          <w:bCs/>
          <w:color w:val="2E54A1" w:themeColor="accent1" w:themeShade="BF"/>
          <w:sz w:val="21"/>
          <w:szCs w:val="21"/>
        </w:rPr>
        <w:t xml:space="preserve">  重庆市工艺美术学校</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四轮驱动</w:t>
      </w:r>
      <w:r>
        <w:rPr>
          <w:rFonts w:hint="eastAsia" w:eastAsia="黑体"/>
          <w:b/>
          <w:bCs/>
          <w:color w:val="2E54A1" w:themeColor="accent1" w:themeShade="BF"/>
          <w:sz w:val="21"/>
          <w:szCs w:val="21"/>
          <w:lang w:eastAsia="zh-CN"/>
        </w:rPr>
        <w:t>”</w:t>
      </w:r>
      <w:r>
        <w:rPr>
          <w:rFonts w:eastAsia="黑体"/>
          <w:b/>
          <w:bCs/>
          <w:color w:val="2E54A1" w:themeColor="accent1" w:themeShade="BF"/>
          <w:sz w:val="21"/>
          <w:szCs w:val="21"/>
        </w:rPr>
        <w:t>构建现代治理体系</w:t>
      </w:r>
      <w:bookmarkEnd w:id="225"/>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9"/>
      </w:tblGrid>
      <w:tr w14:paraId="77B2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9" w:type="dxa"/>
            <w:tcBorders>
              <w:top w:val="single" w:color="FFFFFF" w:sz="4" w:space="0"/>
              <w:left w:val="single" w:color="FFFFFF" w:sz="4" w:space="0"/>
              <w:bottom w:val="single" w:color="FFFFFF" w:sz="4" w:space="0"/>
              <w:right w:val="single" w:color="FFFFFF" w:sz="4" w:space="0"/>
              <w:tl2br w:val="nil"/>
            </w:tcBorders>
            <w:shd w:val="clear" w:color="auto" w:fill="DAE3F5"/>
          </w:tcPr>
          <w:p w14:paraId="121CD8B4">
            <w:pPr>
              <w:ind w:firstLine="420" w:firstLineChars="200"/>
              <w:rPr>
                <w:sz w:val="21"/>
                <w:szCs w:val="21"/>
                <w:lang w:eastAsia="zh-CN"/>
              </w:rPr>
            </w:pPr>
            <w:r>
              <w:rPr>
                <w:rFonts w:hint="eastAsia" w:eastAsia="楷体" w:cs="Times New Roman"/>
                <w:sz w:val="21"/>
                <w:szCs w:val="21"/>
                <w:lang w:eastAsia="zh-CN"/>
              </w:rPr>
              <w:t>学校围绕决策科学化、监督民主化、参与社会化、运行数字化，系统构建现代治理体系。一是规范决策机制，严格执行“三重一大”制度，落实议题申请、材料预审、集体研究、“一把手”末位发言等程序，全年党委会、校长办公会决策重大事项40余项；二是健全民主监督体系，工会切实履职，全年召开教代会2次，审议通过《职称评审办法》等关键制度，保障教职工知情权、参与权；三是拓展社会参与渠道，成功举办建校70周年教育成果展，聘请6位非遗大师入驻工作室，与四川美术学院美育学院签订战略协议，形成“政校行企社”多元共治格局；四是提升数字治理能力，启用“成果积分平台”累计录入数据43万余条，实现评价、考核、反馈全流程数字化。该体系有效提升了治理效能，为学校“双优计划”高质量收官提供了制度保障。</w:t>
            </w:r>
          </w:p>
        </w:tc>
      </w:tr>
    </w:tbl>
    <w:p w14:paraId="076E33A3">
      <w:pPr>
        <w:pStyle w:val="3"/>
        <w:spacing w:before="327" w:after="327"/>
      </w:pPr>
      <w:bookmarkStart w:id="226" w:name="bookmark77"/>
      <w:bookmarkEnd w:id="226"/>
      <w:bookmarkStart w:id="227" w:name="_Toc11528"/>
      <w:r>
        <w:t xml:space="preserve">7.4 </w:t>
      </w:r>
      <w:r>
        <w:rPr>
          <w:rFonts w:hint="eastAsia" w:ascii="方正黑体_GBK" w:hAnsi="方正黑体_GBK" w:eastAsia="方正黑体_GBK" w:cs="方正黑体_GBK"/>
        </w:rPr>
        <w:t>质量保证</w:t>
      </w:r>
      <w:bookmarkEnd w:id="227"/>
    </w:p>
    <w:p w14:paraId="29BF9D34">
      <w:pPr>
        <w:ind w:firstLine="480" w:firstLineChars="200"/>
        <w:rPr>
          <w:lang w:eastAsia="zh-CN"/>
        </w:rPr>
      </w:pPr>
      <w:r>
        <w:rPr>
          <w:rFonts w:hint="eastAsia"/>
          <w:lang w:eastAsia="zh-CN"/>
        </w:rPr>
        <w:t>九龙坡</w:t>
      </w:r>
      <w:r>
        <w:rPr>
          <w:lang w:eastAsia="zh-CN"/>
        </w:rPr>
        <w:t>区党委</w:t>
      </w:r>
      <w:r>
        <w:rPr>
          <w:rFonts w:hint="eastAsia"/>
          <w:lang w:eastAsia="zh-CN"/>
        </w:rPr>
        <w:t>、</w:t>
      </w:r>
      <w:r>
        <w:rPr>
          <w:lang w:eastAsia="zh-CN"/>
        </w:rPr>
        <w:t>政府深入贯彻落实《国务院关于加快发展现代职业教育的决定》，</w:t>
      </w:r>
      <w:r>
        <w:rPr>
          <w:rFonts w:hint="eastAsia"/>
          <w:lang w:eastAsia="zh-CN"/>
        </w:rPr>
        <w:t>牢固</w:t>
      </w:r>
      <w:r>
        <w:rPr>
          <w:lang w:eastAsia="zh-CN"/>
        </w:rPr>
        <w:t>树立质量立教意识，建立区分管领导－区教委分管领导－－片区督学－－</w:t>
      </w:r>
      <w:r>
        <w:rPr>
          <w:rFonts w:hint="eastAsia"/>
          <w:lang w:eastAsia="zh-CN"/>
        </w:rPr>
        <w:t>业务科室</w:t>
      </w:r>
      <w:r>
        <w:rPr>
          <w:lang w:eastAsia="zh-CN"/>
        </w:rPr>
        <w:t>－－教师进修学院逐级负责的职业教育质量保证领导组织机构</w:t>
      </w:r>
      <w:r>
        <w:rPr>
          <w:rFonts w:hint="eastAsia"/>
          <w:lang w:eastAsia="zh-CN"/>
        </w:rPr>
        <w:t>，</w:t>
      </w:r>
      <w:r>
        <w:rPr>
          <w:lang w:eastAsia="zh-CN"/>
        </w:rPr>
        <w:t>构建监督与评估保障机制，每月定期督促检查学校发展状况、各项工作落实情况，及时反馈和指导学校发展路径，并实施阶段考核和终结考核。</w:t>
      </w:r>
      <w:r>
        <w:rPr>
          <w:rFonts w:hint="eastAsia"/>
          <w:lang w:eastAsia="zh-CN"/>
        </w:rPr>
        <w:t>各学校持续完善以目标管理、过程监控、队伍建设、评价改革与文化涵育为核心的质量保证体系，系统推进教育教学治理现代化</w:t>
      </w:r>
      <w:r>
        <w:rPr>
          <w:lang w:eastAsia="zh-CN"/>
        </w:rPr>
        <w:t>。重庆市九龙坡职业教育中心</w:t>
      </w:r>
      <w:r>
        <w:rPr>
          <w:rFonts w:hint="eastAsia"/>
          <w:lang w:eastAsia="zh-CN"/>
        </w:rPr>
        <w:t>扎实推进学生综合素质评价体系改革，健全涵盖品德发展、学业水平、身心健康、艺术素养与社会实践的多维度评价标准，优化学分认定、积累与转换机制，细化《非学历学习成果认定办法》等制度，拓宽学生成长成才路径。重庆市工艺美术学校构建多元主体评价机制，通过学生评教、同行评教、职能部门评价，积极推行“成果积分平台”运用，累计录入评价数据43.3万余份，为管理决策提供坚实数据支撑。</w:t>
      </w:r>
    </w:p>
    <w:p w14:paraId="36FE9514">
      <w:pPr>
        <w:ind w:firstLine="480" w:firstLineChars="200"/>
        <w:rPr>
          <w:lang w:eastAsia="zh-CN"/>
        </w:rPr>
      </w:pPr>
      <w:bookmarkStart w:id="228" w:name="_Toc216365831"/>
      <w:bookmarkStart w:id="229" w:name="_Toc216364365"/>
      <w:bookmarkStart w:id="230" w:name="_Toc216363544"/>
      <w:r>
        <w:rPr>
          <w:rFonts w:hint="eastAsia"/>
          <w:lang w:eastAsia="zh-CN"/>
        </w:rPr>
        <w:t>全区中职学校高度重视年报编制与应用，将其作为赋能办学治校、提升教育教学质量的重要抓手，通过系统梳理办学全流程数据、复盘工作成效、研判短板不足，为科学决策、精准施策提供坚实支撑，推动整体办学水平持续提升。</w:t>
      </w:r>
      <w:bookmarkEnd w:id="228"/>
      <w:bookmarkEnd w:id="229"/>
      <w:bookmarkEnd w:id="230"/>
      <w:bookmarkStart w:id="231" w:name="_Toc216365833"/>
      <w:bookmarkStart w:id="232" w:name="_Toc216363546"/>
      <w:bookmarkStart w:id="233" w:name="_Toc216364367"/>
      <w:r>
        <w:rPr>
          <w:rFonts w:hint="eastAsia"/>
          <w:lang w:eastAsia="zh-CN"/>
        </w:rPr>
        <w:t>通过年报的常态化应用，学校实现工作成效精准复盘与问题短板靶向整改，推动管理效能与教学质量双向提升，为构建科学完善的办学体系、实现内涵式高质量发展筑牢基础。</w:t>
      </w:r>
      <w:bookmarkEnd w:id="231"/>
      <w:bookmarkEnd w:id="232"/>
      <w:bookmarkEnd w:id="233"/>
    </w:p>
    <w:p w14:paraId="5FA9FB27">
      <w:pPr>
        <w:pStyle w:val="3"/>
        <w:spacing w:before="327" w:after="327"/>
      </w:pPr>
      <w:bookmarkStart w:id="234" w:name="bookmark78"/>
      <w:bookmarkEnd w:id="234"/>
      <w:bookmarkStart w:id="235" w:name="_Toc25179"/>
      <w:r>
        <w:t>7.5</w:t>
      </w:r>
      <w:r>
        <w:rPr>
          <w:rFonts w:hint="eastAsia"/>
        </w:rPr>
        <w:t xml:space="preserve"> </w:t>
      </w:r>
      <w:r>
        <w:rPr>
          <w:rFonts w:hint="eastAsia" w:ascii="方正黑体_GBK" w:hAnsi="方正黑体_GBK" w:eastAsia="方正黑体_GBK" w:cs="方正黑体_GBK"/>
        </w:rPr>
        <w:t>经费保障</w:t>
      </w:r>
      <w:bookmarkEnd w:id="235"/>
    </w:p>
    <w:p w14:paraId="0BBA43A4">
      <w:pPr>
        <w:bidi w:val="0"/>
        <w:ind w:firstLine="480" w:firstLineChars="200"/>
        <w:rPr>
          <w:rFonts w:hint="eastAsia"/>
          <w:lang w:eastAsia="zh-CN"/>
        </w:rPr>
      </w:pPr>
      <w:r>
        <w:rPr>
          <w:rFonts w:hint="eastAsia"/>
          <w:lang w:eastAsia="zh-CN"/>
        </w:rPr>
        <w:t>2025年，九龙坡区依法依规，有效规划安排职业教育资金，保障全区中职学校高质量发展，各中职学校全年总收入19544.66万元，其中，中央、地方财政专项投入5297.95万元，财政经常性补助收入11555.79万元，学费收入1651.79万元，其他收入1037.55万元，年生均财政拨款3283元。</w:t>
      </w:r>
    </w:p>
    <w:p w14:paraId="18EEA58C">
      <w:pPr>
        <w:pStyle w:val="7"/>
      </w:pPr>
      <w:bookmarkStart w:id="236" w:name="bookmark295"/>
      <w:bookmarkEnd w:id="236"/>
      <w:r>
        <w:t>表</w:t>
      </w:r>
      <w:r>
        <w:fldChar w:fldCharType="begin"/>
      </w:r>
      <w:r>
        <w:instrText xml:space="preserve"> SEQ 表 \* ARABIC </w:instrText>
      </w:r>
      <w:r>
        <w:fldChar w:fldCharType="separate"/>
      </w:r>
      <w:r>
        <w:t>14</w:t>
      </w:r>
      <w:r>
        <w:fldChar w:fldCharType="end"/>
      </w:r>
      <w:bookmarkStart w:id="237" w:name="_Toc27246"/>
      <w:r>
        <w:rPr>
          <w:rFonts w:hint="eastAsia"/>
        </w:rPr>
        <w:t xml:space="preserve">  </w:t>
      </w:r>
      <w:r>
        <w:t xml:space="preserve">2024 </w:t>
      </w:r>
      <w:r>
        <w:rPr>
          <w:rFonts w:hint="eastAsia"/>
        </w:rPr>
        <w:t>-2025</w:t>
      </w:r>
      <w:r>
        <w:t>年</w:t>
      </w:r>
      <w:r>
        <w:rPr>
          <w:rFonts w:hint="eastAsia"/>
          <w:lang w:eastAsia="zh-CN"/>
        </w:rPr>
        <w:t>全区</w:t>
      </w:r>
      <w:r>
        <w:rPr>
          <w:rFonts w:hint="eastAsia"/>
        </w:rPr>
        <w:t>中职学校办学经费情况一览表</w:t>
      </w:r>
      <w:bookmarkEnd w:id="237"/>
    </w:p>
    <w:tbl>
      <w:tblPr>
        <w:tblStyle w:val="25"/>
        <w:tblW w:w="51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5"/>
        <w:gridCol w:w="1201"/>
        <w:gridCol w:w="1492"/>
        <w:gridCol w:w="1389"/>
        <w:gridCol w:w="844"/>
        <w:gridCol w:w="980"/>
        <w:gridCol w:w="1000"/>
        <w:gridCol w:w="1152"/>
      </w:tblGrid>
      <w:tr w14:paraId="106F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44" w:type="pct"/>
            <w:vMerge w:val="restart"/>
            <w:shd w:val="clear" w:color="auto" w:fill="DAE3F5"/>
            <w:vAlign w:val="center"/>
          </w:tcPr>
          <w:p w14:paraId="165198F8">
            <w:pPr>
              <w:bidi w:val="0"/>
              <w:jc w:val="center"/>
              <w:rPr>
                <w:sz w:val="20"/>
                <w:szCs w:val="20"/>
                <w:lang w:eastAsia="zh-CN"/>
              </w:rPr>
            </w:pPr>
            <w:r>
              <w:rPr>
                <w:sz w:val="20"/>
                <w:szCs w:val="20"/>
              </w:rPr>
              <w:t>年</w:t>
            </w:r>
            <w:r>
              <w:rPr>
                <w:rFonts w:hint="eastAsia"/>
                <w:sz w:val="20"/>
                <w:szCs w:val="20"/>
                <w:lang w:eastAsia="zh-CN"/>
              </w:rPr>
              <w:t>份</w:t>
            </w:r>
          </w:p>
        </w:tc>
        <w:tc>
          <w:tcPr>
            <w:tcW w:w="679" w:type="pct"/>
            <w:vMerge w:val="restart"/>
            <w:shd w:val="clear" w:color="auto" w:fill="DAE3F5"/>
            <w:vAlign w:val="center"/>
          </w:tcPr>
          <w:p w14:paraId="536622E8">
            <w:pPr>
              <w:bidi w:val="0"/>
              <w:jc w:val="center"/>
              <w:rPr>
                <w:sz w:val="20"/>
                <w:szCs w:val="20"/>
              </w:rPr>
            </w:pPr>
            <w:r>
              <w:rPr>
                <w:sz w:val="20"/>
                <w:szCs w:val="20"/>
              </w:rPr>
              <w:t>学校总收入</w:t>
            </w:r>
          </w:p>
          <w:p w14:paraId="1055FCB2">
            <w:pPr>
              <w:bidi w:val="0"/>
              <w:jc w:val="center"/>
              <w:rPr>
                <w:sz w:val="20"/>
                <w:szCs w:val="20"/>
              </w:rPr>
            </w:pPr>
            <w:r>
              <w:rPr>
                <w:sz w:val="20"/>
                <w:szCs w:val="20"/>
              </w:rPr>
              <w:t>（万元）</w:t>
            </w:r>
          </w:p>
        </w:tc>
        <w:tc>
          <w:tcPr>
            <w:tcW w:w="3224" w:type="pct"/>
            <w:gridSpan w:val="5"/>
            <w:shd w:val="clear" w:color="auto" w:fill="DAE3F5"/>
            <w:vAlign w:val="center"/>
          </w:tcPr>
          <w:p w14:paraId="4DCBE70B">
            <w:pPr>
              <w:bidi w:val="0"/>
              <w:jc w:val="center"/>
              <w:rPr>
                <w:sz w:val="20"/>
                <w:szCs w:val="20"/>
              </w:rPr>
            </w:pPr>
            <w:r>
              <w:rPr>
                <w:sz w:val="20"/>
                <w:szCs w:val="20"/>
              </w:rPr>
              <w:t>其中</w:t>
            </w:r>
          </w:p>
        </w:tc>
        <w:tc>
          <w:tcPr>
            <w:tcW w:w="651" w:type="pct"/>
            <w:vMerge w:val="restart"/>
            <w:shd w:val="clear" w:color="auto" w:fill="DAE3F5"/>
            <w:vAlign w:val="center"/>
          </w:tcPr>
          <w:p w14:paraId="226B7B8C">
            <w:pPr>
              <w:bidi w:val="0"/>
              <w:jc w:val="center"/>
              <w:rPr>
                <w:sz w:val="20"/>
                <w:szCs w:val="20"/>
                <w:lang w:eastAsia="zh-CN"/>
              </w:rPr>
            </w:pPr>
            <w:r>
              <w:rPr>
                <w:sz w:val="20"/>
                <w:szCs w:val="20"/>
                <w:lang w:eastAsia="zh-CN"/>
              </w:rPr>
              <w:t>年生均财政拨款水平（元）</w:t>
            </w:r>
          </w:p>
        </w:tc>
      </w:tr>
      <w:tr w14:paraId="1FDD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8" w:hRule="atLeast"/>
          <w:jc w:val="center"/>
        </w:trPr>
        <w:tc>
          <w:tcPr>
            <w:tcW w:w="444" w:type="pct"/>
            <w:vMerge w:val="continue"/>
            <w:shd w:val="clear" w:color="auto" w:fill="DAE3F5"/>
            <w:vAlign w:val="center"/>
          </w:tcPr>
          <w:p w14:paraId="1D0BAA85">
            <w:pPr>
              <w:bidi w:val="0"/>
              <w:jc w:val="center"/>
              <w:rPr>
                <w:sz w:val="20"/>
                <w:szCs w:val="20"/>
                <w:lang w:eastAsia="zh-CN"/>
              </w:rPr>
            </w:pPr>
          </w:p>
        </w:tc>
        <w:tc>
          <w:tcPr>
            <w:tcW w:w="679" w:type="pct"/>
            <w:vMerge w:val="continue"/>
            <w:shd w:val="clear" w:color="auto" w:fill="DAE3F5"/>
            <w:vAlign w:val="center"/>
          </w:tcPr>
          <w:p w14:paraId="63995EFF">
            <w:pPr>
              <w:bidi w:val="0"/>
              <w:jc w:val="center"/>
              <w:rPr>
                <w:sz w:val="20"/>
                <w:szCs w:val="20"/>
                <w:lang w:eastAsia="zh-CN"/>
              </w:rPr>
            </w:pPr>
          </w:p>
        </w:tc>
        <w:tc>
          <w:tcPr>
            <w:tcW w:w="843" w:type="pct"/>
            <w:shd w:val="clear" w:color="auto" w:fill="DAE3F5"/>
            <w:vAlign w:val="center"/>
          </w:tcPr>
          <w:p w14:paraId="172C5845">
            <w:pPr>
              <w:bidi w:val="0"/>
              <w:jc w:val="center"/>
              <w:rPr>
                <w:sz w:val="20"/>
                <w:szCs w:val="20"/>
                <w:lang w:eastAsia="zh-CN"/>
              </w:rPr>
            </w:pPr>
            <w:r>
              <w:rPr>
                <w:sz w:val="20"/>
                <w:szCs w:val="20"/>
                <w:lang w:eastAsia="zh-CN"/>
              </w:rPr>
              <w:t>中央、地方财政专项投入合计</w:t>
            </w:r>
          </w:p>
          <w:p w14:paraId="665F9CD0">
            <w:pPr>
              <w:bidi w:val="0"/>
              <w:jc w:val="center"/>
              <w:rPr>
                <w:sz w:val="20"/>
                <w:szCs w:val="20"/>
              </w:rPr>
            </w:pPr>
            <w:r>
              <w:rPr>
                <w:sz w:val="20"/>
                <w:szCs w:val="20"/>
                <w:lang w:eastAsia="zh-CN"/>
              </w:rPr>
              <w:t>（万</w:t>
            </w:r>
            <w:r>
              <w:rPr>
                <w:sz w:val="20"/>
                <w:szCs w:val="20"/>
              </w:rPr>
              <w:t>元）</w:t>
            </w:r>
          </w:p>
        </w:tc>
        <w:tc>
          <w:tcPr>
            <w:tcW w:w="785" w:type="pct"/>
            <w:shd w:val="clear" w:color="auto" w:fill="DAE3F5"/>
            <w:vAlign w:val="center"/>
          </w:tcPr>
          <w:p w14:paraId="218D66C0">
            <w:pPr>
              <w:bidi w:val="0"/>
              <w:jc w:val="center"/>
              <w:rPr>
                <w:sz w:val="20"/>
                <w:szCs w:val="20"/>
                <w:lang w:eastAsia="zh-CN"/>
              </w:rPr>
            </w:pPr>
            <w:r>
              <w:rPr>
                <w:sz w:val="20"/>
                <w:szCs w:val="20"/>
                <w:lang w:eastAsia="zh-CN"/>
              </w:rPr>
              <w:t>财政经常性补助收入合计</w:t>
            </w:r>
          </w:p>
          <w:p w14:paraId="5E29AD2F">
            <w:pPr>
              <w:bidi w:val="0"/>
              <w:jc w:val="center"/>
              <w:rPr>
                <w:sz w:val="20"/>
                <w:szCs w:val="20"/>
                <w:lang w:eastAsia="zh-CN"/>
              </w:rPr>
            </w:pPr>
            <w:r>
              <w:rPr>
                <w:sz w:val="20"/>
                <w:szCs w:val="20"/>
                <w:lang w:eastAsia="zh-CN"/>
              </w:rPr>
              <w:t>（万元）</w:t>
            </w:r>
          </w:p>
        </w:tc>
        <w:tc>
          <w:tcPr>
            <w:tcW w:w="477" w:type="pct"/>
            <w:shd w:val="clear" w:color="auto" w:fill="DAE3F5"/>
            <w:vAlign w:val="center"/>
          </w:tcPr>
          <w:p w14:paraId="1D257923">
            <w:pPr>
              <w:bidi w:val="0"/>
              <w:jc w:val="center"/>
              <w:rPr>
                <w:sz w:val="20"/>
                <w:szCs w:val="20"/>
                <w:lang w:eastAsia="zh-CN"/>
              </w:rPr>
            </w:pPr>
            <w:r>
              <w:rPr>
                <w:sz w:val="20"/>
                <w:szCs w:val="20"/>
                <w:lang w:eastAsia="zh-CN"/>
              </w:rPr>
              <w:t>学费收入合计</w:t>
            </w:r>
          </w:p>
          <w:p w14:paraId="2F90E243">
            <w:pPr>
              <w:bidi w:val="0"/>
              <w:jc w:val="center"/>
              <w:rPr>
                <w:sz w:val="20"/>
                <w:szCs w:val="20"/>
                <w:lang w:eastAsia="zh-CN"/>
              </w:rPr>
            </w:pPr>
            <w:r>
              <w:rPr>
                <w:sz w:val="20"/>
                <w:szCs w:val="20"/>
                <w:lang w:eastAsia="zh-CN"/>
              </w:rPr>
              <w:t>（万元）</w:t>
            </w:r>
          </w:p>
        </w:tc>
        <w:tc>
          <w:tcPr>
            <w:tcW w:w="554" w:type="pct"/>
            <w:shd w:val="clear" w:color="auto" w:fill="DAE3F5"/>
            <w:vAlign w:val="center"/>
          </w:tcPr>
          <w:p w14:paraId="0B405924">
            <w:pPr>
              <w:bidi w:val="0"/>
              <w:jc w:val="center"/>
              <w:rPr>
                <w:sz w:val="20"/>
                <w:szCs w:val="20"/>
                <w:lang w:eastAsia="zh-CN"/>
              </w:rPr>
            </w:pPr>
            <w:r>
              <w:rPr>
                <w:sz w:val="20"/>
                <w:szCs w:val="20"/>
                <w:lang w:eastAsia="zh-CN"/>
              </w:rPr>
              <w:t>社会捐赠金额</w:t>
            </w:r>
          </w:p>
          <w:p w14:paraId="7C4C8138">
            <w:pPr>
              <w:bidi w:val="0"/>
              <w:jc w:val="center"/>
              <w:rPr>
                <w:sz w:val="20"/>
                <w:szCs w:val="20"/>
                <w:lang w:eastAsia="zh-CN"/>
              </w:rPr>
            </w:pPr>
            <w:r>
              <w:rPr>
                <w:sz w:val="20"/>
                <w:szCs w:val="20"/>
                <w:lang w:eastAsia="zh-CN"/>
              </w:rPr>
              <w:t>（万元）</w:t>
            </w:r>
          </w:p>
        </w:tc>
        <w:tc>
          <w:tcPr>
            <w:tcW w:w="564" w:type="pct"/>
            <w:shd w:val="clear" w:color="auto" w:fill="DAE3F5"/>
            <w:vAlign w:val="center"/>
          </w:tcPr>
          <w:p w14:paraId="5F07BFBB">
            <w:pPr>
              <w:bidi w:val="0"/>
              <w:jc w:val="center"/>
              <w:rPr>
                <w:sz w:val="20"/>
                <w:szCs w:val="20"/>
                <w:lang w:eastAsia="zh-CN"/>
              </w:rPr>
            </w:pPr>
            <w:r>
              <w:rPr>
                <w:sz w:val="20"/>
                <w:szCs w:val="20"/>
                <w:lang w:eastAsia="zh-CN"/>
              </w:rPr>
              <w:t>其他收入总额</w:t>
            </w:r>
          </w:p>
          <w:p w14:paraId="2E6707CC">
            <w:pPr>
              <w:bidi w:val="0"/>
              <w:jc w:val="center"/>
              <w:rPr>
                <w:sz w:val="20"/>
                <w:szCs w:val="20"/>
                <w:lang w:eastAsia="zh-CN"/>
              </w:rPr>
            </w:pPr>
            <w:r>
              <w:rPr>
                <w:sz w:val="20"/>
                <w:szCs w:val="20"/>
                <w:lang w:eastAsia="zh-CN"/>
              </w:rPr>
              <w:t>（万元）</w:t>
            </w:r>
          </w:p>
        </w:tc>
        <w:tc>
          <w:tcPr>
            <w:tcW w:w="651" w:type="pct"/>
            <w:vMerge w:val="continue"/>
            <w:shd w:val="clear" w:color="auto" w:fill="DAE3F5"/>
            <w:vAlign w:val="center"/>
          </w:tcPr>
          <w:p w14:paraId="41A2DBF9">
            <w:pPr>
              <w:bidi w:val="0"/>
              <w:jc w:val="center"/>
              <w:rPr>
                <w:sz w:val="20"/>
                <w:szCs w:val="20"/>
                <w:lang w:eastAsia="zh-CN"/>
              </w:rPr>
            </w:pPr>
          </w:p>
        </w:tc>
      </w:tr>
      <w:tr w14:paraId="2DF6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444" w:type="pct"/>
            <w:shd w:val="clear" w:color="auto" w:fill="FFFFFF"/>
            <w:vAlign w:val="center"/>
          </w:tcPr>
          <w:p w14:paraId="1A61F008">
            <w:pPr>
              <w:bidi w:val="0"/>
              <w:jc w:val="center"/>
              <w:rPr>
                <w:sz w:val="20"/>
                <w:szCs w:val="20"/>
                <w:lang w:eastAsia="zh-CN"/>
              </w:rPr>
            </w:pPr>
            <w:r>
              <w:rPr>
                <w:rFonts w:hint="eastAsia"/>
                <w:sz w:val="20"/>
                <w:szCs w:val="20"/>
                <w:lang w:val="en-US" w:eastAsia="zh-CN"/>
              </w:rPr>
              <w:t>2024</w:t>
            </w:r>
          </w:p>
        </w:tc>
        <w:tc>
          <w:tcPr>
            <w:tcW w:w="679" w:type="pct"/>
            <w:shd w:val="clear" w:color="auto" w:fill="FFFFFF"/>
            <w:vAlign w:val="center"/>
          </w:tcPr>
          <w:p w14:paraId="3A421D5A">
            <w:pPr>
              <w:bidi w:val="0"/>
              <w:jc w:val="center"/>
              <w:rPr>
                <w:sz w:val="20"/>
                <w:szCs w:val="20"/>
              </w:rPr>
            </w:pPr>
            <w:r>
              <w:rPr>
                <w:rFonts w:hint="eastAsia"/>
                <w:sz w:val="20"/>
                <w:szCs w:val="20"/>
                <w:lang w:val="en-US" w:eastAsia="zh-CN"/>
              </w:rPr>
              <w:t>23263.51</w:t>
            </w:r>
          </w:p>
        </w:tc>
        <w:tc>
          <w:tcPr>
            <w:tcW w:w="843" w:type="pct"/>
            <w:shd w:val="clear" w:color="auto" w:fill="FFFFFF"/>
            <w:vAlign w:val="center"/>
          </w:tcPr>
          <w:p w14:paraId="156CD340">
            <w:pPr>
              <w:bidi w:val="0"/>
              <w:jc w:val="center"/>
              <w:rPr>
                <w:sz w:val="20"/>
                <w:szCs w:val="20"/>
              </w:rPr>
            </w:pPr>
            <w:r>
              <w:rPr>
                <w:rFonts w:hint="eastAsia"/>
                <w:sz w:val="20"/>
                <w:szCs w:val="20"/>
                <w:lang w:val="en-US" w:eastAsia="zh-CN"/>
              </w:rPr>
              <w:t>9281.82</w:t>
            </w:r>
          </w:p>
        </w:tc>
        <w:tc>
          <w:tcPr>
            <w:tcW w:w="785" w:type="pct"/>
            <w:shd w:val="clear" w:color="auto" w:fill="FFFFFF"/>
            <w:vAlign w:val="center"/>
          </w:tcPr>
          <w:p w14:paraId="0AF0F1A8">
            <w:pPr>
              <w:bidi w:val="0"/>
              <w:jc w:val="center"/>
              <w:rPr>
                <w:sz w:val="20"/>
                <w:szCs w:val="20"/>
              </w:rPr>
            </w:pPr>
            <w:r>
              <w:rPr>
                <w:rFonts w:hint="eastAsia"/>
                <w:sz w:val="20"/>
                <w:szCs w:val="20"/>
                <w:lang w:val="en-US" w:eastAsia="zh-CN"/>
              </w:rPr>
              <w:t>11481.97</w:t>
            </w:r>
          </w:p>
        </w:tc>
        <w:tc>
          <w:tcPr>
            <w:tcW w:w="477" w:type="pct"/>
            <w:shd w:val="clear" w:color="auto" w:fill="FFFFFF"/>
            <w:vAlign w:val="center"/>
          </w:tcPr>
          <w:p w14:paraId="58735E5F">
            <w:pPr>
              <w:bidi w:val="0"/>
              <w:jc w:val="center"/>
              <w:rPr>
                <w:sz w:val="20"/>
                <w:szCs w:val="20"/>
              </w:rPr>
            </w:pPr>
            <w:r>
              <w:rPr>
                <w:rFonts w:hint="eastAsia"/>
                <w:sz w:val="20"/>
                <w:szCs w:val="20"/>
                <w:lang w:val="en-US" w:eastAsia="zh-CN"/>
              </w:rPr>
              <w:t>1496.06</w:t>
            </w:r>
          </w:p>
        </w:tc>
        <w:tc>
          <w:tcPr>
            <w:tcW w:w="554" w:type="pct"/>
            <w:shd w:val="clear" w:color="auto" w:fill="FFFFFF"/>
            <w:vAlign w:val="center"/>
          </w:tcPr>
          <w:p w14:paraId="5CF84005">
            <w:pPr>
              <w:bidi w:val="0"/>
              <w:jc w:val="center"/>
              <w:rPr>
                <w:sz w:val="20"/>
                <w:szCs w:val="20"/>
              </w:rPr>
            </w:pPr>
            <w:r>
              <w:rPr>
                <w:rFonts w:hint="eastAsia"/>
                <w:sz w:val="20"/>
                <w:szCs w:val="20"/>
                <w:lang w:val="en-US" w:eastAsia="zh-CN"/>
              </w:rPr>
              <w:t>0</w:t>
            </w:r>
          </w:p>
        </w:tc>
        <w:tc>
          <w:tcPr>
            <w:tcW w:w="564" w:type="pct"/>
            <w:shd w:val="clear" w:color="auto" w:fill="FFFFFF"/>
            <w:vAlign w:val="center"/>
          </w:tcPr>
          <w:p w14:paraId="3ABCF408">
            <w:pPr>
              <w:bidi w:val="0"/>
              <w:jc w:val="center"/>
              <w:rPr>
                <w:sz w:val="20"/>
                <w:szCs w:val="20"/>
              </w:rPr>
            </w:pPr>
            <w:r>
              <w:rPr>
                <w:rFonts w:hint="eastAsia"/>
                <w:sz w:val="20"/>
                <w:szCs w:val="20"/>
                <w:lang w:val="en-US" w:eastAsia="zh-CN"/>
              </w:rPr>
              <w:t>1003.66</w:t>
            </w:r>
          </w:p>
        </w:tc>
        <w:tc>
          <w:tcPr>
            <w:tcW w:w="651" w:type="pct"/>
            <w:shd w:val="clear" w:color="auto" w:fill="FFFFFF"/>
            <w:vAlign w:val="center"/>
          </w:tcPr>
          <w:p w14:paraId="7DEAA62D">
            <w:pPr>
              <w:bidi w:val="0"/>
              <w:jc w:val="center"/>
              <w:rPr>
                <w:rFonts w:hint="default"/>
                <w:sz w:val="20"/>
                <w:szCs w:val="20"/>
                <w:lang w:val="en-US"/>
              </w:rPr>
            </w:pPr>
            <w:r>
              <w:rPr>
                <w:rFonts w:hint="eastAsia"/>
                <w:sz w:val="20"/>
                <w:szCs w:val="20"/>
                <w:lang w:val="en-US" w:eastAsia="zh-CN"/>
              </w:rPr>
              <w:t>3061.50</w:t>
            </w:r>
          </w:p>
        </w:tc>
      </w:tr>
      <w:tr w14:paraId="6B3C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444" w:type="pct"/>
            <w:shd w:val="clear" w:color="auto" w:fill="FFFFFF"/>
            <w:vAlign w:val="center"/>
          </w:tcPr>
          <w:p w14:paraId="544F0354">
            <w:pPr>
              <w:bidi w:val="0"/>
              <w:jc w:val="center"/>
              <w:rPr>
                <w:sz w:val="20"/>
                <w:szCs w:val="20"/>
                <w:lang w:eastAsia="zh-CN"/>
              </w:rPr>
            </w:pPr>
            <w:r>
              <w:rPr>
                <w:rFonts w:hint="eastAsia"/>
                <w:sz w:val="20"/>
                <w:szCs w:val="20"/>
                <w:lang w:val="en-US" w:eastAsia="zh-CN"/>
              </w:rPr>
              <w:t>2025</w:t>
            </w:r>
          </w:p>
        </w:tc>
        <w:tc>
          <w:tcPr>
            <w:tcW w:w="679" w:type="pct"/>
            <w:shd w:val="clear" w:color="auto" w:fill="FFFFFF"/>
            <w:vAlign w:val="center"/>
          </w:tcPr>
          <w:p w14:paraId="763F9A9C">
            <w:pPr>
              <w:bidi w:val="0"/>
              <w:jc w:val="center"/>
              <w:rPr>
                <w:rFonts w:hint="default"/>
                <w:sz w:val="20"/>
                <w:szCs w:val="20"/>
                <w:lang w:val="en-US"/>
              </w:rPr>
            </w:pPr>
            <w:r>
              <w:rPr>
                <w:rFonts w:hint="eastAsia"/>
                <w:sz w:val="20"/>
                <w:szCs w:val="20"/>
                <w:lang w:val="en-US" w:eastAsia="zh-CN"/>
              </w:rPr>
              <w:t>19543.08</w:t>
            </w:r>
          </w:p>
        </w:tc>
        <w:tc>
          <w:tcPr>
            <w:tcW w:w="843" w:type="pct"/>
            <w:shd w:val="clear" w:color="auto" w:fill="FFFFFF"/>
            <w:vAlign w:val="center"/>
          </w:tcPr>
          <w:p w14:paraId="011B3E7F">
            <w:pPr>
              <w:bidi w:val="0"/>
              <w:jc w:val="center"/>
              <w:rPr>
                <w:sz w:val="20"/>
                <w:szCs w:val="20"/>
              </w:rPr>
            </w:pPr>
            <w:r>
              <w:rPr>
                <w:rFonts w:hint="eastAsia"/>
                <w:sz w:val="20"/>
                <w:szCs w:val="20"/>
                <w:lang w:val="en-US" w:eastAsia="zh-CN"/>
              </w:rPr>
              <w:t>5297.95</w:t>
            </w:r>
          </w:p>
        </w:tc>
        <w:tc>
          <w:tcPr>
            <w:tcW w:w="785" w:type="pct"/>
            <w:shd w:val="clear" w:color="auto" w:fill="FFFFFF"/>
            <w:vAlign w:val="center"/>
          </w:tcPr>
          <w:p w14:paraId="0D39504D">
            <w:pPr>
              <w:bidi w:val="0"/>
              <w:jc w:val="center"/>
              <w:rPr>
                <w:sz w:val="20"/>
                <w:szCs w:val="20"/>
              </w:rPr>
            </w:pPr>
            <w:r>
              <w:rPr>
                <w:rFonts w:hint="eastAsia"/>
                <w:sz w:val="20"/>
                <w:szCs w:val="20"/>
                <w:lang w:val="en-US" w:eastAsia="zh-CN"/>
              </w:rPr>
              <w:t>11555.79</w:t>
            </w:r>
          </w:p>
        </w:tc>
        <w:tc>
          <w:tcPr>
            <w:tcW w:w="477" w:type="pct"/>
            <w:shd w:val="clear" w:color="auto" w:fill="FFFFFF"/>
            <w:vAlign w:val="center"/>
          </w:tcPr>
          <w:p w14:paraId="6ACA5C5C">
            <w:pPr>
              <w:bidi w:val="0"/>
              <w:jc w:val="center"/>
              <w:rPr>
                <w:sz w:val="20"/>
                <w:szCs w:val="20"/>
              </w:rPr>
            </w:pPr>
            <w:r>
              <w:rPr>
                <w:rFonts w:hint="eastAsia"/>
                <w:sz w:val="20"/>
                <w:szCs w:val="20"/>
                <w:lang w:val="en-US" w:eastAsia="zh-CN"/>
              </w:rPr>
              <w:t>1651.79</w:t>
            </w:r>
          </w:p>
        </w:tc>
        <w:tc>
          <w:tcPr>
            <w:tcW w:w="554" w:type="pct"/>
            <w:shd w:val="clear" w:color="auto" w:fill="FFFFFF"/>
            <w:vAlign w:val="center"/>
          </w:tcPr>
          <w:p w14:paraId="70461836">
            <w:pPr>
              <w:bidi w:val="0"/>
              <w:jc w:val="center"/>
              <w:rPr>
                <w:sz w:val="20"/>
                <w:szCs w:val="20"/>
              </w:rPr>
            </w:pPr>
            <w:r>
              <w:rPr>
                <w:rFonts w:hint="eastAsia"/>
                <w:sz w:val="20"/>
                <w:szCs w:val="20"/>
                <w:lang w:val="en-US" w:eastAsia="zh-CN"/>
              </w:rPr>
              <w:t>0</w:t>
            </w:r>
          </w:p>
        </w:tc>
        <w:tc>
          <w:tcPr>
            <w:tcW w:w="564" w:type="pct"/>
            <w:shd w:val="clear" w:color="auto" w:fill="FFFFFF"/>
            <w:vAlign w:val="center"/>
          </w:tcPr>
          <w:p w14:paraId="4C1BCFAB">
            <w:pPr>
              <w:bidi w:val="0"/>
              <w:jc w:val="center"/>
              <w:rPr>
                <w:sz w:val="20"/>
                <w:szCs w:val="20"/>
              </w:rPr>
            </w:pPr>
            <w:r>
              <w:rPr>
                <w:rFonts w:hint="eastAsia"/>
                <w:sz w:val="20"/>
                <w:szCs w:val="20"/>
                <w:lang w:val="en-US" w:eastAsia="zh-CN"/>
              </w:rPr>
              <w:t>1037.55</w:t>
            </w:r>
          </w:p>
        </w:tc>
        <w:tc>
          <w:tcPr>
            <w:tcW w:w="651" w:type="pct"/>
            <w:shd w:val="clear" w:color="auto" w:fill="FFFFFF"/>
            <w:vAlign w:val="center"/>
          </w:tcPr>
          <w:p w14:paraId="61FABD4B">
            <w:pPr>
              <w:bidi w:val="0"/>
              <w:jc w:val="center"/>
              <w:rPr>
                <w:rFonts w:hint="default"/>
                <w:sz w:val="20"/>
                <w:szCs w:val="20"/>
                <w:lang w:val="en-US"/>
              </w:rPr>
            </w:pPr>
            <w:r>
              <w:rPr>
                <w:rFonts w:hint="eastAsia"/>
                <w:sz w:val="20"/>
                <w:szCs w:val="20"/>
                <w:lang w:val="en-US" w:eastAsia="zh-CN"/>
              </w:rPr>
              <w:t>2916.34</w:t>
            </w:r>
          </w:p>
        </w:tc>
      </w:tr>
      <w:tr w14:paraId="7522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444" w:type="pct"/>
            <w:shd w:val="clear" w:color="auto" w:fill="DAE3F5"/>
            <w:vAlign w:val="center"/>
          </w:tcPr>
          <w:p w14:paraId="5B808687">
            <w:pPr>
              <w:bidi w:val="0"/>
              <w:jc w:val="center"/>
              <w:rPr>
                <w:rFonts w:hint="default"/>
                <w:sz w:val="20"/>
                <w:szCs w:val="20"/>
                <w:lang w:val="en-US" w:eastAsia="zh-CN"/>
              </w:rPr>
            </w:pPr>
            <w:r>
              <w:rPr>
                <w:rFonts w:hint="eastAsia"/>
                <w:sz w:val="20"/>
                <w:szCs w:val="20"/>
                <w:lang w:val="en-US" w:eastAsia="zh-CN"/>
              </w:rPr>
              <w:t>年份</w:t>
            </w:r>
          </w:p>
        </w:tc>
        <w:tc>
          <w:tcPr>
            <w:tcW w:w="679" w:type="pct"/>
            <w:shd w:val="clear" w:color="auto" w:fill="DAE3F5"/>
            <w:vAlign w:val="center"/>
          </w:tcPr>
          <w:p w14:paraId="157853F9">
            <w:pPr>
              <w:bidi w:val="0"/>
              <w:jc w:val="center"/>
              <w:rPr>
                <w:rFonts w:hint="eastAsia"/>
                <w:sz w:val="20"/>
                <w:szCs w:val="20"/>
                <w:lang w:val="en-US" w:eastAsia="zh-CN"/>
              </w:rPr>
            </w:pPr>
            <w:r>
              <w:rPr>
                <w:rFonts w:hint="eastAsia"/>
                <w:sz w:val="20"/>
                <w:szCs w:val="20"/>
                <w:lang w:val="en-US" w:eastAsia="zh-CN"/>
              </w:rPr>
              <w:t>学校总支出</w:t>
            </w:r>
          </w:p>
          <w:p w14:paraId="4C5EEE56">
            <w:pPr>
              <w:bidi w:val="0"/>
              <w:jc w:val="center"/>
              <w:rPr>
                <w:rFonts w:hint="eastAsia"/>
                <w:sz w:val="20"/>
                <w:szCs w:val="20"/>
                <w:lang w:val="en-US" w:eastAsia="zh-CN"/>
              </w:rPr>
            </w:pPr>
            <w:r>
              <w:rPr>
                <w:rFonts w:hint="eastAsia"/>
                <w:sz w:val="20"/>
                <w:szCs w:val="20"/>
                <w:lang w:val="en-US" w:eastAsia="zh-CN"/>
              </w:rPr>
              <w:t>（万元）</w:t>
            </w:r>
          </w:p>
        </w:tc>
        <w:tc>
          <w:tcPr>
            <w:tcW w:w="843" w:type="pct"/>
            <w:shd w:val="clear" w:color="auto" w:fill="DAE3F5"/>
            <w:vAlign w:val="center"/>
          </w:tcPr>
          <w:p w14:paraId="14459461">
            <w:pPr>
              <w:bidi w:val="0"/>
              <w:jc w:val="center"/>
              <w:rPr>
                <w:rFonts w:hint="eastAsia"/>
                <w:sz w:val="20"/>
                <w:szCs w:val="20"/>
                <w:lang w:val="en-US" w:eastAsia="zh-CN"/>
              </w:rPr>
            </w:pPr>
            <w:r>
              <w:rPr>
                <w:rFonts w:hint="eastAsia"/>
                <w:sz w:val="20"/>
                <w:szCs w:val="20"/>
                <w:lang w:val="en-US" w:eastAsia="zh-CN"/>
              </w:rPr>
              <w:t>教改科研支出（万元）</w:t>
            </w:r>
          </w:p>
        </w:tc>
        <w:tc>
          <w:tcPr>
            <w:tcW w:w="785" w:type="pct"/>
            <w:shd w:val="clear" w:color="auto" w:fill="DAE3F5"/>
            <w:vAlign w:val="center"/>
          </w:tcPr>
          <w:p w14:paraId="3813497F">
            <w:pPr>
              <w:bidi w:val="0"/>
              <w:jc w:val="center"/>
              <w:rPr>
                <w:rFonts w:hint="eastAsia"/>
                <w:sz w:val="20"/>
                <w:szCs w:val="20"/>
                <w:lang w:val="en-US" w:eastAsia="zh-CN"/>
              </w:rPr>
            </w:pPr>
            <w:r>
              <w:rPr>
                <w:rFonts w:hint="eastAsia"/>
                <w:sz w:val="20"/>
                <w:szCs w:val="20"/>
                <w:lang w:val="en-US" w:eastAsia="zh-CN"/>
              </w:rPr>
              <w:t>日常教学经费支出</w:t>
            </w:r>
          </w:p>
          <w:p w14:paraId="10F08139">
            <w:pPr>
              <w:bidi w:val="0"/>
              <w:jc w:val="center"/>
              <w:rPr>
                <w:rFonts w:hint="eastAsia"/>
                <w:sz w:val="20"/>
                <w:szCs w:val="20"/>
                <w:lang w:val="en-US" w:eastAsia="zh-CN"/>
              </w:rPr>
            </w:pPr>
            <w:r>
              <w:rPr>
                <w:rFonts w:hint="eastAsia"/>
                <w:sz w:val="20"/>
                <w:szCs w:val="20"/>
                <w:lang w:val="en-US" w:eastAsia="zh-CN"/>
              </w:rPr>
              <w:t>（万元）</w:t>
            </w:r>
          </w:p>
        </w:tc>
        <w:tc>
          <w:tcPr>
            <w:tcW w:w="477" w:type="pct"/>
            <w:shd w:val="clear" w:color="auto" w:fill="DAE3F5"/>
            <w:vAlign w:val="center"/>
          </w:tcPr>
          <w:p w14:paraId="415D3445">
            <w:pPr>
              <w:bidi w:val="0"/>
              <w:jc w:val="center"/>
              <w:rPr>
                <w:rFonts w:hint="eastAsia"/>
                <w:sz w:val="20"/>
                <w:szCs w:val="20"/>
                <w:lang w:val="en-US" w:eastAsia="zh-CN"/>
              </w:rPr>
            </w:pPr>
            <w:r>
              <w:rPr>
                <w:rFonts w:hint="eastAsia"/>
                <w:sz w:val="20"/>
                <w:szCs w:val="20"/>
                <w:lang w:val="en-US" w:eastAsia="zh-CN"/>
              </w:rPr>
              <w:t>师资队伍建设支出</w:t>
            </w:r>
          </w:p>
          <w:p w14:paraId="04B82E71">
            <w:pPr>
              <w:bidi w:val="0"/>
              <w:jc w:val="center"/>
              <w:rPr>
                <w:rFonts w:hint="eastAsia"/>
                <w:sz w:val="20"/>
                <w:szCs w:val="20"/>
                <w:lang w:val="en-US" w:eastAsia="zh-CN"/>
              </w:rPr>
            </w:pPr>
            <w:r>
              <w:rPr>
                <w:rFonts w:hint="eastAsia"/>
                <w:sz w:val="20"/>
                <w:szCs w:val="20"/>
                <w:lang w:val="en-US" w:eastAsia="zh-CN"/>
              </w:rPr>
              <w:t>（万元）</w:t>
            </w:r>
          </w:p>
        </w:tc>
        <w:tc>
          <w:tcPr>
            <w:tcW w:w="554" w:type="pct"/>
            <w:shd w:val="clear" w:color="auto" w:fill="DAE3F5"/>
            <w:vAlign w:val="center"/>
          </w:tcPr>
          <w:p w14:paraId="4FD6F22C">
            <w:pPr>
              <w:bidi w:val="0"/>
              <w:jc w:val="center"/>
              <w:rPr>
                <w:rFonts w:hint="eastAsia"/>
                <w:sz w:val="20"/>
                <w:szCs w:val="20"/>
                <w:lang w:val="en-US" w:eastAsia="zh-CN"/>
              </w:rPr>
            </w:pPr>
            <w:r>
              <w:rPr>
                <w:rFonts w:hint="eastAsia"/>
                <w:sz w:val="20"/>
                <w:szCs w:val="20"/>
                <w:lang w:val="en-US" w:eastAsia="zh-CN"/>
              </w:rPr>
              <w:t>设备购置支出</w:t>
            </w:r>
          </w:p>
          <w:p w14:paraId="5BD3F311">
            <w:pPr>
              <w:bidi w:val="0"/>
              <w:jc w:val="center"/>
              <w:rPr>
                <w:rFonts w:hint="eastAsia"/>
                <w:sz w:val="20"/>
                <w:szCs w:val="20"/>
                <w:lang w:val="en-US" w:eastAsia="zh-CN"/>
              </w:rPr>
            </w:pPr>
            <w:r>
              <w:rPr>
                <w:rFonts w:hint="eastAsia"/>
                <w:sz w:val="20"/>
                <w:szCs w:val="20"/>
                <w:lang w:val="en-US" w:eastAsia="zh-CN"/>
              </w:rPr>
              <w:t>（万元）</w:t>
            </w:r>
          </w:p>
        </w:tc>
        <w:tc>
          <w:tcPr>
            <w:tcW w:w="564" w:type="pct"/>
            <w:shd w:val="clear" w:color="auto" w:fill="DAE3F5"/>
            <w:vAlign w:val="center"/>
          </w:tcPr>
          <w:p w14:paraId="40CB9AA4">
            <w:pPr>
              <w:bidi w:val="0"/>
              <w:jc w:val="center"/>
              <w:rPr>
                <w:rFonts w:hint="eastAsia"/>
                <w:sz w:val="20"/>
                <w:szCs w:val="20"/>
                <w:lang w:val="en-US" w:eastAsia="zh-CN"/>
              </w:rPr>
            </w:pPr>
            <w:r>
              <w:rPr>
                <w:rFonts w:hint="eastAsia"/>
                <w:sz w:val="20"/>
                <w:szCs w:val="20"/>
                <w:lang w:val="en-US" w:eastAsia="zh-CN"/>
              </w:rPr>
              <w:t>基础设施建设支出</w:t>
            </w:r>
          </w:p>
          <w:p w14:paraId="1F386375">
            <w:pPr>
              <w:bidi w:val="0"/>
              <w:jc w:val="center"/>
              <w:rPr>
                <w:rFonts w:hint="eastAsia"/>
                <w:sz w:val="20"/>
                <w:szCs w:val="20"/>
                <w:lang w:val="en-US" w:eastAsia="zh-CN"/>
              </w:rPr>
            </w:pPr>
            <w:r>
              <w:rPr>
                <w:rFonts w:hint="eastAsia"/>
                <w:sz w:val="20"/>
                <w:szCs w:val="20"/>
                <w:lang w:val="en-US" w:eastAsia="zh-CN"/>
              </w:rPr>
              <w:t>（万元）</w:t>
            </w:r>
          </w:p>
        </w:tc>
        <w:tc>
          <w:tcPr>
            <w:tcW w:w="651" w:type="pct"/>
            <w:shd w:val="clear" w:color="auto" w:fill="DAE3F5"/>
            <w:vAlign w:val="center"/>
          </w:tcPr>
          <w:p w14:paraId="3A6D9DB9">
            <w:pPr>
              <w:bidi w:val="0"/>
              <w:jc w:val="center"/>
              <w:rPr>
                <w:rFonts w:hint="eastAsia"/>
                <w:sz w:val="20"/>
                <w:szCs w:val="20"/>
                <w:lang w:val="en-US" w:eastAsia="zh-CN"/>
              </w:rPr>
            </w:pPr>
            <w:r>
              <w:rPr>
                <w:rFonts w:hint="eastAsia"/>
                <w:sz w:val="20"/>
                <w:szCs w:val="20"/>
                <w:lang w:val="en-US" w:eastAsia="zh-CN"/>
              </w:rPr>
              <w:t>其他支出</w:t>
            </w:r>
          </w:p>
          <w:p w14:paraId="6DD9CF48">
            <w:pPr>
              <w:bidi w:val="0"/>
              <w:jc w:val="center"/>
              <w:rPr>
                <w:rFonts w:hint="eastAsia"/>
                <w:sz w:val="20"/>
                <w:szCs w:val="20"/>
                <w:lang w:val="en-US" w:eastAsia="zh-CN"/>
              </w:rPr>
            </w:pPr>
            <w:r>
              <w:rPr>
                <w:rFonts w:hint="eastAsia"/>
                <w:sz w:val="20"/>
                <w:szCs w:val="20"/>
                <w:lang w:val="en-US" w:eastAsia="zh-CN"/>
              </w:rPr>
              <w:t>（万元）</w:t>
            </w:r>
          </w:p>
        </w:tc>
      </w:tr>
      <w:tr w14:paraId="5C6B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444" w:type="pct"/>
            <w:shd w:val="clear" w:color="auto" w:fill="FFFFFF"/>
            <w:vAlign w:val="center"/>
          </w:tcPr>
          <w:p w14:paraId="532CD9C8">
            <w:pPr>
              <w:jc w:val="center"/>
              <w:rPr>
                <w:rFonts w:hint="eastAsia"/>
                <w:sz w:val="20"/>
                <w:szCs w:val="20"/>
                <w:lang w:val="en-US" w:eastAsia="zh-CN"/>
              </w:rPr>
            </w:pPr>
            <w:r>
              <w:rPr>
                <w:rFonts w:hint="eastAsia"/>
                <w:bCs/>
                <w:color w:val="auto"/>
                <w:sz w:val="20"/>
                <w:szCs w:val="20"/>
                <w:lang w:val="en-US" w:eastAsia="zh-CN"/>
              </w:rPr>
              <w:t>2024</w:t>
            </w:r>
          </w:p>
        </w:tc>
        <w:tc>
          <w:tcPr>
            <w:tcW w:w="679" w:type="pct"/>
            <w:shd w:val="clear" w:color="auto" w:fill="FFFFFF"/>
            <w:vAlign w:val="center"/>
          </w:tcPr>
          <w:p w14:paraId="0A1C28C7">
            <w:pPr>
              <w:jc w:val="center"/>
              <w:rPr>
                <w:rFonts w:hint="eastAsia"/>
                <w:sz w:val="20"/>
                <w:szCs w:val="20"/>
                <w:lang w:val="en-US" w:eastAsia="zh-CN"/>
              </w:rPr>
            </w:pPr>
            <w:r>
              <w:rPr>
                <w:rFonts w:hint="eastAsia"/>
                <w:bCs/>
                <w:color w:val="auto"/>
                <w:sz w:val="20"/>
                <w:szCs w:val="20"/>
                <w:lang w:val="en-US" w:eastAsia="zh-CN"/>
              </w:rPr>
              <w:t>24012.86</w:t>
            </w:r>
          </w:p>
        </w:tc>
        <w:tc>
          <w:tcPr>
            <w:tcW w:w="843" w:type="pct"/>
            <w:shd w:val="clear" w:color="auto" w:fill="FFFFFF"/>
            <w:vAlign w:val="center"/>
          </w:tcPr>
          <w:p w14:paraId="33BF31C3">
            <w:pPr>
              <w:jc w:val="center"/>
              <w:rPr>
                <w:rFonts w:hint="eastAsia"/>
                <w:sz w:val="20"/>
                <w:szCs w:val="20"/>
                <w:lang w:val="en-US" w:eastAsia="zh-CN"/>
              </w:rPr>
            </w:pPr>
            <w:r>
              <w:rPr>
                <w:rFonts w:hint="eastAsia"/>
                <w:bCs/>
                <w:color w:val="auto"/>
                <w:sz w:val="20"/>
                <w:szCs w:val="20"/>
                <w:lang w:val="en-US" w:eastAsia="zh-CN"/>
              </w:rPr>
              <w:t>3272.39</w:t>
            </w:r>
          </w:p>
        </w:tc>
        <w:tc>
          <w:tcPr>
            <w:tcW w:w="785" w:type="pct"/>
            <w:shd w:val="clear" w:color="auto" w:fill="FFFFFF"/>
            <w:vAlign w:val="center"/>
          </w:tcPr>
          <w:p w14:paraId="24C8646B">
            <w:pPr>
              <w:jc w:val="center"/>
              <w:rPr>
                <w:rFonts w:hint="eastAsia"/>
                <w:sz w:val="20"/>
                <w:szCs w:val="20"/>
                <w:lang w:val="en-US" w:eastAsia="zh-CN"/>
              </w:rPr>
            </w:pPr>
            <w:r>
              <w:rPr>
                <w:rFonts w:hint="eastAsia"/>
                <w:bCs/>
                <w:color w:val="auto"/>
                <w:sz w:val="20"/>
                <w:szCs w:val="20"/>
                <w:lang w:val="en-US" w:eastAsia="zh-CN"/>
              </w:rPr>
              <w:t>13233.6</w:t>
            </w:r>
          </w:p>
        </w:tc>
        <w:tc>
          <w:tcPr>
            <w:tcW w:w="477" w:type="pct"/>
            <w:shd w:val="clear" w:color="auto" w:fill="FFFFFF"/>
            <w:vAlign w:val="center"/>
          </w:tcPr>
          <w:p w14:paraId="03C1971E">
            <w:pPr>
              <w:jc w:val="center"/>
              <w:rPr>
                <w:rFonts w:hint="eastAsia"/>
                <w:sz w:val="20"/>
                <w:szCs w:val="20"/>
                <w:lang w:val="en-US" w:eastAsia="zh-CN"/>
              </w:rPr>
            </w:pPr>
            <w:r>
              <w:rPr>
                <w:rFonts w:hint="eastAsia"/>
                <w:bCs/>
                <w:color w:val="auto"/>
                <w:sz w:val="20"/>
                <w:szCs w:val="20"/>
                <w:lang w:val="en-US" w:eastAsia="zh-CN"/>
              </w:rPr>
              <w:t>1375.71</w:t>
            </w:r>
          </w:p>
        </w:tc>
        <w:tc>
          <w:tcPr>
            <w:tcW w:w="554" w:type="pct"/>
            <w:shd w:val="clear" w:color="auto" w:fill="FFFFFF"/>
            <w:vAlign w:val="center"/>
          </w:tcPr>
          <w:p w14:paraId="1825ED59">
            <w:pPr>
              <w:jc w:val="center"/>
              <w:rPr>
                <w:rFonts w:hint="eastAsia"/>
                <w:sz w:val="20"/>
                <w:szCs w:val="20"/>
                <w:lang w:val="en-US" w:eastAsia="zh-CN"/>
              </w:rPr>
            </w:pPr>
            <w:r>
              <w:rPr>
                <w:rFonts w:hint="eastAsia"/>
                <w:bCs/>
                <w:color w:val="auto"/>
                <w:sz w:val="20"/>
                <w:szCs w:val="20"/>
                <w:lang w:val="en-US" w:eastAsia="zh-CN"/>
              </w:rPr>
              <w:t>3742.65</w:t>
            </w:r>
          </w:p>
        </w:tc>
        <w:tc>
          <w:tcPr>
            <w:tcW w:w="564" w:type="pct"/>
            <w:shd w:val="clear" w:color="auto" w:fill="FFFFFF"/>
            <w:vAlign w:val="center"/>
          </w:tcPr>
          <w:p w14:paraId="249F7DAF">
            <w:pPr>
              <w:jc w:val="center"/>
              <w:rPr>
                <w:rFonts w:hint="eastAsia"/>
                <w:sz w:val="20"/>
                <w:szCs w:val="20"/>
                <w:lang w:val="en-US" w:eastAsia="zh-CN"/>
              </w:rPr>
            </w:pPr>
            <w:r>
              <w:rPr>
                <w:rFonts w:hint="eastAsia"/>
                <w:bCs/>
                <w:color w:val="auto"/>
                <w:sz w:val="20"/>
                <w:szCs w:val="20"/>
                <w:lang w:val="en-US" w:eastAsia="zh-CN"/>
              </w:rPr>
              <w:t>1254.96</w:t>
            </w:r>
          </w:p>
        </w:tc>
        <w:tc>
          <w:tcPr>
            <w:tcW w:w="651" w:type="pct"/>
            <w:shd w:val="clear" w:color="auto" w:fill="FFFFFF"/>
            <w:vAlign w:val="center"/>
          </w:tcPr>
          <w:p w14:paraId="59AF56C2">
            <w:pPr>
              <w:jc w:val="center"/>
              <w:rPr>
                <w:rFonts w:hint="eastAsia"/>
                <w:sz w:val="20"/>
                <w:szCs w:val="20"/>
                <w:lang w:val="en-US" w:eastAsia="zh-CN"/>
              </w:rPr>
            </w:pPr>
            <w:r>
              <w:rPr>
                <w:rFonts w:hint="eastAsia"/>
                <w:bCs/>
                <w:color w:val="auto"/>
                <w:sz w:val="20"/>
                <w:szCs w:val="20"/>
                <w:lang w:val="en-US" w:eastAsia="zh-CN"/>
              </w:rPr>
              <w:t>1133.55</w:t>
            </w:r>
          </w:p>
        </w:tc>
      </w:tr>
      <w:tr w14:paraId="3B24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444" w:type="pct"/>
            <w:shd w:val="clear" w:color="auto" w:fill="FFFFFF"/>
            <w:vAlign w:val="center"/>
          </w:tcPr>
          <w:p w14:paraId="1C0AD477">
            <w:pPr>
              <w:jc w:val="center"/>
              <w:rPr>
                <w:rFonts w:hint="eastAsia"/>
                <w:sz w:val="20"/>
                <w:szCs w:val="20"/>
                <w:lang w:val="en-US" w:eastAsia="zh-CN"/>
              </w:rPr>
            </w:pPr>
            <w:r>
              <w:rPr>
                <w:rFonts w:hint="eastAsia"/>
                <w:bCs/>
                <w:color w:val="auto"/>
                <w:sz w:val="20"/>
                <w:szCs w:val="20"/>
                <w:lang w:val="en-US" w:eastAsia="zh-CN"/>
              </w:rPr>
              <w:t>2025</w:t>
            </w:r>
          </w:p>
        </w:tc>
        <w:tc>
          <w:tcPr>
            <w:tcW w:w="679" w:type="pct"/>
            <w:shd w:val="clear" w:color="auto" w:fill="FFFFFF"/>
            <w:vAlign w:val="center"/>
          </w:tcPr>
          <w:p w14:paraId="3EB71D29">
            <w:pPr>
              <w:jc w:val="center"/>
              <w:rPr>
                <w:rFonts w:hint="eastAsia"/>
                <w:sz w:val="20"/>
                <w:szCs w:val="20"/>
                <w:lang w:val="en-US" w:eastAsia="zh-CN"/>
              </w:rPr>
            </w:pPr>
            <w:r>
              <w:rPr>
                <w:rFonts w:hint="eastAsia"/>
                <w:bCs/>
                <w:color w:val="auto"/>
                <w:sz w:val="20"/>
                <w:szCs w:val="20"/>
                <w:lang w:val="en-US" w:eastAsia="zh-CN"/>
              </w:rPr>
              <w:t>19342.12</w:t>
            </w:r>
          </w:p>
        </w:tc>
        <w:tc>
          <w:tcPr>
            <w:tcW w:w="843" w:type="pct"/>
            <w:shd w:val="clear" w:color="auto" w:fill="FFFFFF"/>
            <w:vAlign w:val="center"/>
          </w:tcPr>
          <w:p w14:paraId="5A496346">
            <w:pPr>
              <w:jc w:val="center"/>
              <w:rPr>
                <w:rFonts w:hint="eastAsia"/>
                <w:sz w:val="20"/>
                <w:szCs w:val="20"/>
                <w:lang w:val="en-US" w:eastAsia="zh-CN"/>
              </w:rPr>
            </w:pPr>
            <w:r>
              <w:rPr>
                <w:rFonts w:hint="eastAsia"/>
                <w:bCs/>
                <w:color w:val="auto"/>
                <w:sz w:val="20"/>
                <w:szCs w:val="20"/>
                <w:lang w:val="en-US" w:eastAsia="zh-CN"/>
              </w:rPr>
              <w:t>2500.21</w:t>
            </w:r>
          </w:p>
        </w:tc>
        <w:tc>
          <w:tcPr>
            <w:tcW w:w="785" w:type="pct"/>
            <w:shd w:val="clear" w:color="auto" w:fill="FFFFFF"/>
            <w:vAlign w:val="center"/>
          </w:tcPr>
          <w:p w14:paraId="0946D78E">
            <w:pPr>
              <w:jc w:val="center"/>
              <w:rPr>
                <w:rFonts w:hint="eastAsia"/>
                <w:sz w:val="20"/>
                <w:szCs w:val="20"/>
                <w:lang w:val="en-US" w:eastAsia="zh-CN"/>
              </w:rPr>
            </w:pPr>
            <w:r>
              <w:rPr>
                <w:rFonts w:hint="eastAsia"/>
                <w:bCs/>
                <w:color w:val="auto"/>
                <w:sz w:val="20"/>
                <w:szCs w:val="20"/>
                <w:lang w:val="en-US" w:eastAsia="zh-CN"/>
              </w:rPr>
              <w:t>13056.61</w:t>
            </w:r>
          </w:p>
        </w:tc>
        <w:tc>
          <w:tcPr>
            <w:tcW w:w="477" w:type="pct"/>
            <w:shd w:val="clear" w:color="auto" w:fill="FFFFFF"/>
            <w:vAlign w:val="center"/>
          </w:tcPr>
          <w:p w14:paraId="429A5C67">
            <w:pPr>
              <w:jc w:val="center"/>
              <w:rPr>
                <w:rFonts w:hint="eastAsia"/>
                <w:sz w:val="20"/>
                <w:szCs w:val="20"/>
                <w:lang w:val="en-US" w:eastAsia="zh-CN"/>
              </w:rPr>
            </w:pPr>
            <w:r>
              <w:rPr>
                <w:rFonts w:hint="eastAsia"/>
                <w:bCs/>
                <w:color w:val="auto"/>
                <w:sz w:val="20"/>
                <w:szCs w:val="20"/>
                <w:lang w:val="en-US" w:eastAsia="zh-CN"/>
              </w:rPr>
              <w:t>1192.1</w:t>
            </w:r>
          </w:p>
        </w:tc>
        <w:tc>
          <w:tcPr>
            <w:tcW w:w="554" w:type="pct"/>
            <w:shd w:val="clear" w:color="auto" w:fill="FFFFFF"/>
            <w:vAlign w:val="center"/>
          </w:tcPr>
          <w:p w14:paraId="18773B7E">
            <w:pPr>
              <w:jc w:val="center"/>
              <w:rPr>
                <w:rFonts w:hint="eastAsia"/>
                <w:sz w:val="20"/>
                <w:szCs w:val="20"/>
                <w:lang w:val="en-US" w:eastAsia="zh-CN"/>
              </w:rPr>
            </w:pPr>
            <w:r>
              <w:rPr>
                <w:rFonts w:hint="eastAsia"/>
                <w:bCs/>
                <w:color w:val="auto"/>
                <w:sz w:val="20"/>
                <w:szCs w:val="20"/>
                <w:lang w:val="en-US" w:eastAsia="zh-CN"/>
              </w:rPr>
              <w:t>1972.1</w:t>
            </w:r>
          </w:p>
        </w:tc>
        <w:tc>
          <w:tcPr>
            <w:tcW w:w="564" w:type="pct"/>
            <w:shd w:val="clear" w:color="auto" w:fill="FFFFFF"/>
            <w:vAlign w:val="center"/>
          </w:tcPr>
          <w:p w14:paraId="08DF2570">
            <w:pPr>
              <w:jc w:val="center"/>
              <w:rPr>
                <w:rFonts w:hint="eastAsia"/>
                <w:sz w:val="20"/>
                <w:szCs w:val="20"/>
                <w:lang w:val="en-US" w:eastAsia="zh-CN"/>
              </w:rPr>
            </w:pPr>
            <w:r>
              <w:rPr>
                <w:rFonts w:hint="eastAsia"/>
                <w:bCs/>
                <w:color w:val="auto"/>
                <w:sz w:val="20"/>
                <w:szCs w:val="20"/>
                <w:lang w:val="en-US" w:eastAsia="zh-CN"/>
              </w:rPr>
              <w:t>66</w:t>
            </w:r>
          </w:p>
        </w:tc>
        <w:tc>
          <w:tcPr>
            <w:tcW w:w="651" w:type="pct"/>
            <w:shd w:val="clear" w:color="auto" w:fill="FFFFFF"/>
            <w:vAlign w:val="center"/>
          </w:tcPr>
          <w:p w14:paraId="37B30304">
            <w:pPr>
              <w:jc w:val="center"/>
              <w:rPr>
                <w:rFonts w:hint="eastAsia"/>
                <w:sz w:val="20"/>
                <w:szCs w:val="20"/>
                <w:lang w:val="en-US" w:eastAsia="zh-CN"/>
              </w:rPr>
            </w:pPr>
            <w:r>
              <w:rPr>
                <w:rFonts w:hint="eastAsia"/>
                <w:bCs/>
                <w:color w:val="auto"/>
                <w:sz w:val="20"/>
                <w:szCs w:val="20"/>
                <w:lang w:val="en-US" w:eastAsia="zh-CN"/>
              </w:rPr>
              <w:t>555.1</w:t>
            </w:r>
          </w:p>
        </w:tc>
      </w:tr>
    </w:tbl>
    <w:p w14:paraId="22BC9E4C">
      <w:pPr>
        <w:ind w:firstLine="480" w:firstLineChars="200"/>
      </w:pPr>
      <w:bookmarkStart w:id="238" w:name="bookmark79"/>
      <w:bookmarkEnd w:id="238"/>
    </w:p>
    <w:p w14:paraId="391181A8">
      <w:pPr>
        <w:ind w:firstLine="480" w:firstLineChars="200"/>
        <w:sectPr>
          <w:pgSz w:w="11905" w:h="16838"/>
          <w:pgMar w:top="1701" w:right="1701" w:bottom="1701" w:left="1701" w:header="1134" w:footer="1134" w:gutter="0"/>
          <w:cols w:space="0" w:num="1"/>
          <w:docGrid w:type="lines" w:linePitch="327" w:charSpace="0"/>
        </w:sectPr>
      </w:pPr>
    </w:p>
    <w:p w14:paraId="6FA7DEC6">
      <w:pPr>
        <w:pStyle w:val="2"/>
        <w:spacing w:before="654" w:after="654"/>
      </w:pPr>
      <w:bookmarkStart w:id="239" w:name="_Toc20238"/>
      <w:r>
        <w:t>8</w:t>
      </w:r>
      <w:r>
        <w:rPr>
          <w:rFonts w:hint="eastAsia"/>
          <w:lang w:eastAsia="zh-CN"/>
        </w:rPr>
        <w:t xml:space="preserve"> </w:t>
      </w:r>
      <w:r>
        <w:t>面临挑战</w:t>
      </w:r>
      <w:bookmarkEnd w:id="239"/>
    </w:p>
    <w:p w14:paraId="161A3C7B">
      <w:pPr>
        <w:pStyle w:val="3"/>
        <w:spacing w:before="327" w:after="327"/>
        <w:rPr>
          <w:rFonts w:hint="eastAsia" w:ascii="方正黑体_GBK" w:hAnsi="方正黑体_GBK" w:eastAsia="方正黑体_GBK" w:cs="方正黑体_GBK"/>
        </w:rPr>
      </w:pPr>
      <w:bookmarkStart w:id="240" w:name="bookmark80"/>
      <w:bookmarkEnd w:id="240"/>
      <w:bookmarkStart w:id="241" w:name="_Toc16224"/>
      <w:r>
        <w:rPr>
          <w:rFonts w:hint="eastAsia"/>
        </w:rPr>
        <w:t xml:space="preserve">8.1 </w:t>
      </w:r>
      <w:r>
        <w:rPr>
          <w:rFonts w:hint="eastAsia" w:ascii="方正黑体_GBK" w:hAnsi="方正黑体_GBK" w:eastAsia="方正黑体_GBK" w:cs="方正黑体_GBK"/>
        </w:rPr>
        <w:t>挑战</w:t>
      </w:r>
      <w:r>
        <w:t>1：</w:t>
      </w:r>
      <w:r>
        <w:rPr>
          <w:rFonts w:hint="eastAsia" w:ascii="方正黑体_GBK" w:hAnsi="方正黑体_GBK" w:eastAsia="方正黑体_GBK" w:cs="方正黑体_GBK"/>
        </w:rPr>
        <w:t>中职教育社会吸引力与可持续发展面临瓶颈</w:t>
      </w:r>
      <w:bookmarkEnd w:id="241"/>
    </w:p>
    <w:p w14:paraId="078EF98D">
      <w:pPr>
        <w:ind w:firstLine="482" w:firstLineChars="200"/>
        <w:rPr>
          <w:lang w:eastAsia="zh-CN"/>
        </w:rPr>
      </w:pPr>
      <w:r>
        <w:rPr>
          <w:rFonts w:hint="eastAsia"/>
          <w:b/>
          <w:bCs/>
          <w:color w:val="4874CB" w:themeColor="accent1"/>
          <w:lang w:eastAsia="zh-CN"/>
          <w14:textFill>
            <w14:solidFill>
              <w14:schemeClr w14:val="accent1"/>
            </w14:solidFill>
          </w14:textFill>
        </w:rPr>
        <w:t>问题：</w:t>
      </w:r>
      <w:r>
        <w:rPr>
          <w:rFonts w:hint="eastAsia"/>
          <w:lang w:eastAsia="zh-CN"/>
        </w:rPr>
        <w:t>中职学校生源数量呈现下降趋势，其发展定位与社会需求对接不够清晰，影响了中职教育的健康持续发展。</w:t>
      </w:r>
    </w:p>
    <w:p w14:paraId="130858E9">
      <w:pPr>
        <w:ind w:firstLine="482" w:firstLineChars="200"/>
        <w:rPr>
          <w:lang w:eastAsia="zh-CN"/>
        </w:rPr>
      </w:pPr>
      <w:r>
        <w:rPr>
          <w:rFonts w:hint="eastAsia"/>
          <w:b/>
          <w:bCs/>
          <w:color w:val="4874CB" w:themeColor="accent1"/>
          <w:lang w:eastAsia="zh-CN"/>
          <w14:textFill>
            <w14:solidFill>
              <w14:schemeClr w14:val="accent1"/>
            </w14:solidFill>
          </w14:textFill>
        </w:rPr>
        <w:t>原因分析：</w:t>
      </w:r>
      <w:r>
        <w:rPr>
          <w:rFonts w:hint="eastAsia"/>
          <w:lang w:eastAsia="zh-CN"/>
        </w:rPr>
        <w:t>一是传统“重普教、轻职教”的社会观念依然存在，学生及家长普遍将中职教育视为考不上普通高中后的“次优选择”，对其价值认同度低。二是中职教育自身内涵建设有待加强，部分学校专业设置滞后于产业升级，教学质量和人才培养特色不够突出，毕业生升学深造的“天花板”明显、高质量就业渠道不畅，削弱了其吸引力。三是宣传引导不足，未能有效向社会展示中职教育在技能成才、就业保障以及通过职教高考等途径多元化发展方面的成功案例与政策红利。四是区域产业发展对技能人才需求的规模、结构信号未能有效传导至招生端和家庭选择端。</w:t>
      </w:r>
    </w:p>
    <w:p w14:paraId="4247AF72">
      <w:pPr>
        <w:ind w:firstLine="482" w:firstLineChars="200"/>
        <w:rPr>
          <w:lang w:eastAsia="zh-CN"/>
        </w:rPr>
      </w:pPr>
      <w:r>
        <w:rPr>
          <w:rFonts w:hint="eastAsia"/>
          <w:b/>
          <w:bCs/>
          <w:color w:val="4874CB" w:themeColor="accent1"/>
          <w:lang w:eastAsia="zh-CN"/>
          <w14:textFill>
            <w14:solidFill>
              <w14:schemeClr w14:val="accent1"/>
            </w14:solidFill>
          </w14:textFill>
        </w:rPr>
        <w:t>建议：</w:t>
      </w:r>
      <w:r>
        <w:rPr>
          <w:rFonts w:hint="eastAsia"/>
          <w:lang w:eastAsia="zh-CN"/>
        </w:rPr>
        <w:t>一是强化内涵与品牌建设。紧密对接区域主导产业、战略性新兴产业，动态优化专业设置，打造一批市级乃至国家级的优质专业。深化“三教”改革，全面提升教学质量，确保学生“学有所获、技有所长”。二是拓宽学生发展通道。大力完善并宣传“中职-高职-应用型本科”贯通培养体系，扎实做好职教高考辅导，同时深化校企合作订单培养，提升就业质量与竞争力，用扎实的出口带动入口。三是加大正面宣传引导。系统策划职业教育宣传活动，利用融媒体平台，持续宣传职业教育政策、优秀毕业生成长案例、技能大赛成果等，改变社会刻板印象。四是建立生源预测与联动机制。教育部门会同发改、人社、经信等部门，定期发布区域技能人才需求预测报告，引导初中毕业生及家长理性选择。</w:t>
      </w:r>
    </w:p>
    <w:p w14:paraId="53228938">
      <w:pPr>
        <w:pStyle w:val="3"/>
        <w:spacing w:before="327" w:after="327"/>
      </w:pPr>
      <w:bookmarkStart w:id="242" w:name="bookmark81"/>
      <w:bookmarkEnd w:id="242"/>
      <w:bookmarkStart w:id="243" w:name="_Toc30169"/>
      <w:r>
        <w:rPr>
          <w:rFonts w:hint="eastAsia"/>
        </w:rPr>
        <w:t xml:space="preserve">8.2 </w:t>
      </w:r>
      <w:r>
        <w:rPr>
          <w:rFonts w:hint="eastAsia" w:ascii="方正黑体_GBK" w:hAnsi="方正黑体_GBK" w:eastAsia="方正黑体_GBK" w:cs="方正黑体_GBK"/>
        </w:rPr>
        <w:t>挑战</w:t>
      </w:r>
      <w:r>
        <w:t>2：</w:t>
      </w:r>
      <w:r>
        <w:rPr>
          <w:rFonts w:hint="eastAsia" w:ascii="方正黑体_GBK" w:hAnsi="方正黑体_GBK" w:eastAsia="方正黑体_GBK" w:cs="方正黑体_GBK"/>
        </w:rPr>
        <w:t>产教融合深度与学校服务能力有待突破</w:t>
      </w:r>
      <w:bookmarkEnd w:id="243"/>
    </w:p>
    <w:p w14:paraId="6EF71D41">
      <w:pPr>
        <w:ind w:firstLine="482" w:firstLineChars="200"/>
        <w:rPr>
          <w:lang w:eastAsia="zh-CN"/>
        </w:rPr>
      </w:pPr>
      <w:bookmarkStart w:id="244" w:name="bookmark82"/>
      <w:bookmarkEnd w:id="244"/>
      <w:r>
        <w:rPr>
          <w:rFonts w:hint="eastAsia"/>
          <w:b/>
          <w:bCs/>
          <w:color w:val="4874CB" w:themeColor="accent1"/>
          <w:lang w:eastAsia="zh-CN"/>
          <w14:textFill>
            <w14:solidFill>
              <w14:schemeClr w14:val="accent1"/>
            </w14:solidFill>
          </w14:textFill>
        </w:rPr>
        <w:t>问题：</w:t>
      </w:r>
      <w:r>
        <w:rPr>
          <w:rFonts w:hint="eastAsia"/>
          <w:lang w:eastAsia="zh-CN"/>
        </w:rPr>
        <w:t>区内中职学校与龙头企业合作多停留在协议、实习等浅层，协同育人效果不佳；同时，学校在主动开展职业培训、技能鉴定、服务社区等方面功能发挥不足，社会服务能力薄弱。</w:t>
      </w:r>
    </w:p>
    <w:p w14:paraId="192A46BE">
      <w:pPr>
        <w:ind w:firstLine="482" w:firstLineChars="200"/>
        <w:rPr>
          <w:lang w:eastAsia="zh-CN"/>
        </w:rPr>
      </w:pPr>
      <w:r>
        <w:rPr>
          <w:rFonts w:hint="eastAsia"/>
          <w:b/>
          <w:bCs/>
          <w:color w:val="4874CB" w:themeColor="accent1"/>
          <w:lang w:eastAsia="zh-CN"/>
          <w14:textFill>
            <w14:solidFill>
              <w14:schemeClr w14:val="accent1"/>
            </w14:solidFill>
          </w14:textFill>
        </w:rPr>
        <w:t>原因分析：</w:t>
      </w:r>
      <w:r>
        <w:rPr>
          <w:rFonts w:hint="eastAsia"/>
          <w:lang w:eastAsia="zh-CN"/>
        </w:rPr>
        <w:t>产教“合而不深”的主要原因在于：一是缺乏利益共享、责任共担的长效机制。企业参与人才培养的内生动力不足，学校提供的技术服务和人才支撑与企业实际需求存在差距。二是合作内容单一。多局限于学生顶岗实习，在共同开发课程标准、教材、共建实训基地、技术研发等方面合作稀缺。三是学校自身拓展社会服务的意识与能力不足。教师队伍中具备培训师、考评员资质及企业实践经验的“双师型”比例有待提高，面向社会的培训项目开发、市场对接能力较弱。四是政策激励与统筹力度不够，对深度参与产教融合的企业缺乏有吸引力的补偿机制，学校开展社会服务的评价激励机制也不完善。</w:t>
      </w:r>
    </w:p>
    <w:p w14:paraId="05E8B1E1">
      <w:pPr>
        <w:ind w:firstLine="482" w:firstLineChars="200"/>
        <w:rPr>
          <w:lang w:eastAsia="zh-CN"/>
        </w:rPr>
      </w:pPr>
      <w:r>
        <w:rPr>
          <w:rFonts w:hint="eastAsia"/>
          <w:b/>
          <w:bCs/>
          <w:color w:val="4874CB" w:themeColor="accent1"/>
          <w:lang w:eastAsia="zh-CN"/>
          <w14:textFill>
            <w14:solidFill>
              <w14:schemeClr w14:val="accent1"/>
            </w14:solidFill>
          </w14:textFill>
        </w:rPr>
        <w:t>建议：</w:t>
      </w:r>
      <w:r>
        <w:rPr>
          <w:rFonts w:hint="eastAsia"/>
          <w:lang w:eastAsia="zh-CN"/>
        </w:rPr>
        <w:t>一是搭建深度合作平台。牵头组建由政、行、企、校参与的产教融合联盟，定期发布校企合作需求清单与项目，研究制定激励企业深度参与产教融合的具体办法。二是推动合作模式创新。鼓励校企共建产业学院、高水平专业化产教融合实训基地、技能大师工作室。支持校企联合开展“现代学徒制”“企业新型学徒制”培养，共同开发教学资源与评价标准。三是赋能学校社会服务功能。支持学校依托专业优势，面向企业职工、退役军人、农民工、失业人员等群体开发定制化培训包。加强与人社部门协调，扩大学校职业技能等级认定范围和规模。四是加强“双师型”教师队伍建设，完善教师企业实践制度，提升教师技术技能积累与社会培训能力。</w:t>
      </w:r>
    </w:p>
    <w:p w14:paraId="4AFCC9D2">
      <w:pPr>
        <w:pStyle w:val="3"/>
        <w:spacing w:before="327" w:after="327"/>
      </w:pPr>
      <w:bookmarkStart w:id="245" w:name="_Toc31761"/>
      <w:r>
        <w:rPr>
          <w:rFonts w:hint="eastAsia"/>
        </w:rPr>
        <w:t xml:space="preserve">8.3 </w:t>
      </w:r>
      <w:r>
        <w:rPr>
          <w:rFonts w:hint="eastAsia" w:ascii="方正黑体_GBK" w:hAnsi="方正黑体_GBK" w:eastAsia="方正黑体_GBK" w:cs="方正黑体_GBK"/>
        </w:rPr>
        <w:t>挑战</w:t>
      </w:r>
      <w:r>
        <w:t>3：</w:t>
      </w:r>
      <w:r>
        <w:rPr>
          <w:rFonts w:hint="eastAsia" w:ascii="方正黑体_GBK" w:hAnsi="方正黑体_GBK" w:eastAsia="方正黑体_GBK" w:cs="方正黑体_GBK"/>
        </w:rPr>
        <w:t>职普融通机制不畅制约综合高中改革成效</w:t>
      </w:r>
      <w:bookmarkEnd w:id="245"/>
    </w:p>
    <w:p w14:paraId="5ED76942">
      <w:pPr>
        <w:ind w:firstLine="482" w:firstLineChars="200"/>
        <w:rPr>
          <w:lang w:eastAsia="zh-CN"/>
        </w:rPr>
      </w:pPr>
      <w:r>
        <w:rPr>
          <w:rFonts w:hint="eastAsia"/>
          <w:b/>
          <w:bCs/>
          <w:color w:val="4874CB" w:themeColor="accent1"/>
          <w:lang w:eastAsia="zh-CN"/>
          <w14:textFill>
            <w14:solidFill>
              <w14:schemeClr w14:val="accent1"/>
            </w14:solidFill>
          </w14:textFill>
        </w:rPr>
        <w:t>问题：</w:t>
      </w:r>
      <w:r>
        <w:rPr>
          <w:rFonts w:hint="eastAsia"/>
          <w:lang w:eastAsia="zh-CN"/>
        </w:rPr>
        <w:t>职普融通，特别是综合高中试点改革中，学生和家长对其信任度不高，制约试点成效，普职教育之间的资源壁垒尚未有效打破。</w:t>
      </w:r>
    </w:p>
    <w:p w14:paraId="08EDFF5E">
      <w:pPr>
        <w:ind w:firstLine="482" w:firstLineChars="200"/>
        <w:rPr>
          <w:lang w:eastAsia="zh-CN"/>
        </w:rPr>
      </w:pPr>
      <w:r>
        <w:rPr>
          <w:rFonts w:hint="eastAsia"/>
          <w:b/>
          <w:bCs/>
          <w:color w:val="4874CB" w:themeColor="accent1"/>
          <w:lang w:eastAsia="zh-CN"/>
          <w14:textFill>
            <w14:solidFill>
              <w14:schemeClr w14:val="accent1"/>
            </w14:solidFill>
          </w14:textFill>
        </w:rPr>
        <w:t>原因分析：</w:t>
      </w:r>
      <w:r>
        <w:rPr>
          <w:rFonts w:hint="eastAsia"/>
          <w:lang w:eastAsia="zh-CN"/>
        </w:rPr>
        <w:t>一是融通机制设计不完善。综合高中的课程体系、学籍管理、学分互认、考试评价等关键环节的配套细则不清晰，学生在普高课程与职教课程之间转换存在制度障碍，导致“融通”流于形式。二是学生发展路径模糊。家长担忧选择综合高中会导致“普不普、职不职”，未来既难以竞争普通高考，职业技能又学不精深，升学就业面临双重不确定性。三是宣传解读不到位。对综合高中的办学模式、优势特点、成功案例及后续发展路径宣传不足，加剧了家长和学生的疑虑。</w:t>
      </w:r>
    </w:p>
    <w:p w14:paraId="2D6A6C53">
      <w:pPr>
        <w:ind w:firstLine="482" w:firstLineChars="200"/>
        <w:rPr>
          <w:lang w:eastAsia="zh-CN"/>
        </w:rPr>
      </w:pPr>
      <w:r>
        <w:rPr>
          <w:rFonts w:hint="eastAsia"/>
          <w:b/>
          <w:bCs/>
          <w:color w:val="4874CB" w:themeColor="accent1"/>
          <w:lang w:eastAsia="zh-CN"/>
          <w14:textFill>
            <w14:solidFill>
              <w14:schemeClr w14:val="accent1"/>
            </w14:solidFill>
          </w14:textFill>
        </w:rPr>
        <w:t>建议：</w:t>
      </w:r>
      <w:r>
        <w:rPr>
          <w:rFonts w:hint="eastAsia"/>
          <w:lang w:eastAsia="zh-CN"/>
        </w:rPr>
        <w:t>一是完善顶层设计与配套政策。积极对接市教委，明确综合高中试点相关配套政策，研究制定我区实施细则，明确学生学籍动态管理、课程选修与学分互认、学业水平考试与职业资格证书转换等具体办法，打通关键堵点。二是清晰规划学生发展路径。为综合高中学生建立个性化成长档案，提供“一生一案”的学业与生涯规划指导。确保学生可根据自身发展情况，在高一或高二结束后，自愿、顺畅地选择侧重普通教育或职业教育的路径，并确保两条路径都有扎实的培养方案和出口保障。三是加强试点成果宣传与推广。遴选和宣传综合高中改革成功的典型案例，详细解读政策红利与学生多元成才故事，通过家长会、校园开放日、媒体专题报道等形式，增强社会认知与信任。</w:t>
      </w:r>
    </w:p>
    <w:sectPr>
      <w:pgSz w:w="11905" w:h="16838"/>
      <w:pgMar w:top="1701" w:right="1701" w:bottom="1701" w:left="1701" w:header="1134" w:footer="1134" w:gutter="0"/>
      <w:cols w:space="0" w:num="1"/>
      <w:docGrid w:type="lines" w:linePitch="327" w:charSpace="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acds>
    <wne:acd wne:argValue="AQAAAA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1E43281-E0BD-4F18-9492-22D0C7950A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ZFangSongB-Z02">
    <w:altName w:val="Microsoft JhengHei"/>
    <w:panose1 w:val="02000000000000000000"/>
    <w:charset w:val="88"/>
    <w:family w:val="auto"/>
    <w:pitch w:val="default"/>
    <w:sig w:usb0="00000000" w:usb1="00000000" w:usb2="00000000" w:usb3="00000000" w:csb0="00100000" w:csb1="00000000"/>
  </w:font>
  <w:font w:name="Microsoft JhengHei">
    <w:panose1 w:val="020B0604030504040204"/>
    <w:charset w:val="88"/>
    <w:family w:val="auto"/>
    <w:pitch w:val="default"/>
    <w:sig w:usb0="000002A7" w:usb1="28CF4400" w:usb2="00000016" w:usb3="00000000" w:csb0="00100009" w:csb1="00000000"/>
  </w:font>
  <w:font w:name="方正黑体_GBK">
    <w:panose1 w:val="02010600010101010101"/>
    <w:charset w:val="86"/>
    <w:family w:val="auto"/>
    <w:pitch w:val="default"/>
    <w:sig w:usb0="00000001" w:usb1="080E0000" w:usb2="00000000" w:usb3="00000000" w:csb0="00040000" w:csb1="00000000"/>
    <w:embedRegular r:id="rId2" w:fontKey="{75853ED4-BCCC-4F08-ABDF-4F215BFF246E}"/>
  </w:font>
  <w:font w:name="楷体">
    <w:panose1 w:val="02010609060101010101"/>
    <w:charset w:val="86"/>
    <w:family w:val="auto"/>
    <w:pitch w:val="default"/>
    <w:sig w:usb0="800002BF" w:usb1="38CF7CFA" w:usb2="00000016" w:usb3="00000000" w:csb0="00040001" w:csb1="00000000"/>
    <w:embedRegular r:id="rId3" w:fontKey="{C8A0E330-BEFF-4E82-B6DD-BE5016F50DCF}"/>
  </w:font>
  <w:font w:name="等线">
    <w:panose1 w:val="02010600030101010101"/>
    <w:charset w:val="86"/>
    <w:family w:val="auto"/>
    <w:pitch w:val="default"/>
    <w:sig w:usb0="A00002BF" w:usb1="38CF7CFA"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方正姚体">
    <w:panose1 w:val="02010601030101010101"/>
    <w:charset w:val="86"/>
    <w:family w:val="auto"/>
    <w:pitch w:val="default"/>
    <w:sig w:usb0="00000003" w:usb1="080E0000" w:usb2="00000000" w:usb3="00000000" w:csb0="00040000" w:csb1="00000000"/>
  </w:font>
  <w:font w:name="方正楷体_GBK">
    <w:panose1 w:val="02000000000000000000"/>
    <w:charset w:val="86"/>
    <w:family w:val="script"/>
    <w:pitch w:val="default"/>
    <w:sig w:usb0="800002BF" w:usb1="38CF7CFA" w:usb2="00000016"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F4438">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A8E9B">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994AC">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171C0">
    <w:pPr>
      <w:pStyle w:val="12"/>
    </w:pPr>
    <w:r>
      <w:fldChar w:fldCharType="begin"/>
    </w:r>
    <w:r>
      <w:instrText xml:space="preserve">PAGE   \* MERGEFORMAT</w:instrText>
    </w:r>
    <w:r>
      <w:fldChar w:fldCharType="separate"/>
    </w:r>
    <w:r>
      <w:rPr>
        <w:lang w:val="zh-CN" w:eastAsia="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68529">
    <w:pPr>
      <w:pStyle w:val="12"/>
      <w:ind w:right="840"/>
      <w:jc w:val="both"/>
    </w:pPr>
    <w:r>
      <w:fldChar w:fldCharType="begin"/>
    </w:r>
    <w:r>
      <w:instrText xml:space="preserve">PAGE   \* MERGEFORMAT</w:instrText>
    </w:r>
    <w:r>
      <w:fldChar w:fldCharType="separate"/>
    </w:r>
    <w:r>
      <w:rPr>
        <w:lang w:val="zh-CN" w:eastAsia="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8B989">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3711E">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33790">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96EDC">
    <w:pPr>
      <w:pStyle w:val="13"/>
      <w:wordWrap w:val="0"/>
      <w:jc w:val="right"/>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007F1">
    <w:pPr>
      <w:pStyle w:val="13"/>
      <w:rPr>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240"/>
  <w:drawingGridVerticalSpacing w:val="16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0414703"/>
    <w:rsid w:val="001148CC"/>
    <w:rsid w:val="002109A2"/>
    <w:rsid w:val="00287B5E"/>
    <w:rsid w:val="00403F04"/>
    <w:rsid w:val="004B0809"/>
    <w:rsid w:val="00562F71"/>
    <w:rsid w:val="00667238"/>
    <w:rsid w:val="00733D85"/>
    <w:rsid w:val="009845D2"/>
    <w:rsid w:val="00B64610"/>
    <w:rsid w:val="00C70596"/>
    <w:rsid w:val="00CB2E13"/>
    <w:rsid w:val="00D46384"/>
    <w:rsid w:val="00DC4643"/>
    <w:rsid w:val="00E4207B"/>
    <w:rsid w:val="00EE516A"/>
    <w:rsid w:val="00F64598"/>
    <w:rsid w:val="034E121F"/>
    <w:rsid w:val="07CA2F0A"/>
    <w:rsid w:val="08C00913"/>
    <w:rsid w:val="0C385996"/>
    <w:rsid w:val="11700672"/>
    <w:rsid w:val="11ED085F"/>
    <w:rsid w:val="12C81DAF"/>
    <w:rsid w:val="16A251DF"/>
    <w:rsid w:val="1A84024D"/>
    <w:rsid w:val="1B2B5269"/>
    <w:rsid w:val="26F95E24"/>
    <w:rsid w:val="27195FB0"/>
    <w:rsid w:val="298D1794"/>
    <w:rsid w:val="2AF210D3"/>
    <w:rsid w:val="2C5440B6"/>
    <w:rsid w:val="346B4ED6"/>
    <w:rsid w:val="36C71EDE"/>
    <w:rsid w:val="37E91991"/>
    <w:rsid w:val="3AE44579"/>
    <w:rsid w:val="40414703"/>
    <w:rsid w:val="43422A63"/>
    <w:rsid w:val="46AF01DC"/>
    <w:rsid w:val="4AF319E3"/>
    <w:rsid w:val="61CE4BB7"/>
    <w:rsid w:val="62CA3D47"/>
    <w:rsid w:val="63802FCE"/>
    <w:rsid w:val="650D6B17"/>
    <w:rsid w:val="6EB32B7F"/>
    <w:rsid w:val="721612A6"/>
    <w:rsid w:val="7527216B"/>
    <w:rsid w:val="76587708"/>
    <w:rsid w:val="7DB65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textAlignment w:val="baseline"/>
    </w:pPr>
    <w:rPr>
      <w:rFonts w:ascii="Times New Roman" w:hAnsi="Times New Roman" w:eastAsia="宋体" w:cs="FZFangSongB-Z02"/>
      <w:snapToGrid w:val="0"/>
      <w:color w:val="000000"/>
      <w:sz w:val="24"/>
      <w:szCs w:val="21"/>
      <w:lang w:val="en-US" w:eastAsia="en-US" w:bidi="ar-SA"/>
    </w:rPr>
  </w:style>
  <w:style w:type="paragraph" w:styleId="2">
    <w:name w:val="heading 1"/>
    <w:basedOn w:val="1"/>
    <w:next w:val="1"/>
    <w:qFormat/>
    <w:uiPriority w:val="0"/>
    <w:pPr>
      <w:keepNext/>
      <w:keepLines/>
      <w:spacing w:before="709" w:beforeLines="200" w:after="709" w:afterLines="200"/>
      <w:outlineLvl w:val="0"/>
    </w:pPr>
    <w:rPr>
      <w:rFonts w:eastAsia="方正黑体_GBK" w:cs="Times New Roman"/>
      <w:b/>
      <w:bCs/>
      <w:sz w:val="36"/>
      <w:szCs w:val="28"/>
    </w:rPr>
  </w:style>
  <w:style w:type="paragraph" w:styleId="3">
    <w:name w:val="heading 2"/>
    <w:basedOn w:val="1"/>
    <w:next w:val="1"/>
    <w:unhideWhenUsed/>
    <w:qFormat/>
    <w:uiPriority w:val="0"/>
    <w:pPr>
      <w:keepNext/>
      <w:keepLines/>
      <w:spacing w:before="328" w:beforeLines="100" w:after="328" w:afterLines="100"/>
      <w:outlineLvl w:val="1"/>
    </w:pPr>
    <w:rPr>
      <w:rFonts w:eastAsia="黑体" w:cs="Times New Roman"/>
      <w:sz w:val="32"/>
      <w:szCs w:val="24"/>
      <w:lang w:eastAsia="zh-CN"/>
    </w:rPr>
  </w:style>
  <w:style w:type="paragraph" w:styleId="4">
    <w:name w:val="heading 3"/>
    <w:basedOn w:val="1"/>
    <w:next w:val="1"/>
    <w:unhideWhenUsed/>
    <w:qFormat/>
    <w:uiPriority w:val="0"/>
    <w:pPr>
      <w:keepNext/>
      <w:keepLines/>
      <w:spacing w:before="165" w:beforeLines="50" w:after="165" w:afterLines="50"/>
      <w:outlineLvl w:val="2"/>
    </w:pPr>
    <w:rPr>
      <w:rFonts w:eastAsia="黑体" w:cs="Times New Roman"/>
      <w:sz w:val="28"/>
      <w:szCs w:val="22"/>
      <w:lang w:eastAsia="zh-CN"/>
    </w:rPr>
  </w:style>
  <w:style w:type="paragraph" w:styleId="5">
    <w:name w:val="heading 5"/>
    <w:basedOn w:val="1"/>
    <w:next w:val="1"/>
    <w:unhideWhenUsed/>
    <w:qFormat/>
    <w:uiPriority w:val="0"/>
    <w:pPr>
      <w:keepNext/>
      <w:keepLines/>
      <w:spacing w:before="280" w:after="290" w:line="372" w:lineRule="auto"/>
      <w:outlineLvl w:val="4"/>
    </w:pPr>
    <w:rPr>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caption"/>
    <w:basedOn w:val="1"/>
    <w:next w:val="1"/>
    <w:unhideWhenUsed/>
    <w:qFormat/>
    <w:uiPriority w:val="0"/>
    <w:pPr>
      <w:jc w:val="center"/>
    </w:pPr>
    <w:rPr>
      <w:rFonts w:eastAsia="楷体" w:cs="Times New Roman"/>
      <w:sz w:val="21"/>
      <w:szCs w:val="15"/>
      <w:lang w:eastAsia="zh-CN"/>
    </w:rPr>
  </w:style>
  <w:style w:type="paragraph" w:styleId="8">
    <w:name w:val="Body Text"/>
    <w:basedOn w:val="1"/>
    <w:semiHidden/>
    <w:qFormat/>
    <w:uiPriority w:val="0"/>
    <w:rPr>
      <w:rFonts w:ascii="Arial" w:hAnsi="Arial" w:eastAsia="Arial"/>
      <w:sz w:val="21"/>
    </w:rPr>
  </w:style>
  <w:style w:type="paragraph" w:styleId="9">
    <w:name w:val="Body Text Indent"/>
    <w:basedOn w:val="1"/>
    <w:unhideWhenUsed/>
    <w:qFormat/>
    <w:uiPriority w:val="99"/>
    <w:pPr>
      <w:spacing w:after="120"/>
      <w:ind w:left="420" w:leftChars="200"/>
    </w:pPr>
  </w:style>
  <w:style w:type="paragraph" w:styleId="10">
    <w:name w:val="toc 3"/>
    <w:basedOn w:val="1"/>
    <w:autoRedefine/>
    <w:qFormat/>
    <w:uiPriority w:val="0"/>
    <w:pPr>
      <w:tabs>
        <w:tab w:val="right" w:leader="dot" w:pos="8503"/>
      </w:tabs>
    </w:pPr>
    <w:rPr>
      <w:szCs w:val="18"/>
      <w:lang w:eastAsia="zh-CN"/>
    </w:rPr>
  </w:style>
  <w:style w:type="paragraph" w:styleId="11">
    <w:name w:val="Plain Text"/>
    <w:basedOn w:val="1"/>
    <w:unhideWhenUsed/>
    <w:qFormat/>
    <w:uiPriority w:val="99"/>
    <w:rPr>
      <w:rFonts w:ascii="等线" w:hAnsi="Courier New" w:eastAsia="等线" w:cs="Courier New"/>
    </w:rPr>
  </w:style>
  <w:style w:type="paragraph" w:styleId="12">
    <w:name w:val="footer"/>
    <w:basedOn w:val="1"/>
    <w:autoRedefine/>
    <w:qFormat/>
    <w:uiPriority w:val="0"/>
    <w:pPr>
      <w:spacing w:line="240" w:lineRule="auto"/>
      <w:jc w:val="right"/>
    </w:pPr>
    <w:rPr>
      <w:rFonts w:cs="Times New Roman"/>
      <w:sz w:val="21"/>
      <w:szCs w:val="15"/>
    </w:rPr>
  </w:style>
  <w:style w:type="paragraph" w:styleId="13">
    <w:name w:val="header"/>
    <w:basedOn w:val="1"/>
    <w:autoRedefine/>
    <w:qFormat/>
    <w:uiPriority w:val="0"/>
    <w:rPr>
      <w:rFonts w:eastAsia="华文新魏" w:cs="Times New Roman"/>
      <w:szCs w:val="18"/>
    </w:rPr>
  </w:style>
  <w:style w:type="paragraph" w:styleId="14">
    <w:name w:val="toc 1"/>
    <w:basedOn w:val="1"/>
    <w:next w:val="1"/>
    <w:autoRedefine/>
    <w:qFormat/>
    <w:uiPriority w:val="0"/>
    <w:pPr>
      <w:tabs>
        <w:tab w:val="right" w:leader="dot" w:pos="8503"/>
      </w:tabs>
    </w:pPr>
    <w:rPr>
      <w:rFonts w:eastAsia="黑体" w:cs="Times New Roman"/>
      <w:bCs/>
      <w:kern w:val="2"/>
      <w:szCs w:val="28"/>
    </w:rPr>
  </w:style>
  <w:style w:type="paragraph" w:styleId="15">
    <w:name w:val="Subtitle"/>
    <w:basedOn w:val="1"/>
    <w:next w:val="1"/>
    <w:qFormat/>
    <w:uiPriority w:val="11"/>
    <w:pPr>
      <w:spacing w:line="400" w:lineRule="exact"/>
      <w:jc w:val="center"/>
      <w:outlineLvl w:val="4"/>
    </w:pPr>
    <w:rPr>
      <w:rFonts w:eastAsia="方正黑体_GBK"/>
      <w:bCs/>
      <w:kern w:val="28"/>
      <w:szCs w:val="32"/>
    </w:rPr>
  </w:style>
  <w:style w:type="paragraph" w:styleId="16">
    <w:name w:val="table of figures"/>
    <w:basedOn w:val="1"/>
    <w:next w:val="1"/>
    <w:autoRedefine/>
    <w:qFormat/>
    <w:uiPriority w:val="0"/>
    <w:pPr>
      <w:tabs>
        <w:tab w:val="right" w:leader="dot" w:pos="8503"/>
      </w:tabs>
      <w:jc w:val="distribute"/>
    </w:pPr>
    <w:rPr>
      <w:rFonts w:cs="Times New Roman"/>
      <w:bCs/>
      <w:color w:val="auto"/>
      <w:lang w:eastAsia="zh-CN" w:bidi="en-US"/>
    </w:rPr>
  </w:style>
  <w:style w:type="paragraph" w:styleId="17">
    <w:name w:val="toc 2"/>
    <w:basedOn w:val="1"/>
    <w:autoRedefine/>
    <w:qFormat/>
    <w:uiPriority w:val="0"/>
    <w:pPr>
      <w:tabs>
        <w:tab w:val="right" w:leader="dot" w:pos="8503"/>
      </w:tabs>
    </w:pPr>
    <w:rPr>
      <w:rFonts w:cs="Times New Roman"/>
      <w:szCs w:val="24"/>
      <w:lang w:eastAsia="zh-CN"/>
    </w:rPr>
  </w:style>
  <w:style w:type="paragraph" w:styleId="18">
    <w:name w:val="Normal (Web)"/>
    <w:basedOn w:val="1"/>
    <w:qFormat/>
    <w:uiPriority w:val="0"/>
    <w:pPr>
      <w:spacing w:beforeAutospacing="1" w:afterAutospacing="1"/>
      <w:jc w:val="left"/>
    </w:pPr>
    <w:rPr>
      <w:rFonts w:cs="Times New Roman"/>
      <w:lang w:eastAsia="zh-CN"/>
    </w:rPr>
  </w:style>
  <w:style w:type="paragraph" w:styleId="19">
    <w:name w:val="Title"/>
    <w:basedOn w:val="1"/>
    <w:next w:val="1"/>
    <w:qFormat/>
    <w:uiPriority w:val="10"/>
    <w:pPr>
      <w:spacing w:line="400" w:lineRule="exact"/>
      <w:outlineLvl w:val="3"/>
    </w:pPr>
    <w:rPr>
      <w:rFonts w:eastAsia="方正姚体" w:asciiTheme="majorHAnsi" w:hAnsiTheme="majorHAnsi" w:cstheme="majorBidi"/>
      <w:b/>
      <w:bCs/>
      <w:szCs w:val="32"/>
    </w:rPr>
  </w:style>
  <w:style w:type="paragraph" w:styleId="20">
    <w:name w:val="Body Text First Indent"/>
    <w:basedOn w:val="8"/>
    <w:next w:val="21"/>
    <w:qFormat/>
    <w:uiPriority w:val="0"/>
    <w:pPr>
      <w:ind w:firstLine="640"/>
    </w:pPr>
  </w:style>
  <w:style w:type="paragraph" w:styleId="21">
    <w:name w:val="Body Text First Indent 2"/>
    <w:basedOn w:val="9"/>
    <w:next w:val="20"/>
    <w:unhideWhenUsed/>
    <w:qFormat/>
    <w:uiPriority w:val="99"/>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案例正文"/>
    <w:basedOn w:val="1"/>
    <w:qFormat/>
    <w:uiPriority w:val="0"/>
    <w:pPr>
      <w:spacing w:line="400" w:lineRule="exact"/>
    </w:pPr>
    <w:rPr>
      <w:rFonts w:eastAsia="方正楷体_GBK"/>
      <w:bCs/>
      <w:kern w:val="28"/>
      <w:sz w:val="21"/>
      <w:szCs w:val="32"/>
    </w:rPr>
  </w:style>
  <w:style w:type="paragraph" w:customStyle="1" w:styleId="27">
    <w:name w:val="标题3"/>
    <w:basedOn w:val="6"/>
    <w:next w:val="4"/>
    <w:qFormat/>
    <w:uiPriority w:val="0"/>
    <w:pPr>
      <w:ind w:firstLine="643"/>
      <w:jc w:val="left"/>
      <w:outlineLvl w:val="2"/>
    </w:pPr>
    <w:rPr>
      <w:rFonts w:hint="eastAsia" w:cs="方正仿宋_GBK"/>
      <w:b/>
      <w:szCs w:val="32"/>
    </w:rPr>
  </w:style>
  <w:style w:type="character" w:customStyle="1" w:styleId="28">
    <w:name w:val="font51"/>
    <w:basedOn w:val="24"/>
    <w:autoRedefine/>
    <w:qFormat/>
    <w:uiPriority w:val="0"/>
    <w:rPr>
      <w:rFonts w:hint="eastAsia" w:ascii="宋体" w:hAnsi="宋体" w:eastAsia="宋体" w:cs="宋体"/>
      <w:color w:val="000000"/>
      <w:sz w:val="24"/>
      <w:szCs w:val="24"/>
      <w:u w:val="none"/>
    </w:rPr>
  </w:style>
  <w:style w:type="table" w:customStyle="1" w:styleId="29">
    <w:name w:val="网格表 4 - 着色 61"/>
    <w:basedOn w:val="22"/>
    <w:qFormat/>
    <w:uiPriority w:val="49"/>
    <w:tblPr>
      <w:tblBorders>
        <w:top w:val="single" w:color="EF939E" w:themeColor="accent6" w:themeTint="99" w:sz="4" w:space="0"/>
        <w:left w:val="single" w:color="EF939E" w:themeColor="accent6" w:themeTint="99" w:sz="4" w:space="0"/>
        <w:bottom w:val="single" w:color="EF939E" w:themeColor="accent6" w:themeTint="99" w:sz="4" w:space="0"/>
        <w:right w:val="single" w:color="EF939E" w:themeColor="accent6" w:themeTint="99" w:sz="4" w:space="0"/>
        <w:insideH w:val="single" w:color="EF939E" w:themeColor="accent6" w:themeTint="99" w:sz="4" w:space="0"/>
        <w:insideV w:val="single" w:color="EF939E" w:themeColor="accent6" w:themeTint="99" w:sz="4" w:space="0"/>
      </w:tblBorders>
    </w:tblPr>
    <w:tblStylePr w:type="firstRow">
      <w:rPr>
        <w:b/>
        <w:bCs/>
        <w:color w:val="FFFFFF" w:themeColor="background1"/>
        <w14:textFill>
          <w14:solidFill>
            <w14:schemeClr w14:val="bg1"/>
          </w14:solidFill>
        </w14:textFill>
      </w:rPr>
      <w:tcPr>
        <w:tcBorders>
          <w:top w:val="single" w:color="E54C5E" w:themeColor="accent6" w:sz="4" w:space="0"/>
          <w:left w:val="single" w:color="E54C5E" w:themeColor="accent6" w:sz="4" w:space="0"/>
          <w:bottom w:val="single" w:color="E54C5E" w:themeColor="accent6" w:sz="4" w:space="0"/>
          <w:right w:val="single" w:color="E54C5E" w:themeColor="accent6" w:sz="4" w:space="0"/>
          <w:insideH w:val="nil"/>
          <w:insideV w:val="nil"/>
        </w:tcBorders>
        <w:shd w:val="clear" w:color="auto" w:fill="E54C5E" w:themeFill="accent6"/>
      </w:tcPr>
    </w:tblStylePr>
    <w:tblStylePr w:type="lastRow">
      <w:rPr>
        <w:b/>
        <w:bCs/>
      </w:rPr>
      <w:tcPr>
        <w:tcBorders>
          <w:top w:val="double" w:color="E54C5E" w:themeColor="accent6" w:sz="4" w:space="0"/>
        </w:tcBorders>
      </w:tcPr>
    </w:tblStylePr>
    <w:tblStylePr w:type="firstCol">
      <w:rPr>
        <w:b/>
        <w:bCs/>
      </w:rPr>
    </w:tblStylePr>
    <w:tblStylePr w:type="lastCol">
      <w:rPr>
        <w:b/>
        <w:bCs/>
      </w:rPr>
    </w:tblStylePr>
    <w:tblStylePr w:type="band1Vert">
      <w:tcPr>
        <w:shd w:val="clear" w:color="auto" w:fill="F9DBDE" w:themeFill="accent6" w:themeFillTint="33"/>
      </w:tcPr>
    </w:tblStylePr>
    <w:tblStylePr w:type="band1Horz">
      <w:tcPr>
        <w:shd w:val="clear" w:color="auto" w:fill="F9DBDE" w:themeFill="accent6"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microsoft.com/office/2006/relationships/keyMapCustomizations" Target="customizations.xml"/><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67</Pages>
  <Words>4221</Words>
  <Characters>5025</Characters>
  <Lines>383</Lines>
  <Paragraphs>108</Paragraphs>
  <TotalTime>90</TotalTime>
  <ScaleCrop>false</ScaleCrop>
  <LinksUpToDate>false</LinksUpToDate>
  <CharactersWithSpaces>5396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2025-12-28T10:22:00Z</dcterms:created>
  <dc:creator>SMT</dc:creator>
  <cp:lastModifiedBy>silence</cp:lastModifiedBy>
  <cp:lastPrinted>2025-12-29T10:46:00Z</cp:lastPrinted>
  <dcterms:modified xsi:type="dcterms:W3CDTF">2026-01-05T07:57:20Z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2CAE6E555B20485BA7574DBEC7CA0BF5_13</vt:lpwstr>
  </property>
  <property fmtid="{D5CDD505-2E9C-101B-9397-08002B2CF9AE}" pid="4" name="KSOTemplateDocerSaveRecord">
    <vt:lpwstr>eyJoZGlkIjoiZjRmYWUxOWJhMWE5OGFmZGQyNzA0NjBkZTNhOGRjMDEiLCJ1c2VySWQiOiIyNDg4ODMzNzUifQ==</vt:lpwstr>
  </property>
</Properties>
</file>