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97" w:rsidRDefault="00F45997" w:rsidP="00F45997">
      <w:pPr>
        <w:spacing w:line="540" w:lineRule="exact"/>
        <w:ind w:firstLineChars="161" w:firstLine="708"/>
        <w:jc w:val="center"/>
        <w:rPr>
          <w:rFonts w:ascii="方正小标宋_GBK" w:eastAsia="方正小标宋_GBK"/>
          <w:sz w:val="44"/>
          <w:szCs w:val="44"/>
        </w:rPr>
      </w:pPr>
    </w:p>
    <w:p w:rsidR="00C13F22" w:rsidRPr="00F45997" w:rsidRDefault="00C13F22" w:rsidP="00C13F22">
      <w:pPr>
        <w:tabs>
          <w:tab w:val="left" w:pos="7371"/>
        </w:tabs>
        <w:adjustRightInd w:val="0"/>
        <w:snapToGrid w:val="0"/>
        <w:spacing w:line="600" w:lineRule="exact"/>
        <w:ind w:firstLine="641"/>
        <w:jc w:val="center"/>
        <w:rPr>
          <w:bCs/>
          <w:snapToGrid w:val="0"/>
          <w:color w:val="000000"/>
          <w:kern w:val="0"/>
          <w:szCs w:val="32"/>
        </w:rPr>
      </w:pPr>
    </w:p>
    <w:p w:rsidR="00C13F22" w:rsidRDefault="00C13F22" w:rsidP="00C13F22">
      <w:pPr>
        <w:adjustRightInd w:val="0"/>
        <w:snapToGrid w:val="0"/>
        <w:spacing w:line="600" w:lineRule="exact"/>
        <w:ind w:firstLine="641"/>
        <w:jc w:val="center"/>
        <w:rPr>
          <w:bCs/>
          <w:snapToGrid w:val="0"/>
          <w:color w:val="000000"/>
          <w:kern w:val="0"/>
          <w:szCs w:val="32"/>
        </w:rPr>
      </w:pPr>
    </w:p>
    <w:p w:rsidR="00C13F22" w:rsidRDefault="00C13F22" w:rsidP="00C13F22">
      <w:pPr>
        <w:adjustRightInd w:val="0"/>
        <w:snapToGrid w:val="0"/>
        <w:spacing w:line="600" w:lineRule="exact"/>
        <w:ind w:firstLine="641"/>
        <w:jc w:val="center"/>
        <w:rPr>
          <w:bCs/>
          <w:snapToGrid w:val="0"/>
          <w:color w:val="000000"/>
          <w:kern w:val="0"/>
          <w:szCs w:val="32"/>
        </w:rPr>
      </w:pPr>
    </w:p>
    <w:p w:rsidR="00C13F22" w:rsidRDefault="00C13F22" w:rsidP="00C13F22">
      <w:pPr>
        <w:adjustRightInd w:val="0"/>
        <w:snapToGrid w:val="0"/>
        <w:spacing w:line="600" w:lineRule="exact"/>
        <w:rPr>
          <w:bCs/>
          <w:snapToGrid w:val="0"/>
          <w:color w:val="000000"/>
          <w:kern w:val="0"/>
          <w:szCs w:val="32"/>
        </w:rPr>
      </w:pPr>
    </w:p>
    <w:p w:rsidR="00C13F22" w:rsidRDefault="00C13F22" w:rsidP="00C13F22">
      <w:pPr>
        <w:tabs>
          <w:tab w:val="left" w:pos="6720"/>
        </w:tabs>
        <w:adjustRightInd w:val="0"/>
        <w:snapToGrid w:val="0"/>
        <w:spacing w:line="600" w:lineRule="exact"/>
        <w:ind w:firstLine="641"/>
        <w:jc w:val="left"/>
        <w:rPr>
          <w:bCs/>
          <w:snapToGrid w:val="0"/>
          <w:color w:val="000000"/>
          <w:kern w:val="0"/>
          <w:szCs w:val="32"/>
        </w:rPr>
      </w:pPr>
      <w:r>
        <w:rPr>
          <w:bCs/>
          <w:snapToGrid w:val="0"/>
          <w:color w:val="000000"/>
          <w:kern w:val="0"/>
          <w:szCs w:val="32"/>
        </w:rPr>
        <w:tab/>
      </w:r>
    </w:p>
    <w:p w:rsidR="00C13F22" w:rsidRDefault="00C13F22" w:rsidP="00C13F22">
      <w:pPr>
        <w:adjustRightInd w:val="0"/>
        <w:snapToGrid w:val="0"/>
        <w:spacing w:line="600" w:lineRule="exact"/>
        <w:ind w:firstLine="641"/>
        <w:jc w:val="center"/>
        <w:rPr>
          <w:bCs/>
          <w:snapToGrid w:val="0"/>
          <w:color w:val="000000"/>
          <w:kern w:val="0"/>
          <w:szCs w:val="32"/>
        </w:rPr>
      </w:pPr>
    </w:p>
    <w:p w:rsidR="00C13F22" w:rsidRPr="00FB3D92" w:rsidRDefault="00C13F22" w:rsidP="00C13F22">
      <w:pPr>
        <w:adjustRightInd w:val="0"/>
        <w:snapToGrid w:val="0"/>
        <w:spacing w:line="900" w:lineRule="exact"/>
        <w:jc w:val="center"/>
        <w:rPr>
          <w:rFonts w:ascii="方正仿宋_GBK" w:eastAsia="方正仿宋_GBK"/>
          <w:bCs/>
          <w:snapToGrid w:val="0"/>
          <w:color w:val="000000"/>
          <w:kern w:val="0"/>
          <w:sz w:val="32"/>
          <w:szCs w:val="32"/>
        </w:rPr>
      </w:pPr>
      <w:r w:rsidRPr="00FB3D92">
        <w:rPr>
          <w:rFonts w:ascii="方正仿宋_GBK" w:eastAsia="方正仿宋_GBK" w:hint="eastAsia"/>
          <w:bCs/>
          <w:snapToGrid w:val="0"/>
          <w:color w:val="000000"/>
          <w:kern w:val="0"/>
          <w:sz w:val="32"/>
          <w:szCs w:val="32"/>
        </w:rPr>
        <w:t>九龙坡科技</w:t>
      </w:r>
      <w:r>
        <w:rPr>
          <w:rFonts w:ascii="方正仿宋_GBK" w:eastAsia="方正仿宋_GBK" w:hint="eastAsia"/>
          <w:bCs/>
          <w:snapToGrid w:val="0"/>
          <w:color w:val="000000"/>
          <w:kern w:val="0"/>
          <w:sz w:val="32"/>
          <w:szCs w:val="32"/>
        </w:rPr>
        <w:t>发</w:t>
      </w:r>
      <w:r w:rsidRPr="00FB3D92">
        <w:rPr>
          <w:rFonts w:ascii="方正仿宋_GBK" w:eastAsia="方正仿宋_GBK" w:hint="eastAsia"/>
          <w:bCs/>
          <w:snapToGrid w:val="0"/>
          <w:color w:val="000000"/>
          <w:kern w:val="0"/>
          <w:sz w:val="32"/>
          <w:szCs w:val="32"/>
        </w:rPr>
        <w:t>〔202</w:t>
      </w:r>
      <w:r>
        <w:rPr>
          <w:rFonts w:ascii="方正仿宋_GBK" w:eastAsia="方正仿宋_GBK" w:hint="eastAsia"/>
          <w:bCs/>
          <w:snapToGrid w:val="0"/>
          <w:color w:val="000000"/>
          <w:kern w:val="0"/>
          <w:sz w:val="32"/>
          <w:szCs w:val="32"/>
        </w:rPr>
        <w:t>3</w:t>
      </w:r>
      <w:r w:rsidRPr="00FB3D92">
        <w:rPr>
          <w:rFonts w:ascii="方正仿宋_GBK" w:eastAsia="方正仿宋_GBK" w:hint="eastAsia"/>
          <w:bCs/>
          <w:snapToGrid w:val="0"/>
          <w:color w:val="000000"/>
          <w:kern w:val="0"/>
          <w:sz w:val="32"/>
          <w:szCs w:val="32"/>
        </w:rPr>
        <w:t>〕</w:t>
      </w:r>
      <w:r w:rsidR="00F03168">
        <w:rPr>
          <w:rFonts w:ascii="方正仿宋_GBK" w:eastAsia="方正仿宋_GBK" w:hint="eastAsia"/>
          <w:bCs/>
          <w:snapToGrid w:val="0"/>
          <w:color w:val="000000"/>
          <w:kern w:val="0"/>
          <w:sz w:val="32"/>
          <w:szCs w:val="32"/>
        </w:rPr>
        <w:t>10</w:t>
      </w:r>
      <w:r w:rsidRPr="00FB3D92">
        <w:rPr>
          <w:rFonts w:ascii="方正仿宋_GBK" w:eastAsia="方正仿宋_GBK" w:hint="eastAsia"/>
          <w:bCs/>
          <w:snapToGrid w:val="0"/>
          <w:color w:val="000000"/>
          <w:kern w:val="0"/>
          <w:sz w:val="32"/>
          <w:szCs w:val="32"/>
        </w:rPr>
        <w:t>号</w:t>
      </w:r>
    </w:p>
    <w:p w:rsidR="00C13F22" w:rsidRDefault="00C13F22" w:rsidP="00C13F22">
      <w:pPr>
        <w:widowControl/>
        <w:shd w:val="clear" w:color="auto" w:fill="FFFFFF"/>
        <w:autoSpaceDN w:val="0"/>
        <w:spacing w:line="400" w:lineRule="exact"/>
        <w:jc w:val="center"/>
        <w:rPr>
          <w:rFonts w:ascii="方正小标宋_GBK" w:eastAsia="方正小标宋_GBK"/>
          <w:bCs/>
          <w:kern w:val="0"/>
          <w:sz w:val="44"/>
          <w:szCs w:val="44"/>
        </w:rPr>
      </w:pPr>
    </w:p>
    <w:p w:rsidR="00C13F22" w:rsidRDefault="00C13F22" w:rsidP="00C13F22">
      <w:pPr>
        <w:widowControl/>
        <w:shd w:val="clear" w:color="auto" w:fill="FFFFFF"/>
        <w:autoSpaceDN w:val="0"/>
        <w:spacing w:line="400" w:lineRule="exact"/>
        <w:jc w:val="center"/>
        <w:rPr>
          <w:rFonts w:ascii="方正小标宋_GBK" w:eastAsia="方正小标宋_GBK"/>
          <w:bCs/>
          <w:kern w:val="0"/>
          <w:sz w:val="44"/>
          <w:szCs w:val="44"/>
        </w:rPr>
      </w:pPr>
    </w:p>
    <w:p w:rsidR="00C13F22" w:rsidRDefault="00C13F22" w:rsidP="00C13F22">
      <w:pPr>
        <w:widowControl/>
        <w:shd w:val="clear" w:color="auto" w:fill="FFFFFF"/>
        <w:autoSpaceDN w:val="0"/>
        <w:spacing w:line="600" w:lineRule="exact"/>
        <w:jc w:val="center"/>
        <w:rPr>
          <w:rFonts w:ascii="方正小标宋_GBK" w:eastAsia="方正小标宋_GBK"/>
          <w:bCs/>
          <w:kern w:val="0"/>
          <w:sz w:val="44"/>
          <w:szCs w:val="44"/>
        </w:rPr>
      </w:pPr>
      <w:r w:rsidRPr="00AB5E7D">
        <w:rPr>
          <w:rFonts w:ascii="方正小标宋_GBK" w:eastAsia="方正小标宋_GBK" w:hint="eastAsia"/>
          <w:bCs/>
          <w:kern w:val="0"/>
          <w:sz w:val="44"/>
          <w:szCs w:val="44"/>
        </w:rPr>
        <w:t>重庆市九龙坡区科学技术</w:t>
      </w:r>
      <w:r>
        <w:rPr>
          <w:rFonts w:ascii="方正小标宋_GBK" w:eastAsia="方正小标宋_GBK" w:hint="eastAsia"/>
          <w:bCs/>
          <w:kern w:val="0"/>
          <w:sz w:val="44"/>
          <w:szCs w:val="44"/>
        </w:rPr>
        <w:t>局</w:t>
      </w:r>
    </w:p>
    <w:p w:rsidR="00A72ACD" w:rsidRDefault="000973AB" w:rsidP="00A72ACD">
      <w:pPr>
        <w:widowControl/>
        <w:shd w:val="clear" w:color="auto" w:fill="FFFFFF"/>
        <w:autoSpaceDN w:val="0"/>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关于发布2023</w:t>
      </w:r>
      <w:r w:rsidR="00A72ACD">
        <w:rPr>
          <w:rFonts w:ascii="方正小标宋_GBK" w:eastAsia="方正小标宋_GBK" w:hAnsi="Times New Roman" w:cs="Times New Roman" w:hint="eastAsia"/>
          <w:sz w:val="44"/>
          <w:szCs w:val="44"/>
        </w:rPr>
        <w:t>年度九龙坡区</w:t>
      </w:r>
      <w:r>
        <w:rPr>
          <w:rFonts w:ascii="方正小标宋_GBK" w:eastAsia="方正小标宋_GBK" w:hAnsi="Times New Roman" w:cs="Times New Roman" w:hint="eastAsia"/>
          <w:sz w:val="44"/>
          <w:szCs w:val="44"/>
        </w:rPr>
        <w:t>首批“揭榜挂帅”</w:t>
      </w:r>
    </w:p>
    <w:p w:rsidR="005D6D18" w:rsidRDefault="000973AB" w:rsidP="00A72ACD">
      <w:pPr>
        <w:widowControl/>
        <w:shd w:val="clear" w:color="auto" w:fill="FFFFFF"/>
        <w:autoSpaceDN w:val="0"/>
        <w:spacing w:line="600" w:lineRule="exact"/>
        <w:jc w:val="center"/>
      </w:pPr>
      <w:r>
        <w:rPr>
          <w:rFonts w:ascii="方正小标宋_GBK" w:eastAsia="方正小标宋_GBK" w:hAnsi="Times New Roman" w:cs="Times New Roman" w:hint="eastAsia"/>
          <w:sz w:val="44"/>
          <w:szCs w:val="44"/>
        </w:rPr>
        <w:t>技术需求榜单的通知</w:t>
      </w:r>
    </w:p>
    <w:p w:rsidR="005D6D18" w:rsidRDefault="005D6D18" w:rsidP="00C13F22">
      <w:pPr>
        <w:spacing w:line="600" w:lineRule="exact"/>
        <w:ind w:firstLineChars="200" w:firstLine="600"/>
        <w:rPr>
          <w:rFonts w:ascii="方正仿宋_GBK" w:eastAsia="方正仿宋_GBK" w:hAnsi="Times New Roman" w:cs="方正仿宋_GBK"/>
          <w:spacing w:val="-10"/>
          <w:sz w:val="32"/>
          <w:szCs w:val="32"/>
        </w:rPr>
      </w:pPr>
    </w:p>
    <w:p w:rsidR="005D6D18" w:rsidRDefault="000973AB" w:rsidP="00C13F22">
      <w:pPr>
        <w:spacing w:line="600" w:lineRule="exact"/>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各有关单位：</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为贯彻落实习近平总书记关于科技创新的重要论述和市委六届二次全会精神，锚定我区建设成渝“双城”“双核”重要的科技创新新高地战略目标，进一步深化科技体制改革，探索重大科研项目“揭榜挂帅”攻关机制，以集聚国内创新资源，攻关制约我区产业发展的技术难题，推动我区高质量发展。现就有关事项通知如下：</w:t>
      </w:r>
    </w:p>
    <w:p w:rsidR="005D6D18" w:rsidRDefault="000973AB" w:rsidP="00C13F22">
      <w:pPr>
        <w:adjustRightInd w:val="0"/>
        <w:snapToGrid w:val="0"/>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一、榜单情况</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lastRenderedPageBreak/>
        <w:t>在前期公开征集技术攻关和成果转化需求基础上，本着聚焦企业创新和重点产业发展需要，区科技局遴选了首批</w:t>
      </w:r>
      <w:bookmarkStart w:id="0" w:name="OLE_LINK1"/>
      <w:r>
        <w:rPr>
          <w:rFonts w:ascii="方正仿宋_GBK" w:eastAsia="方正仿宋_GBK" w:hAnsi="Times New Roman" w:cs="方正仿宋_GBK" w:hint="eastAsia"/>
          <w:spacing w:val="-10"/>
          <w:sz w:val="32"/>
          <w:szCs w:val="32"/>
        </w:rPr>
        <w:t>“揭榜挂帅”科技项目</w:t>
      </w:r>
      <w:bookmarkEnd w:id="0"/>
      <w:r>
        <w:rPr>
          <w:rFonts w:ascii="方正仿宋_GBK" w:eastAsia="方正仿宋_GBK" w:hAnsi="Times New Roman" w:cs="方正仿宋_GBK" w:hint="eastAsia"/>
          <w:spacing w:val="-10"/>
          <w:sz w:val="32"/>
          <w:szCs w:val="32"/>
        </w:rPr>
        <w:t>技术需求，形成了</w:t>
      </w:r>
      <w:r w:rsidRPr="00C13F22">
        <w:rPr>
          <w:rFonts w:ascii="Times New Roman" w:eastAsia="方正仿宋_GBK" w:hAnsi="Times New Roman" w:cs="Times New Roman"/>
          <w:spacing w:val="-10"/>
          <w:sz w:val="32"/>
          <w:szCs w:val="32"/>
        </w:rPr>
        <w:t>20</w:t>
      </w:r>
      <w:r>
        <w:rPr>
          <w:rFonts w:ascii="方正仿宋_GBK" w:eastAsia="方正仿宋_GBK" w:hAnsi="Times New Roman" w:cs="方正仿宋_GBK" w:hint="eastAsia"/>
          <w:spacing w:val="-10"/>
          <w:sz w:val="32"/>
          <w:szCs w:val="32"/>
        </w:rPr>
        <w:t>项榜单（其中技术攻关类榜单</w:t>
      </w:r>
      <w:r w:rsidRPr="00C13F22">
        <w:rPr>
          <w:rFonts w:ascii="Times New Roman" w:eastAsia="方正仿宋_GBK" w:hAnsi="Times New Roman" w:cs="Times New Roman" w:hint="eastAsia"/>
          <w:spacing w:val="-10"/>
          <w:sz w:val="32"/>
          <w:szCs w:val="32"/>
        </w:rPr>
        <w:t>14</w:t>
      </w:r>
      <w:r>
        <w:rPr>
          <w:rFonts w:ascii="方正仿宋_GBK" w:eastAsia="方正仿宋_GBK" w:hAnsi="Times New Roman" w:cs="方正仿宋_GBK" w:hint="eastAsia"/>
          <w:spacing w:val="-10"/>
          <w:sz w:val="32"/>
          <w:szCs w:val="32"/>
        </w:rPr>
        <w:t>项、成果转化类榜单</w:t>
      </w:r>
      <w:r w:rsidRPr="00C13F22">
        <w:rPr>
          <w:rFonts w:ascii="Times New Roman" w:eastAsia="方正仿宋_GBK" w:hAnsi="Times New Roman" w:cs="Times New Roman" w:hint="eastAsia"/>
          <w:spacing w:val="-10"/>
          <w:sz w:val="32"/>
          <w:szCs w:val="32"/>
        </w:rPr>
        <w:t>6</w:t>
      </w:r>
      <w:r>
        <w:rPr>
          <w:rFonts w:ascii="方正仿宋_GBK" w:eastAsia="方正仿宋_GBK" w:hAnsi="Times New Roman" w:cs="方正仿宋_GBK" w:hint="eastAsia"/>
          <w:spacing w:val="-10"/>
          <w:sz w:val="32"/>
          <w:szCs w:val="32"/>
        </w:rPr>
        <w:t>项），涉及新能源、先进材料、人工智能、高端装备、智能网联汽车、医药</w:t>
      </w:r>
      <w:r>
        <w:rPr>
          <w:rFonts w:ascii="Times New Roman" w:eastAsia="方正仿宋_GBK" w:hAnsi="Times New Roman" w:hint="eastAsia"/>
          <w:color w:val="000000" w:themeColor="text1"/>
          <w:sz w:val="32"/>
          <w:szCs w:val="32"/>
        </w:rPr>
        <w:t>健康</w:t>
      </w:r>
      <w:r>
        <w:rPr>
          <w:rFonts w:ascii="方正仿宋_GBK" w:eastAsia="方正仿宋_GBK" w:hAnsi="Times New Roman" w:cs="方正仿宋_GBK" w:hint="eastAsia"/>
          <w:spacing w:val="-10"/>
          <w:sz w:val="32"/>
          <w:szCs w:val="32"/>
        </w:rPr>
        <w:t>、</w:t>
      </w:r>
      <w:r>
        <w:rPr>
          <w:rFonts w:ascii="Times New Roman" w:eastAsia="方正仿宋_GBK" w:hAnsi="Times New Roman" w:hint="eastAsia"/>
          <w:color w:val="000000" w:themeColor="text1"/>
          <w:sz w:val="32"/>
          <w:szCs w:val="32"/>
        </w:rPr>
        <w:t>食品安全</w:t>
      </w:r>
      <w:r>
        <w:rPr>
          <w:rFonts w:ascii="方正仿宋_GBK" w:eastAsia="方正仿宋_GBK" w:hAnsi="Times New Roman" w:cs="方正仿宋_GBK" w:hint="eastAsia"/>
          <w:spacing w:val="-10"/>
          <w:sz w:val="32"/>
          <w:szCs w:val="32"/>
        </w:rPr>
        <w:t>等产业领域（具体榜单附后）。</w:t>
      </w:r>
    </w:p>
    <w:p w:rsidR="005D6D18" w:rsidRDefault="000973AB" w:rsidP="00C13F22">
      <w:pPr>
        <w:adjustRightInd w:val="0"/>
        <w:snapToGrid w:val="0"/>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二、揭榜要求</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（一）技术攻关类项目的揭榜方，为国内外高校、科研机构或企业等。成果转化类项目的揭榜方，为九龙坡区内有技术需求和应用需求的企业。揭榜方与需求方、转化方不能为同一单位或与其具有股权关联关系。</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二）有意向的揭榜方应结合发榜项目具体需求及自身能力，主动与需求单位联系沟通，商谈合作内容。若达成合作共识，细化落实合作具体内容，明确项目标的额，拟定揭榜协议，共同商定项目实施方案后报区科技局。</w:t>
      </w:r>
    </w:p>
    <w:p w:rsidR="005D6D18" w:rsidRDefault="000973AB" w:rsidP="00C13F22">
      <w:pPr>
        <w:adjustRightInd w:val="0"/>
        <w:snapToGrid w:val="0"/>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三、支持政策</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揭榜挂帅”的财政资金补助主要对象为我区相关企业，即技术攻关类项目的补助对象为技术需求方，成果转化类项目补助对象为成果转化揭榜方。区科技局结合财政预算安排，统筹政策导向、项目类型、项目标的额、项目预期目标等综合因素，确定财政资金补助额度。技术攻关类项目的需求方或成果转化类项目的揭榜方与区科技局签订任务书，揭榜项目纳入区级科技计划管理，并择优向市科技计划项目推荐。</w:t>
      </w:r>
    </w:p>
    <w:p w:rsidR="005D6D18" w:rsidRDefault="000973AB" w:rsidP="00C13F22">
      <w:pPr>
        <w:adjustRightInd w:val="0"/>
        <w:snapToGrid w:val="0"/>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四、其他事项</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（一）揭榜时间为</w:t>
      </w:r>
      <w:r w:rsidR="00B95892">
        <w:rPr>
          <w:rFonts w:ascii="Times New Roman" w:eastAsia="方正仿宋_GBK" w:hAnsi="Times New Roman" w:cs="Times New Roman"/>
          <w:spacing w:val="-10"/>
          <w:sz w:val="32"/>
          <w:szCs w:val="32"/>
        </w:rPr>
        <w:t>202</w:t>
      </w:r>
      <w:r w:rsidR="00B95892">
        <w:rPr>
          <w:rFonts w:ascii="Times New Roman" w:eastAsia="方正仿宋_GBK" w:hAnsi="Times New Roman" w:cs="Times New Roman" w:hint="eastAsia"/>
          <w:spacing w:val="-10"/>
          <w:sz w:val="32"/>
          <w:szCs w:val="32"/>
        </w:rPr>
        <w:t>3</w:t>
      </w:r>
      <w:r>
        <w:rPr>
          <w:rFonts w:ascii="方正仿宋_GBK" w:eastAsia="方正仿宋_GBK" w:hAnsi="Times New Roman" w:cs="方正仿宋_GBK" w:hint="eastAsia"/>
          <w:spacing w:val="-10"/>
          <w:sz w:val="32"/>
          <w:szCs w:val="32"/>
        </w:rPr>
        <w:t>年</w:t>
      </w:r>
      <w:r w:rsidRPr="00D17DB9">
        <w:rPr>
          <w:rFonts w:ascii="Times New Roman" w:eastAsia="方正仿宋_GBK" w:hAnsi="Times New Roman" w:cs="Times New Roman" w:hint="eastAsia"/>
          <w:spacing w:val="-10"/>
          <w:sz w:val="32"/>
          <w:szCs w:val="32"/>
        </w:rPr>
        <w:t>4</w:t>
      </w:r>
      <w:r>
        <w:rPr>
          <w:rFonts w:ascii="方正仿宋_GBK" w:eastAsia="方正仿宋_GBK" w:hAnsi="Times New Roman" w:cs="方正仿宋_GBK" w:hint="eastAsia"/>
          <w:spacing w:val="-10"/>
          <w:sz w:val="32"/>
          <w:szCs w:val="32"/>
        </w:rPr>
        <w:t>月</w:t>
      </w:r>
      <w:r w:rsidRPr="00D17DB9">
        <w:rPr>
          <w:rFonts w:ascii="Times New Roman" w:eastAsia="方正仿宋_GBK" w:hAnsi="Times New Roman" w:cs="Times New Roman" w:hint="eastAsia"/>
          <w:spacing w:val="-10"/>
          <w:sz w:val="32"/>
          <w:szCs w:val="32"/>
        </w:rPr>
        <w:t>30</w:t>
      </w:r>
      <w:r>
        <w:rPr>
          <w:rFonts w:ascii="方正仿宋_GBK" w:eastAsia="方正仿宋_GBK" w:hAnsi="Times New Roman" w:cs="方正仿宋_GBK" w:hint="eastAsia"/>
          <w:spacing w:val="-10"/>
          <w:sz w:val="32"/>
          <w:szCs w:val="32"/>
        </w:rPr>
        <w:t>日前。若在规定时限内未有单位揭榜的，纳入到之后批次组织。</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（二）“揭榜挂帅”项目不受区科技计划项目限项要求。对揭榜方的项目申报单位无注册成立时间要求，对项目负责人无年龄、学历和职称要求。揭榜单位可自主组建项目实施团队，自主决定技术路线。</w:t>
      </w:r>
    </w:p>
    <w:p w:rsidR="005D6D18" w:rsidRDefault="000973AB" w:rsidP="00C13F22">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（三）区科技局将为揭榜方与需求方在对接洽谈、信息交流、政策咨询等方面提供全流程服务。</w:t>
      </w:r>
    </w:p>
    <w:p w:rsidR="005D6D18" w:rsidRDefault="005D6D18" w:rsidP="00C13F22">
      <w:pPr>
        <w:pStyle w:val="a0"/>
        <w:spacing w:after="0" w:line="600" w:lineRule="exact"/>
        <w:rPr>
          <w:rFonts w:ascii="方正仿宋_GBK" w:eastAsia="方正仿宋_GBK" w:hAnsi="Times New Roman" w:cs="方正仿宋_GBK"/>
          <w:spacing w:val="-10"/>
          <w:sz w:val="32"/>
          <w:szCs w:val="32"/>
        </w:rPr>
      </w:pPr>
    </w:p>
    <w:p w:rsidR="005D6D18" w:rsidRDefault="000973AB" w:rsidP="00C13F22">
      <w:pPr>
        <w:pStyle w:val="a4"/>
        <w:spacing w:line="600" w:lineRule="exact"/>
        <w:rPr>
          <w:rFonts w:eastAsia="方正仿宋_GBK"/>
        </w:rPr>
      </w:pPr>
      <w:r>
        <w:rPr>
          <w:rFonts w:ascii="方正仿宋_GBK" w:eastAsia="方正仿宋_GBK" w:hAnsi="Times New Roman" w:cs="方正仿宋_GBK" w:hint="eastAsia"/>
          <w:spacing w:val="-10"/>
          <w:sz w:val="32"/>
        </w:rPr>
        <w:t>附件：</w:t>
      </w:r>
      <w:r w:rsidRPr="00D17DB9">
        <w:rPr>
          <w:rFonts w:ascii="Times New Roman" w:eastAsia="方正仿宋_GBK" w:hAnsi="Times New Roman" w:cs="Times New Roman" w:hint="eastAsia"/>
          <w:color w:val="auto"/>
          <w:spacing w:val="-10"/>
          <w:kern w:val="2"/>
          <w:sz w:val="32"/>
        </w:rPr>
        <w:t>2023</w:t>
      </w:r>
      <w:r>
        <w:rPr>
          <w:rFonts w:ascii="方正仿宋_GBK" w:eastAsia="方正仿宋_GBK" w:hAnsi="Times New Roman" w:cs="方正仿宋_GBK" w:hint="eastAsia"/>
          <w:spacing w:val="-10"/>
          <w:sz w:val="32"/>
        </w:rPr>
        <w:t>年度九龙坡区首批“揭榜挂帅”技术需求榜单</w:t>
      </w:r>
    </w:p>
    <w:p w:rsidR="005D6D18" w:rsidRDefault="005D6D18" w:rsidP="00C13F22">
      <w:pPr>
        <w:spacing w:line="600" w:lineRule="exact"/>
        <w:ind w:firstLineChars="200" w:firstLine="600"/>
        <w:rPr>
          <w:rFonts w:ascii="方正仿宋_GBK" w:eastAsia="方正仿宋_GBK" w:hAnsi="Times New Roman" w:cs="方正仿宋_GBK"/>
          <w:spacing w:val="-10"/>
          <w:sz w:val="32"/>
          <w:szCs w:val="32"/>
        </w:rPr>
      </w:pPr>
    </w:p>
    <w:p w:rsidR="005D6D18" w:rsidRDefault="005D6D18" w:rsidP="00C13F22">
      <w:pPr>
        <w:spacing w:line="600" w:lineRule="exact"/>
        <w:ind w:firstLineChars="200" w:firstLine="600"/>
        <w:rPr>
          <w:rFonts w:ascii="方正仿宋_GBK" w:eastAsia="方正仿宋_GBK" w:hAnsi="Times New Roman" w:cs="方正仿宋_GBK"/>
          <w:spacing w:val="-10"/>
          <w:sz w:val="32"/>
          <w:szCs w:val="32"/>
        </w:rPr>
      </w:pPr>
    </w:p>
    <w:p w:rsidR="005D6D18" w:rsidRDefault="000973AB" w:rsidP="00C13F22">
      <w:pPr>
        <w:spacing w:line="600" w:lineRule="exact"/>
        <w:ind w:firstLineChars="200" w:firstLine="600"/>
        <w:jc w:val="right"/>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重庆市九龙坡区科学技术局</w:t>
      </w:r>
    </w:p>
    <w:p w:rsidR="005D6D18" w:rsidRDefault="000973AB" w:rsidP="00C13F22">
      <w:pPr>
        <w:spacing w:line="600" w:lineRule="exact"/>
        <w:ind w:firstLineChars="200" w:firstLine="600"/>
        <w:jc w:val="center"/>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 xml:space="preserve">                                </w:t>
      </w:r>
      <w:r w:rsidRPr="00D17DB9">
        <w:rPr>
          <w:rFonts w:ascii="Times New Roman" w:eastAsia="方正仿宋_GBK" w:hAnsi="Times New Roman" w:cs="Times New Roman" w:hint="eastAsia"/>
          <w:spacing w:val="-10"/>
          <w:sz w:val="32"/>
          <w:szCs w:val="32"/>
        </w:rPr>
        <w:t xml:space="preserve"> 2023</w:t>
      </w:r>
      <w:r>
        <w:rPr>
          <w:rFonts w:ascii="方正仿宋_GBK" w:eastAsia="方正仿宋_GBK" w:hAnsi="Times New Roman" w:cs="方正仿宋_GBK" w:hint="eastAsia"/>
          <w:spacing w:val="-10"/>
          <w:sz w:val="32"/>
          <w:szCs w:val="32"/>
        </w:rPr>
        <w:t>年</w:t>
      </w:r>
      <w:r w:rsidRPr="00D17DB9">
        <w:rPr>
          <w:rFonts w:ascii="Times New Roman" w:eastAsia="方正仿宋_GBK" w:hAnsi="Times New Roman" w:cs="Times New Roman" w:hint="eastAsia"/>
          <w:spacing w:val="-10"/>
          <w:sz w:val="32"/>
          <w:szCs w:val="32"/>
        </w:rPr>
        <w:t>2</w:t>
      </w:r>
      <w:r>
        <w:rPr>
          <w:rFonts w:ascii="方正仿宋_GBK" w:eastAsia="方正仿宋_GBK" w:hAnsi="Times New Roman" w:cs="方正仿宋_GBK" w:hint="eastAsia"/>
          <w:spacing w:val="-10"/>
          <w:sz w:val="32"/>
          <w:szCs w:val="32"/>
        </w:rPr>
        <w:t>月</w:t>
      </w:r>
      <w:r w:rsidR="00F03168">
        <w:rPr>
          <w:rFonts w:ascii="方正仿宋_GBK" w:eastAsia="方正仿宋_GBK" w:hAnsi="Times New Roman" w:cs="方正仿宋_GBK" w:hint="eastAsia"/>
          <w:spacing w:val="-10"/>
          <w:sz w:val="32"/>
          <w:szCs w:val="32"/>
        </w:rPr>
        <w:t>27</w:t>
      </w:r>
      <w:r>
        <w:rPr>
          <w:rFonts w:ascii="方正仿宋_GBK" w:eastAsia="方正仿宋_GBK" w:hAnsi="Times New Roman" w:cs="方正仿宋_GBK" w:hint="eastAsia"/>
          <w:spacing w:val="-10"/>
          <w:sz w:val="32"/>
          <w:szCs w:val="32"/>
        </w:rPr>
        <w:t xml:space="preserve">日 </w:t>
      </w:r>
    </w:p>
    <w:p w:rsidR="005D6D18" w:rsidRDefault="005D6D18">
      <w:pPr>
        <w:pStyle w:val="a0"/>
        <w:rPr>
          <w:rFonts w:ascii="方正仿宋_GBK" w:eastAsia="方正仿宋_GBK" w:hAnsi="Times New Roman" w:cs="方正仿宋_GBK"/>
          <w:spacing w:val="-10"/>
          <w:sz w:val="32"/>
          <w:szCs w:val="32"/>
        </w:rPr>
      </w:pPr>
    </w:p>
    <w:p w:rsidR="005D6D18" w:rsidRDefault="005D6D18">
      <w:pPr>
        <w:pStyle w:val="a4"/>
        <w:rPr>
          <w:rFonts w:ascii="方正仿宋_GBK" w:eastAsia="方正仿宋_GBK" w:hAnsi="Times New Roman" w:cs="方正仿宋_GBK"/>
          <w:spacing w:val="-10"/>
          <w:sz w:val="32"/>
        </w:rPr>
      </w:pPr>
    </w:p>
    <w:p w:rsidR="005D6D18" w:rsidRDefault="005D6D18">
      <w:pPr>
        <w:pStyle w:val="a4"/>
        <w:ind w:firstLine="0"/>
        <w:rPr>
          <w:rFonts w:ascii="方正黑体_GBK" w:eastAsia="方正黑体_GBK" w:hAnsi="方正黑体_GBK" w:cs="方正黑体_GBK"/>
          <w:spacing w:val="-10"/>
          <w:sz w:val="32"/>
        </w:rPr>
      </w:pPr>
    </w:p>
    <w:p w:rsidR="005D6D18" w:rsidRDefault="005D6D18">
      <w:pPr>
        <w:pStyle w:val="a4"/>
        <w:ind w:firstLine="0"/>
        <w:rPr>
          <w:rFonts w:ascii="方正黑体_GBK" w:eastAsia="方正黑体_GBK" w:hAnsi="方正黑体_GBK" w:cs="方正黑体_GBK"/>
          <w:spacing w:val="-10"/>
          <w:sz w:val="32"/>
        </w:rPr>
      </w:pPr>
    </w:p>
    <w:p w:rsidR="005D6D18" w:rsidRDefault="000973AB">
      <w:pPr>
        <w:pStyle w:val="a4"/>
        <w:ind w:firstLine="0"/>
        <w:rPr>
          <w:rFonts w:ascii="方正黑体_GBK" w:eastAsia="方正黑体_GBK" w:hAnsi="方正黑体_GBK" w:cs="方正黑体_GBK"/>
          <w:spacing w:val="-10"/>
          <w:sz w:val="32"/>
        </w:rPr>
      </w:pPr>
      <w:r>
        <w:rPr>
          <w:rFonts w:ascii="方正黑体_GBK" w:eastAsia="方正黑体_GBK" w:hAnsi="方正黑体_GBK" w:cs="方正黑体_GBK" w:hint="eastAsia"/>
          <w:spacing w:val="-10"/>
          <w:sz w:val="32"/>
        </w:rPr>
        <w:t>附件</w:t>
      </w:r>
    </w:p>
    <w:p w:rsidR="005D6D18" w:rsidRDefault="005D6D18">
      <w:pPr>
        <w:pStyle w:val="a4"/>
        <w:spacing w:line="200" w:lineRule="exact"/>
        <w:ind w:firstLine="0"/>
        <w:rPr>
          <w:rFonts w:ascii="方正黑体_GBK" w:eastAsia="方正黑体_GBK" w:hAnsi="方正黑体_GBK" w:cs="方正黑体_GBK"/>
          <w:spacing w:val="-10"/>
          <w:sz w:val="32"/>
        </w:rPr>
      </w:pPr>
    </w:p>
    <w:p w:rsidR="001F2A05" w:rsidRDefault="000973AB" w:rsidP="001F2A05">
      <w:pPr>
        <w:pStyle w:val="a4"/>
        <w:spacing w:line="600" w:lineRule="exact"/>
        <w:ind w:firstLine="0"/>
        <w:jc w:val="center"/>
        <w:rPr>
          <w:rFonts w:ascii="方正小标宋_GBK" w:eastAsia="方正小标宋_GBK" w:hAnsi="方正小标宋_GBK" w:cs="方正小标宋_GBK"/>
          <w:spacing w:val="-10"/>
          <w:sz w:val="44"/>
          <w:szCs w:val="44"/>
        </w:rPr>
      </w:pPr>
      <w:r>
        <w:rPr>
          <w:rFonts w:ascii="方正小标宋_GBK" w:eastAsia="方正小标宋_GBK" w:hAnsi="方正小标宋_GBK" w:cs="方正小标宋_GBK" w:hint="eastAsia"/>
          <w:spacing w:val="-10"/>
          <w:sz w:val="44"/>
          <w:szCs w:val="44"/>
        </w:rPr>
        <w:t>2023年度九龙坡区首批“揭榜挂帅”技术</w:t>
      </w:r>
    </w:p>
    <w:p w:rsidR="005D6D18" w:rsidRDefault="000973AB" w:rsidP="001F2A05">
      <w:pPr>
        <w:pStyle w:val="a4"/>
        <w:spacing w:line="600" w:lineRule="exact"/>
        <w:ind w:firstLine="0"/>
        <w:jc w:val="center"/>
        <w:rPr>
          <w:rFonts w:ascii="方正小标宋_GBK" w:eastAsia="方正小标宋_GBK" w:hAnsi="方正小标宋_GBK" w:cs="方正小标宋_GBK"/>
          <w:spacing w:val="-10"/>
          <w:sz w:val="44"/>
          <w:szCs w:val="44"/>
        </w:rPr>
      </w:pPr>
      <w:r>
        <w:rPr>
          <w:rFonts w:ascii="方正小标宋_GBK" w:eastAsia="方正小标宋_GBK" w:hAnsi="方正小标宋_GBK" w:cs="方正小标宋_GBK" w:hint="eastAsia"/>
          <w:spacing w:val="-10"/>
          <w:sz w:val="44"/>
          <w:szCs w:val="44"/>
        </w:rPr>
        <w:t>需求榜单</w:t>
      </w:r>
    </w:p>
    <w:p w:rsidR="005D6D18" w:rsidRDefault="005D6D18" w:rsidP="001F2A05">
      <w:pPr>
        <w:pStyle w:val="a4"/>
        <w:spacing w:line="600" w:lineRule="exact"/>
        <w:ind w:firstLine="0"/>
        <w:rPr>
          <w:rFonts w:ascii="方正小标宋_GBK" w:eastAsia="方正小标宋_GBK" w:hAnsi="方正小标宋_GBK" w:cs="方正小标宋_GBK"/>
          <w:spacing w:val="-10"/>
          <w:sz w:val="44"/>
          <w:szCs w:val="44"/>
        </w:rPr>
      </w:pPr>
    </w:p>
    <w:p w:rsidR="005D6D18" w:rsidRDefault="000973AB" w:rsidP="001F2A05">
      <w:pPr>
        <w:adjustRightInd w:val="0"/>
        <w:snapToGrid w:val="0"/>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一、技术攻关类</w:t>
      </w:r>
    </w:p>
    <w:p w:rsidR="005D6D18" w:rsidRPr="001F2A05" w:rsidRDefault="000973AB" w:rsidP="001F2A05">
      <w:pPr>
        <w:spacing w:line="600" w:lineRule="exact"/>
        <w:ind w:firstLineChars="200" w:firstLine="600"/>
        <w:rPr>
          <w:rFonts w:ascii="方正楷体_GBK" w:eastAsia="方正楷体_GBK" w:hAnsi="Times New Roman" w:cs="方正仿宋_GBK"/>
          <w:spacing w:val="-10"/>
          <w:sz w:val="32"/>
          <w:szCs w:val="32"/>
        </w:rPr>
      </w:pPr>
      <w:r>
        <w:rPr>
          <w:rFonts w:ascii="方正仿宋_GBK" w:eastAsia="方正仿宋_GBK" w:hAnsi="Times New Roman" w:cs="方正仿宋_GBK" w:hint="eastAsia"/>
          <w:spacing w:val="-10"/>
          <w:sz w:val="32"/>
          <w:szCs w:val="32"/>
        </w:rPr>
        <w:t>1.LNG运输船用大规模高均匀性超低温耐蚀可焊铝合金厚板开发及产业化。</w:t>
      </w:r>
      <w:r w:rsidRPr="001F2A05">
        <w:rPr>
          <w:rFonts w:ascii="方正楷体_GBK" w:eastAsia="方正楷体_GBK" w:hAnsi="方正楷体_GBK" w:cs="方正楷体_GBK" w:hint="eastAsia"/>
          <w:spacing w:val="-10"/>
          <w:sz w:val="32"/>
          <w:szCs w:val="32"/>
        </w:rPr>
        <w:t>发榜单位：西南铝业（集团）有限责任公司</w:t>
      </w:r>
      <w:r w:rsidRPr="001F2A05">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2.</w:t>
      </w:r>
      <w:r>
        <w:rPr>
          <w:rFonts w:ascii="方正仿宋_GBK" w:eastAsia="方正仿宋_GBK" w:hAnsi="Times New Roman" w:cs="方正仿宋_GBK" w:hint="eastAsia"/>
          <w:spacing w:val="-10"/>
          <w:sz w:val="32"/>
          <w:szCs w:val="32"/>
        </w:rPr>
        <w:tab/>
        <w:t>新能源汽车用大规模集成式一体化电池托盘铝合金制备关键技术。</w:t>
      </w:r>
      <w:r>
        <w:rPr>
          <w:rFonts w:ascii="方正楷体_GBK" w:eastAsia="方正楷体_GBK" w:hAnsi="方正楷体_GBK" w:cs="方正楷体_GBK" w:hint="eastAsia"/>
          <w:spacing w:val="-10"/>
          <w:sz w:val="32"/>
          <w:szCs w:val="32"/>
        </w:rPr>
        <w:t>发榜单位：中铝特种铝材（重庆）有限公司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3</w:t>
      </w:r>
      <w:r>
        <w:rPr>
          <w:rFonts w:ascii="方正仿宋_GBK" w:eastAsia="方正仿宋_GBK" w:hAnsi="Times New Roman" w:cs="方正仿宋_GBK" w:hint="eastAsia"/>
          <w:spacing w:val="-10"/>
          <w:sz w:val="32"/>
          <w:szCs w:val="32"/>
        </w:rPr>
        <w:tab/>
        <w:t>.兆瓦级氢燃料电池发电储能项目。</w:t>
      </w:r>
      <w:r>
        <w:rPr>
          <w:rFonts w:ascii="方正楷体_GBK" w:eastAsia="方正楷体_GBK" w:hAnsi="方正楷体_GBK" w:cs="方正楷体_GBK" w:hint="eastAsia"/>
          <w:spacing w:val="-10"/>
          <w:sz w:val="32"/>
          <w:szCs w:val="32"/>
        </w:rPr>
        <w:t>发榜单位：重庆国鸿氢能科技有限公司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4</w:t>
      </w:r>
      <w:r>
        <w:rPr>
          <w:rFonts w:ascii="方正仿宋_GBK" w:eastAsia="方正仿宋_GBK" w:hAnsi="Times New Roman" w:cs="方正仿宋_GBK" w:hint="eastAsia"/>
          <w:spacing w:val="-10"/>
          <w:sz w:val="32"/>
          <w:szCs w:val="32"/>
        </w:rPr>
        <w:tab/>
        <w:t>.新一代海洋工程用稀土铝合金板材制备技术开发与应用。</w:t>
      </w:r>
      <w:r>
        <w:rPr>
          <w:rFonts w:ascii="方正楷体_GBK" w:eastAsia="方正楷体_GBK" w:hAnsi="方正楷体_GBK" w:cs="方正楷体_GBK" w:hint="eastAsia"/>
          <w:spacing w:val="-10"/>
          <w:sz w:val="32"/>
          <w:szCs w:val="32"/>
        </w:rPr>
        <w:t>发榜单位：重庆国创轻合金研究院有限公司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5</w:t>
      </w:r>
      <w:r>
        <w:rPr>
          <w:rFonts w:ascii="方正仿宋_GBK" w:eastAsia="方正仿宋_GBK" w:hAnsi="Times New Roman" w:cs="方正仿宋_GBK" w:hint="eastAsia"/>
          <w:spacing w:val="-10"/>
          <w:sz w:val="32"/>
          <w:szCs w:val="32"/>
        </w:rPr>
        <w:tab/>
        <w:t>.新能源商用车高效能模块化通用化底盘正向设计研发及应用。</w:t>
      </w:r>
      <w:r>
        <w:rPr>
          <w:rFonts w:ascii="方正楷体_GBK" w:eastAsia="方正楷体_GBK" w:hAnsi="方正楷体_GBK" w:cs="方正楷体_GBK" w:hint="eastAsia"/>
          <w:spacing w:val="-10"/>
          <w:sz w:val="32"/>
          <w:szCs w:val="32"/>
        </w:rPr>
        <w:t>发榜单位：庆铃汽车股份有限公司</w:t>
      </w:r>
      <w:r>
        <w:rPr>
          <w:rFonts w:ascii="方正仿宋_GBK" w:eastAsia="方正仿宋_GBK" w:hAnsi="Times New Roman" w:cs="方正仿宋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6.</w:t>
      </w:r>
      <w:r>
        <w:rPr>
          <w:rFonts w:ascii="方正仿宋_GBK" w:eastAsia="方正仿宋_GBK" w:hAnsi="Times New Roman" w:cs="方正仿宋_GBK" w:hint="eastAsia"/>
          <w:spacing w:val="-10"/>
          <w:sz w:val="32"/>
          <w:szCs w:val="32"/>
        </w:rPr>
        <w:tab/>
        <w:t>地质安全与矿界一体化监测监管技术装备研究。</w:t>
      </w:r>
      <w:r>
        <w:rPr>
          <w:rFonts w:ascii="方正楷体_GBK" w:eastAsia="方正楷体_GBK" w:hAnsi="方正楷体_GBK" w:cs="方正楷体_GBK" w:hint="eastAsia"/>
          <w:spacing w:val="-10"/>
          <w:sz w:val="32"/>
          <w:szCs w:val="32"/>
        </w:rPr>
        <w:t>发榜单位：中煤科工集团重庆研究院有限公司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7</w:t>
      </w:r>
      <w:r>
        <w:rPr>
          <w:rFonts w:ascii="方正仿宋_GBK" w:eastAsia="方正仿宋_GBK" w:hAnsi="Times New Roman" w:cs="方正仿宋_GBK" w:hint="eastAsia"/>
          <w:spacing w:val="-10"/>
          <w:sz w:val="32"/>
          <w:szCs w:val="32"/>
        </w:rPr>
        <w:tab/>
        <w:t>.超细玄武岩纤维增强气凝胶复合材料技术。</w:t>
      </w:r>
      <w:r>
        <w:rPr>
          <w:rFonts w:ascii="方正楷体_GBK" w:eastAsia="方正楷体_GBK" w:hAnsi="方正楷体_GBK" w:cs="方正楷体_GBK" w:hint="eastAsia"/>
          <w:spacing w:val="-10"/>
          <w:sz w:val="32"/>
          <w:szCs w:val="32"/>
        </w:rPr>
        <w:t>发榜单位：中国兵器装备集团第五九研究所有限公司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8</w:t>
      </w:r>
      <w:r>
        <w:rPr>
          <w:rFonts w:ascii="方正仿宋_GBK" w:eastAsia="方正仿宋_GBK" w:hAnsi="Times New Roman" w:cs="方正仿宋_GBK" w:hint="eastAsia"/>
          <w:spacing w:val="-10"/>
          <w:sz w:val="32"/>
          <w:szCs w:val="32"/>
        </w:rPr>
        <w:tab/>
        <w:t>.车联网企业侧安全管理平台通用技术要求。</w:t>
      </w:r>
      <w:r>
        <w:rPr>
          <w:rFonts w:ascii="方正楷体_GBK" w:eastAsia="方正楷体_GBK" w:hAnsi="方正楷体_GBK" w:cs="方正楷体_GBK" w:hint="eastAsia"/>
          <w:spacing w:val="-10"/>
          <w:sz w:val="32"/>
          <w:szCs w:val="32"/>
        </w:rPr>
        <w:t>发榜单位：重庆市信息通信咨询设计院有限公司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9</w:t>
      </w:r>
      <w:r>
        <w:rPr>
          <w:rFonts w:ascii="方正仿宋_GBK" w:eastAsia="方正仿宋_GBK" w:hAnsi="Times New Roman" w:cs="方正仿宋_GBK" w:hint="eastAsia"/>
          <w:spacing w:val="-10"/>
          <w:sz w:val="32"/>
          <w:szCs w:val="32"/>
        </w:rPr>
        <w:tab/>
        <w:t>.高效高电压智控电动压缩机研制及产业化。</w:t>
      </w:r>
      <w:r>
        <w:rPr>
          <w:rFonts w:ascii="方正楷体_GBK" w:eastAsia="方正楷体_GBK" w:hAnsi="方正楷体_GBK" w:cs="方正楷体_GBK" w:hint="eastAsia"/>
          <w:spacing w:val="-10"/>
          <w:sz w:val="32"/>
          <w:szCs w:val="32"/>
        </w:rPr>
        <w:t>发榜单位：重庆建设车用空调器有限责任公司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10.动物性食品绿色减损加工关键技术与装备研发。</w:t>
      </w:r>
      <w:r>
        <w:rPr>
          <w:rFonts w:ascii="方正楷体_GBK" w:eastAsia="方正楷体_GBK" w:hAnsi="方正楷体_GBK" w:cs="方正楷体_GBK" w:hint="eastAsia"/>
          <w:spacing w:val="-10"/>
          <w:sz w:val="32"/>
          <w:szCs w:val="32"/>
        </w:rPr>
        <w:t>发榜单位：重庆周君记火锅食品有限公司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11.创新便携式精准化学发光免疫诊断系统开发。</w:t>
      </w:r>
      <w:r>
        <w:rPr>
          <w:rFonts w:ascii="方正楷体_GBK" w:eastAsia="方正楷体_GBK" w:hAnsi="方正楷体_GBK" w:cs="方正楷体_GBK" w:hint="eastAsia"/>
          <w:spacing w:val="-10"/>
          <w:sz w:val="32"/>
          <w:szCs w:val="32"/>
        </w:rPr>
        <w:t>发榜单位：重庆高圣生物医药有限责任公司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12.解决高龄和失能老人（残疾人）的智能网联移动“诊疗设备+护理单元”的系统平台研究与示范应用。</w:t>
      </w:r>
      <w:r>
        <w:rPr>
          <w:rFonts w:ascii="方正楷体_GBK" w:eastAsia="方正楷体_GBK" w:hAnsi="方正楷体_GBK" w:cs="方正楷体_GBK" w:hint="eastAsia"/>
          <w:spacing w:val="-10"/>
          <w:sz w:val="32"/>
          <w:szCs w:val="32"/>
        </w:rPr>
        <w:t>发榜单位：重庆迪科汽车科技集团有限公司</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13.城市地下管网燃爆危险源智能监测及安全管控关键技术及产业化。</w:t>
      </w:r>
      <w:r>
        <w:rPr>
          <w:rFonts w:ascii="方正楷体_GBK" w:eastAsia="方正楷体_GBK" w:hAnsi="方正楷体_GBK" w:cs="方正楷体_GBK" w:hint="eastAsia"/>
          <w:spacing w:val="-10"/>
          <w:sz w:val="32"/>
          <w:szCs w:val="32"/>
        </w:rPr>
        <w:t>发榜单位：重庆市荣冠科技有限公司</w:t>
      </w:r>
      <w:r>
        <w:rPr>
          <w:rFonts w:ascii="方正仿宋_GBK" w:eastAsia="方正仿宋_GBK" w:hAnsi="Times New Roman" w:cs="方正仿宋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14.汽油发电与锂电储能发电组合发电运用技术开发。</w:t>
      </w:r>
      <w:r>
        <w:rPr>
          <w:rFonts w:ascii="方正楷体_GBK" w:eastAsia="方正楷体_GBK" w:hAnsi="方正楷体_GBK" w:cs="方正楷体_GBK" w:hint="eastAsia"/>
          <w:spacing w:val="-10"/>
          <w:sz w:val="32"/>
          <w:szCs w:val="32"/>
        </w:rPr>
        <w:t>发榜单位：重庆华世丹动力科技有限公司</w:t>
      </w:r>
      <w:r>
        <w:rPr>
          <w:rFonts w:ascii="方正楷体_GBK" w:eastAsia="方正楷体_GBK" w:hAnsi="方正楷体_GBK" w:cs="方正楷体_GBK" w:hint="eastAsia"/>
          <w:spacing w:val="-10"/>
          <w:sz w:val="32"/>
          <w:szCs w:val="32"/>
        </w:rPr>
        <w:tab/>
      </w:r>
    </w:p>
    <w:p w:rsidR="005D6D18" w:rsidRDefault="000973AB" w:rsidP="001F2A05">
      <w:pPr>
        <w:adjustRightInd w:val="0"/>
        <w:snapToGrid w:val="0"/>
        <w:spacing w:line="600" w:lineRule="exact"/>
        <w:ind w:firstLine="645"/>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二、成果转化类</w:t>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15.航空发动机叶片数控砂带精密磨削技术。</w:t>
      </w:r>
      <w:r>
        <w:rPr>
          <w:rFonts w:ascii="方正楷体_GBK" w:eastAsia="方正楷体_GBK" w:hAnsi="方正楷体_GBK" w:cs="方正楷体_GBK" w:hint="eastAsia"/>
          <w:spacing w:val="-10"/>
          <w:sz w:val="32"/>
          <w:szCs w:val="32"/>
        </w:rPr>
        <w:t>发榜单位：重庆理工大学</w:t>
      </w:r>
    </w:p>
    <w:p w:rsidR="005D6D18" w:rsidRDefault="000973AB" w:rsidP="001F2A05">
      <w:pPr>
        <w:spacing w:line="600" w:lineRule="exact"/>
        <w:ind w:firstLineChars="200" w:firstLine="600"/>
        <w:rPr>
          <w:rFonts w:ascii="方正仿宋_GBK" w:eastAsia="方正仿宋_GBK" w:hAnsi="Times New Roman" w:cs="方正仿宋_GBK"/>
          <w:spacing w:val="-10"/>
          <w:sz w:val="32"/>
          <w:szCs w:val="32"/>
        </w:rPr>
      </w:pPr>
      <w:r>
        <w:rPr>
          <w:rFonts w:ascii="方正仿宋_GBK" w:eastAsia="方正仿宋_GBK" w:hAnsi="Times New Roman" w:cs="方正仿宋_GBK" w:hint="eastAsia"/>
          <w:spacing w:val="-10"/>
          <w:sz w:val="32"/>
          <w:szCs w:val="32"/>
        </w:rPr>
        <w:t>16.节能与新能源汽车动力传动系统NVH试验技术及装备产业化。</w:t>
      </w:r>
      <w:r>
        <w:rPr>
          <w:rFonts w:ascii="方正楷体_GBK" w:eastAsia="方正楷体_GBK" w:hAnsi="方正楷体_GBK" w:cs="方正楷体_GBK" w:hint="eastAsia"/>
          <w:spacing w:val="-10"/>
          <w:sz w:val="32"/>
          <w:szCs w:val="32"/>
        </w:rPr>
        <w:t>发榜单位：重庆理工大学</w:t>
      </w:r>
      <w:r>
        <w:rPr>
          <w:rFonts w:ascii="方正仿宋_GBK" w:eastAsia="方正仿宋_GBK" w:hAnsi="Times New Roman" w:cs="方正仿宋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17.复杂环境下基础设施监测及维护。</w:t>
      </w:r>
      <w:r>
        <w:rPr>
          <w:rFonts w:ascii="方正楷体_GBK" w:eastAsia="方正楷体_GBK" w:hAnsi="方正楷体_GBK" w:cs="方正楷体_GBK" w:hint="eastAsia"/>
          <w:spacing w:val="-10"/>
          <w:sz w:val="32"/>
          <w:szCs w:val="32"/>
        </w:rPr>
        <w:t>发榜单位：重庆交通大学</w:t>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18.中小企业光储一体智慧用能技术解决方案。</w:t>
      </w:r>
      <w:r>
        <w:rPr>
          <w:rFonts w:ascii="方正楷体_GBK" w:eastAsia="方正楷体_GBK" w:hAnsi="方正楷体_GBK" w:cs="方正楷体_GBK" w:hint="eastAsia"/>
          <w:spacing w:val="-10"/>
          <w:sz w:val="32"/>
          <w:szCs w:val="32"/>
        </w:rPr>
        <w:t>发榜单位：重庆电力高等专科学校</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19.社会风险数据跨域无侵入式数据同步技术研究与试点。</w:t>
      </w:r>
      <w:r>
        <w:rPr>
          <w:rFonts w:ascii="方正楷体_GBK" w:eastAsia="方正楷体_GBK" w:hAnsi="方正楷体_GBK" w:cs="方正楷体_GBK" w:hint="eastAsia"/>
          <w:spacing w:val="-10"/>
          <w:sz w:val="32"/>
          <w:szCs w:val="32"/>
        </w:rPr>
        <w:t>发榜单位：渝州大数据实验室</w:t>
      </w:r>
      <w:r>
        <w:rPr>
          <w:rFonts w:ascii="方正楷体_GBK" w:eastAsia="方正楷体_GBK" w:hAnsi="方正楷体_GBK" w:cs="方正楷体_GBK" w:hint="eastAsia"/>
          <w:spacing w:val="-10"/>
          <w:sz w:val="32"/>
          <w:szCs w:val="32"/>
        </w:rPr>
        <w:tab/>
      </w:r>
    </w:p>
    <w:p w:rsidR="005D6D18" w:rsidRDefault="000973AB" w:rsidP="001F2A05">
      <w:pPr>
        <w:spacing w:line="600" w:lineRule="exact"/>
        <w:ind w:firstLineChars="200" w:firstLine="600"/>
        <w:rPr>
          <w:rFonts w:ascii="方正楷体_GBK" w:eastAsia="方正楷体_GBK" w:hAnsi="方正楷体_GBK" w:cs="方正楷体_GBK"/>
          <w:spacing w:val="-10"/>
          <w:sz w:val="32"/>
          <w:szCs w:val="32"/>
        </w:rPr>
      </w:pPr>
      <w:r>
        <w:rPr>
          <w:rFonts w:ascii="方正仿宋_GBK" w:eastAsia="方正仿宋_GBK" w:hAnsi="Times New Roman" w:cs="方正仿宋_GBK" w:hint="eastAsia"/>
          <w:spacing w:val="-10"/>
          <w:sz w:val="32"/>
          <w:szCs w:val="32"/>
        </w:rPr>
        <w:t>20.针对应急救援场景的自动驾驶关键技术研究。</w:t>
      </w:r>
      <w:r>
        <w:rPr>
          <w:rFonts w:ascii="方正楷体_GBK" w:eastAsia="方正楷体_GBK" w:hAnsi="方正楷体_GBK" w:cs="方正楷体_GBK" w:hint="eastAsia"/>
          <w:spacing w:val="-10"/>
          <w:sz w:val="32"/>
          <w:szCs w:val="32"/>
        </w:rPr>
        <w:t>发榜单位：重庆遨博智能科技研究院有限公司</w:t>
      </w:r>
    </w:p>
    <w:p w:rsidR="001F2A05" w:rsidRDefault="001F2A05" w:rsidP="001F2A05">
      <w:pPr>
        <w:pStyle w:val="a0"/>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pPr>
    </w:p>
    <w:p w:rsidR="001F2A05" w:rsidRDefault="001F2A05" w:rsidP="001F2A05">
      <w:pPr>
        <w:pStyle w:val="a4"/>
        <w:rPr>
          <w:rFonts w:hint="eastAsia"/>
        </w:rPr>
      </w:pPr>
    </w:p>
    <w:p w:rsidR="001F2A05" w:rsidRDefault="001F2A05" w:rsidP="001F2A05">
      <w:pPr>
        <w:pStyle w:val="a4"/>
      </w:pPr>
      <w:bookmarkStart w:id="1" w:name="_GoBack"/>
      <w:bookmarkEnd w:id="1"/>
    </w:p>
    <w:p w:rsidR="001F2A05" w:rsidRDefault="001F2A05" w:rsidP="001F2A05">
      <w:pPr>
        <w:spacing w:line="540" w:lineRule="exact"/>
        <w:rPr>
          <w:rFonts w:ascii="仿宋_GB2312" w:eastAsia="仿宋_GB2312"/>
          <w:u w:val="single"/>
        </w:rPr>
      </w:pPr>
    </w:p>
    <w:p w:rsidR="001F2A05" w:rsidRDefault="001F2A05" w:rsidP="001F2A05">
      <w:pPr>
        <w:spacing w:line="600" w:lineRule="exact"/>
        <w:rPr>
          <w:rFonts w:ascii="方正仿宋_GBK"/>
        </w:rPr>
      </w:pPr>
      <w:r>
        <w:rPr>
          <w:rFonts w:ascii="黑体" w:eastAsia="黑体" w:hint="eastAsia"/>
          <w:u w:val="single"/>
        </w:rPr>
        <w:t xml:space="preserve">                                                                                    </w:t>
      </w:r>
    </w:p>
    <w:p w:rsidR="005D6D18" w:rsidRPr="001F2A05" w:rsidRDefault="001F2A05" w:rsidP="001F2A05">
      <w:pPr>
        <w:pStyle w:val="a0"/>
        <w:spacing w:line="600" w:lineRule="exact"/>
      </w:pPr>
      <w:r>
        <w:rPr>
          <w:rFonts w:hint="eastAsia"/>
          <w:sz w:val="32"/>
          <w:u w:val="single"/>
        </w:rPr>
        <w:t xml:space="preserve"> </w:t>
      </w:r>
      <w:r>
        <w:rPr>
          <w:rFonts w:ascii="Times New Roman" w:eastAsia="方正仿宋_GBK"/>
          <w:sz w:val="28"/>
          <w:szCs w:val="28"/>
          <w:u w:val="single"/>
        </w:rPr>
        <w:t>重庆市九龙坡区科学技术</w:t>
      </w:r>
      <w:r>
        <w:rPr>
          <w:rFonts w:ascii="Times New Roman" w:eastAsia="方正仿宋_GBK" w:hint="eastAsia"/>
          <w:sz w:val="28"/>
          <w:szCs w:val="28"/>
          <w:u w:val="single"/>
        </w:rPr>
        <w:t>局综合科</w:t>
      </w:r>
      <w:r>
        <w:rPr>
          <w:rFonts w:ascii="Times New Roman" w:eastAsia="方正仿宋_GBK" w:hint="eastAsia"/>
          <w:sz w:val="28"/>
          <w:szCs w:val="28"/>
          <w:u w:val="single"/>
        </w:rPr>
        <w:t xml:space="preserve"> </w:t>
      </w:r>
      <w:r>
        <w:rPr>
          <w:rFonts w:ascii="Times New Roman" w:eastAsia="方正仿宋_GBK"/>
          <w:sz w:val="28"/>
          <w:szCs w:val="28"/>
          <w:u w:val="single"/>
        </w:rPr>
        <w:t xml:space="preserve"> </w:t>
      </w:r>
      <w:r>
        <w:rPr>
          <w:rFonts w:ascii="Times New Roman" w:eastAsia="方正仿宋_GBK"/>
          <w:spacing w:val="-20"/>
          <w:sz w:val="28"/>
          <w:szCs w:val="28"/>
          <w:u w:val="single"/>
        </w:rPr>
        <w:t xml:space="preserve">   </w:t>
      </w:r>
      <w:r>
        <w:rPr>
          <w:rFonts w:ascii="Times New Roman" w:eastAsia="方正仿宋_GBK"/>
          <w:sz w:val="28"/>
          <w:szCs w:val="28"/>
          <w:u w:val="single"/>
        </w:rPr>
        <w:t xml:space="preserve"> </w:t>
      </w:r>
      <w:r>
        <w:rPr>
          <w:rFonts w:ascii="Times New Roman" w:eastAsia="方正仿宋_GBK" w:hint="eastAsia"/>
          <w:sz w:val="28"/>
          <w:szCs w:val="28"/>
          <w:u w:val="single"/>
        </w:rPr>
        <w:t xml:space="preserve">      </w:t>
      </w:r>
      <w:r>
        <w:rPr>
          <w:rFonts w:ascii="方正仿宋_GBK" w:eastAsia="方正仿宋_GBK" w:hint="eastAsia"/>
          <w:sz w:val="28"/>
          <w:szCs w:val="28"/>
          <w:u w:val="single"/>
        </w:rPr>
        <w:t>2023年2月</w:t>
      </w:r>
      <w:r w:rsidR="00F03168">
        <w:rPr>
          <w:rFonts w:ascii="方正仿宋_GBK" w:eastAsia="方正仿宋_GBK" w:hint="eastAsia"/>
          <w:sz w:val="28"/>
          <w:szCs w:val="28"/>
          <w:u w:val="single"/>
        </w:rPr>
        <w:t>27</w:t>
      </w:r>
      <w:r>
        <w:rPr>
          <w:rFonts w:ascii="方正仿宋_GBK" w:eastAsia="方正仿宋_GBK" w:hint="eastAsia"/>
          <w:sz w:val="28"/>
          <w:szCs w:val="28"/>
          <w:u w:val="single"/>
        </w:rPr>
        <w:t>日印发</w:t>
      </w:r>
      <w:r>
        <w:rPr>
          <w:rFonts w:ascii="Times New Roman" w:eastAsia="方正仿宋_GBK" w:hint="eastAsia"/>
          <w:sz w:val="28"/>
          <w:szCs w:val="28"/>
          <w:u w:val="single"/>
        </w:rPr>
        <w:t xml:space="preserve"> </w:t>
      </w:r>
      <w:r>
        <w:rPr>
          <w:rFonts w:ascii="Times New Roman" w:eastAsia="方正仿宋_GBK"/>
          <w:sz w:val="28"/>
          <w:szCs w:val="28"/>
          <w:u w:val="single"/>
        </w:rPr>
        <w:t xml:space="preserve"> </w:t>
      </w:r>
    </w:p>
    <w:sectPr w:rsidR="005D6D18" w:rsidRPr="001F2A05" w:rsidSect="001F2A05">
      <w:footerReference w:type="even" r:id="rId7"/>
      <w:footerReference w:type="default" r:id="rId8"/>
      <w:pgSz w:w="11906" w:h="16838"/>
      <w:pgMar w:top="2098" w:right="1531" w:bottom="1985"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BB" w:rsidRDefault="00CE71BB" w:rsidP="001F2A05">
      <w:r>
        <w:separator/>
      </w:r>
    </w:p>
  </w:endnote>
  <w:endnote w:type="continuationSeparator" w:id="0">
    <w:p w:rsidR="00CE71BB" w:rsidRDefault="00CE71BB" w:rsidP="001F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88540"/>
      <w:docPartObj>
        <w:docPartGallery w:val="Page Numbers (Bottom of Page)"/>
        <w:docPartUnique/>
      </w:docPartObj>
    </w:sdtPr>
    <w:sdtEndPr/>
    <w:sdtContent>
      <w:p w:rsidR="001F2A05" w:rsidRDefault="001F2A05" w:rsidP="001F2A05">
        <w:pPr>
          <w:pStyle w:val="a7"/>
        </w:pPr>
        <w:r w:rsidRPr="001F2A05">
          <w:rPr>
            <w:rFonts w:ascii="宋体" w:eastAsia="宋体" w:hAnsi="宋体"/>
            <w:sz w:val="28"/>
            <w:szCs w:val="28"/>
          </w:rPr>
          <w:fldChar w:fldCharType="begin"/>
        </w:r>
        <w:r w:rsidRPr="001F2A05">
          <w:rPr>
            <w:rFonts w:ascii="宋体" w:eastAsia="宋体" w:hAnsi="宋体"/>
            <w:sz w:val="28"/>
            <w:szCs w:val="28"/>
          </w:rPr>
          <w:instrText>PAGE   \* MERGEFORMAT</w:instrText>
        </w:r>
        <w:r w:rsidRPr="001F2A05">
          <w:rPr>
            <w:rFonts w:ascii="宋体" w:eastAsia="宋体" w:hAnsi="宋体"/>
            <w:sz w:val="28"/>
            <w:szCs w:val="28"/>
          </w:rPr>
          <w:fldChar w:fldCharType="separate"/>
        </w:r>
        <w:r w:rsidR="008F2A0F" w:rsidRPr="008F2A0F">
          <w:rPr>
            <w:rFonts w:ascii="宋体" w:eastAsia="宋体" w:hAnsi="宋体"/>
            <w:noProof/>
            <w:sz w:val="28"/>
            <w:szCs w:val="28"/>
            <w:lang w:val="zh-CN"/>
          </w:rPr>
          <w:t>-</w:t>
        </w:r>
        <w:r w:rsidR="008F2A0F">
          <w:rPr>
            <w:rFonts w:ascii="宋体" w:eastAsia="宋体" w:hAnsi="宋体"/>
            <w:noProof/>
            <w:sz w:val="28"/>
            <w:szCs w:val="28"/>
          </w:rPr>
          <w:t xml:space="preserve"> 6 -</w:t>
        </w:r>
        <w:r w:rsidRPr="001F2A05">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180234"/>
      <w:docPartObj>
        <w:docPartGallery w:val="Page Numbers (Bottom of Page)"/>
        <w:docPartUnique/>
      </w:docPartObj>
    </w:sdtPr>
    <w:sdtEndPr/>
    <w:sdtContent>
      <w:p w:rsidR="001F2A05" w:rsidRDefault="001F2A05" w:rsidP="001F2A05">
        <w:pPr>
          <w:pStyle w:val="a7"/>
          <w:jc w:val="right"/>
        </w:pPr>
        <w:r w:rsidRPr="001F2A05">
          <w:rPr>
            <w:rFonts w:ascii="宋体" w:eastAsia="宋体" w:hAnsi="宋体"/>
            <w:sz w:val="28"/>
            <w:szCs w:val="28"/>
          </w:rPr>
          <w:fldChar w:fldCharType="begin"/>
        </w:r>
        <w:r w:rsidRPr="001F2A05">
          <w:rPr>
            <w:rFonts w:ascii="宋体" w:eastAsia="宋体" w:hAnsi="宋体"/>
            <w:sz w:val="28"/>
            <w:szCs w:val="28"/>
          </w:rPr>
          <w:instrText>PAGE   \* MERGEFORMAT</w:instrText>
        </w:r>
        <w:r w:rsidRPr="001F2A05">
          <w:rPr>
            <w:rFonts w:ascii="宋体" w:eastAsia="宋体" w:hAnsi="宋体"/>
            <w:sz w:val="28"/>
            <w:szCs w:val="28"/>
          </w:rPr>
          <w:fldChar w:fldCharType="separate"/>
        </w:r>
        <w:r w:rsidR="00CE71BB" w:rsidRPr="00CE71BB">
          <w:rPr>
            <w:rFonts w:ascii="宋体" w:eastAsia="宋体" w:hAnsi="宋体"/>
            <w:noProof/>
            <w:sz w:val="28"/>
            <w:szCs w:val="28"/>
            <w:lang w:val="zh-CN"/>
          </w:rPr>
          <w:t>-</w:t>
        </w:r>
        <w:r w:rsidR="00CE71BB">
          <w:rPr>
            <w:rFonts w:ascii="宋体" w:eastAsia="宋体" w:hAnsi="宋体"/>
            <w:noProof/>
            <w:sz w:val="28"/>
            <w:szCs w:val="28"/>
          </w:rPr>
          <w:t xml:space="preserve"> 1 -</w:t>
        </w:r>
        <w:r w:rsidRPr="001F2A05">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BB" w:rsidRDefault="00CE71BB" w:rsidP="001F2A05">
      <w:r>
        <w:separator/>
      </w:r>
    </w:p>
  </w:footnote>
  <w:footnote w:type="continuationSeparator" w:id="0">
    <w:p w:rsidR="00CE71BB" w:rsidRDefault="00CE71BB" w:rsidP="001F2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N2RhZGM4MzJmYjQxNTQ4MDVjZWE1ZjNjODdkMWYifQ=="/>
    <w:docVar w:name="KSO_WPS_MARK_KEY" w:val="a469576c-0af2-4f61-8557-4285bb6a8139"/>
  </w:docVars>
  <w:rsids>
    <w:rsidRoot w:val="5CEB434C"/>
    <w:rsid w:val="000658A0"/>
    <w:rsid w:val="000973AB"/>
    <w:rsid w:val="001F2A05"/>
    <w:rsid w:val="005501BE"/>
    <w:rsid w:val="005D6D18"/>
    <w:rsid w:val="006B391D"/>
    <w:rsid w:val="00711437"/>
    <w:rsid w:val="008F2A0F"/>
    <w:rsid w:val="009824BA"/>
    <w:rsid w:val="00A72ACD"/>
    <w:rsid w:val="00AE4736"/>
    <w:rsid w:val="00B95892"/>
    <w:rsid w:val="00C13F22"/>
    <w:rsid w:val="00CE71BB"/>
    <w:rsid w:val="00D17DB9"/>
    <w:rsid w:val="00EE5DDF"/>
    <w:rsid w:val="00F03168"/>
    <w:rsid w:val="00F37DE4"/>
    <w:rsid w:val="00F45997"/>
    <w:rsid w:val="01B6046E"/>
    <w:rsid w:val="01E74ACC"/>
    <w:rsid w:val="021B4775"/>
    <w:rsid w:val="03561F09"/>
    <w:rsid w:val="044429C2"/>
    <w:rsid w:val="057743B8"/>
    <w:rsid w:val="05880374"/>
    <w:rsid w:val="0A1D1456"/>
    <w:rsid w:val="0B103652"/>
    <w:rsid w:val="0B1E30C7"/>
    <w:rsid w:val="0CA05FA3"/>
    <w:rsid w:val="0CF87B8D"/>
    <w:rsid w:val="0E5D1408"/>
    <w:rsid w:val="10725EA8"/>
    <w:rsid w:val="11E20E0C"/>
    <w:rsid w:val="11E432B2"/>
    <w:rsid w:val="12867845"/>
    <w:rsid w:val="12C10AA2"/>
    <w:rsid w:val="13405DEA"/>
    <w:rsid w:val="14292D22"/>
    <w:rsid w:val="159468C1"/>
    <w:rsid w:val="172006AF"/>
    <w:rsid w:val="187D188E"/>
    <w:rsid w:val="1F131D1D"/>
    <w:rsid w:val="20C51132"/>
    <w:rsid w:val="24E32A79"/>
    <w:rsid w:val="25056E93"/>
    <w:rsid w:val="250A26FB"/>
    <w:rsid w:val="259F3B9B"/>
    <w:rsid w:val="267C13D7"/>
    <w:rsid w:val="2AEC6B2B"/>
    <w:rsid w:val="2AF07C9E"/>
    <w:rsid w:val="2BED4586"/>
    <w:rsid w:val="2C5B43E3"/>
    <w:rsid w:val="2CD755B9"/>
    <w:rsid w:val="2D170650"/>
    <w:rsid w:val="30234671"/>
    <w:rsid w:val="302B3D82"/>
    <w:rsid w:val="33CA19D4"/>
    <w:rsid w:val="346040E6"/>
    <w:rsid w:val="35A40002"/>
    <w:rsid w:val="36987B67"/>
    <w:rsid w:val="378816EF"/>
    <w:rsid w:val="382B67B9"/>
    <w:rsid w:val="3845787B"/>
    <w:rsid w:val="39E3559D"/>
    <w:rsid w:val="3A3A038A"/>
    <w:rsid w:val="3B44206B"/>
    <w:rsid w:val="3B620744"/>
    <w:rsid w:val="3BB561E0"/>
    <w:rsid w:val="3FEE7EAC"/>
    <w:rsid w:val="4070745F"/>
    <w:rsid w:val="40DA6FCE"/>
    <w:rsid w:val="41BE244C"/>
    <w:rsid w:val="471072A6"/>
    <w:rsid w:val="47685334"/>
    <w:rsid w:val="48A73C3A"/>
    <w:rsid w:val="49284D7B"/>
    <w:rsid w:val="4B0B37CB"/>
    <w:rsid w:val="4C1A4CAB"/>
    <w:rsid w:val="4CCB0F45"/>
    <w:rsid w:val="4CD81D82"/>
    <w:rsid w:val="4F1B22DD"/>
    <w:rsid w:val="4F38383D"/>
    <w:rsid w:val="50F87728"/>
    <w:rsid w:val="50F934A0"/>
    <w:rsid w:val="52104B7C"/>
    <w:rsid w:val="52C9193E"/>
    <w:rsid w:val="533110C5"/>
    <w:rsid w:val="54D05EA7"/>
    <w:rsid w:val="54F975CB"/>
    <w:rsid w:val="58443253"/>
    <w:rsid w:val="58DF144C"/>
    <w:rsid w:val="591C5F7E"/>
    <w:rsid w:val="5BE11735"/>
    <w:rsid w:val="5CEB434C"/>
    <w:rsid w:val="5DCA24D7"/>
    <w:rsid w:val="5E68756F"/>
    <w:rsid w:val="5EF07C91"/>
    <w:rsid w:val="624520A2"/>
    <w:rsid w:val="630062FA"/>
    <w:rsid w:val="630C2BBF"/>
    <w:rsid w:val="684A6664"/>
    <w:rsid w:val="68F14D31"/>
    <w:rsid w:val="6B721A2E"/>
    <w:rsid w:val="6C3118E9"/>
    <w:rsid w:val="6D5B4F1A"/>
    <w:rsid w:val="6E5F098F"/>
    <w:rsid w:val="6F062BB9"/>
    <w:rsid w:val="73C66DBA"/>
    <w:rsid w:val="74F040EF"/>
    <w:rsid w:val="76A21419"/>
    <w:rsid w:val="79905EA0"/>
    <w:rsid w:val="7BA45C33"/>
    <w:rsid w:val="7D5947FB"/>
    <w:rsid w:val="7D6531A0"/>
    <w:rsid w:val="7DE467BB"/>
    <w:rsid w:val="7ECB34D7"/>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Indent"/>
    <w:basedOn w:val="a"/>
    <w:qFormat/>
    <w:pPr>
      <w:spacing w:line="560" w:lineRule="exact"/>
      <w:ind w:firstLine="645"/>
    </w:pPr>
    <w:rPr>
      <w:rFonts w:ascii="仿宋_GB2312" w:eastAsia="仿宋_GB2312"/>
      <w:color w:val="000000"/>
      <w:kern w:val="0"/>
      <w:szCs w:val="32"/>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1F2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1F2A05"/>
    <w:rPr>
      <w:rFonts w:asciiTheme="minorHAnsi" w:eastAsiaTheme="minorEastAsia" w:hAnsiTheme="minorHAnsi" w:cstheme="minorBidi"/>
      <w:kern w:val="2"/>
      <w:sz w:val="18"/>
      <w:szCs w:val="18"/>
    </w:rPr>
  </w:style>
  <w:style w:type="paragraph" w:styleId="a7">
    <w:name w:val="footer"/>
    <w:basedOn w:val="a"/>
    <w:link w:val="Char0"/>
    <w:uiPriority w:val="99"/>
    <w:rsid w:val="001F2A05"/>
    <w:pPr>
      <w:tabs>
        <w:tab w:val="center" w:pos="4153"/>
        <w:tab w:val="right" w:pos="8306"/>
      </w:tabs>
      <w:snapToGrid w:val="0"/>
      <w:jc w:val="left"/>
    </w:pPr>
    <w:rPr>
      <w:sz w:val="18"/>
      <w:szCs w:val="18"/>
    </w:rPr>
  </w:style>
  <w:style w:type="character" w:customStyle="1" w:styleId="Char0">
    <w:name w:val="页脚 Char"/>
    <w:basedOn w:val="a1"/>
    <w:link w:val="a7"/>
    <w:uiPriority w:val="99"/>
    <w:rsid w:val="001F2A0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Body Text Indent"/>
    <w:basedOn w:val="a"/>
    <w:qFormat/>
    <w:pPr>
      <w:spacing w:line="560" w:lineRule="exact"/>
      <w:ind w:firstLine="645"/>
    </w:pPr>
    <w:rPr>
      <w:rFonts w:ascii="仿宋_GB2312" w:eastAsia="仿宋_GB2312"/>
      <w:color w:val="000000"/>
      <w:kern w:val="0"/>
      <w:szCs w:val="32"/>
    </w:rPr>
  </w:style>
  <w:style w:type="table" w:styleId="a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1F2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1F2A05"/>
    <w:rPr>
      <w:rFonts w:asciiTheme="minorHAnsi" w:eastAsiaTheme="minorEastAsia" w:hAnsiTheme="minorHAnsi" w:cstheme="minorBidi"/>
      <w:kern w:val="2"/>
      <w:sz w:val="18"/>
      <w:szCs w:val="18"/>
    </w:rPr>
  </w:style>
  <w:style w:type="paragraph" w:styleId="a7">
    <w:name w:val="footer"/>
    <w:basedOn w:val="a"/>
    <w:link w:val="Char0"/>
    <w:uiPriority w:val="99"/>
    <w:rsid w:val="001F2A05"/>
    <w:pPr>
      <w:tabs>
        <w:tab w:val="center" w:pos="4153"/>
        <w:tab w:val="right" w:pos="8306"/>
      </w:tabs>
      <w:snapToGrid w:val="0"/>
      <w:jc w:val="left"/>
    </w:pPr>
    <w:rPr>
      <w:sz w:val="18"/>
      <w:szCs w:val="18"/>
    </w:rPr>
  </w:style>
  <w:style w:type="character" w:customStyle="1" w:styleId="Char0">
    <w:name w:val="页脚 Char"/>
    <w:basedOn w:val="a1"/>
    <w:link w:val="a7"/>
    <w:uiPriority w:val="99"/>
    <w:rsid w:val="001F2A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1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1826</Characters>
  <Application>Microsoft Office Word</Application>
  <DocSecurity>0</DocSecurity>
  <Lines>15</Lines>
  <Paragraphs>4</Paragraphs>
  <ScaleCrop>false</ScaleCrop>
  <Company>微软中国</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阿川</dc:creator>
  <cp:lastModifiedBy>xbany</cp:lastModifiedBy>
  <cp:revision>9</cp:revision>
  <cp:lastPrinted>2023-03-01T01:25:00Z</cp:lastPrinted>
  <dcterms:created xsi:type="dcterms:W3CDTF">2023-02-27T07:03:00Z</dcterms:created>
  <dcterms:modified xsi:type="dcterms:W3CDTF">2023-03-01T01:25:00Z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E983F61EED4A482DBEE71707412BBE13</vt:lpwstr>
  </property>
</Properties>
</file>