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77CBD">
      <w:pPr>
        <w:tabs>
          <w:tab w:val="left" w:pos="2880"/>
        </w:tabs>
        <w:spacing w:line="600" w:lineRule="exact"/>
        <w:jc w:val="center"/>
        <w:outlineLvl w:val="9"/>
        <w:rPr>
          <w:rFonts w:hint="eastAsia" w:ascii="方正小标宋_GBK" w:eastAsia="方正小标宋_GBK"/>
          <w:color w:val="auto"/>
          <w:sz w:val="44"/>
          <w:szCs w:val="44"/>
          <w:lang w:val="en-US" w:eastAsia="zh-CN"/>
        </w:rPr>
      </w:pPr>
      <w:bookmarkStart w:id="96" w:name="_GoBack"/>
      <w:bookmarkEnd w:id="96"/>
    </w:p>
    <w:p w14:paraId="7A40BF8B">
      <w:pPr>
        <w:keepNext w:val="0"/>
        <w:keepLines w:val="0"/>
        <w:pageBreakBefore w:val="0"/>
        <w:widowControl w:val="0"/>
        <w:kinsoku/>
        <w:wordWrap/>
        <w:overflowPunct/>
        <w:topLinePunct/>
        <w:autoSpaceDE/>
        <w:autoSpaceDN/>
        <w:bidi w:val="0"/>
        <w:adjustRightInd/>
        <w:snapToGrid w:val="0"/>
        <w:spacing w:line="594" w:lineRule="exact"/>
        <w:ind w:firstLine="0" w:firstLineChars="0"/>
        <w:jc w:val="center"/>
        <w:textAlignment w:val="auto"/>
        <w:outlineLvl w:val="9"/>
        <w:rPr>
          <w:rFonts w:hint="eastAsia" w:ascii="Times New Roman" w:hAnsi="Times New Roman" w:eastAsia="方正小标宋_GBK"/>
          <w:color w:val="auto"/>
          <w:sz w:val="44"/>
          <w:szCs w:val="44"/>
        </w:rPr>
      </w:pPr>
      <w:r>
        <w:rPr>
          <w:rFonts w:hint="eastAsia" w:ascii="方正小标宋_GBK" w:eastAsia="方正小标宋_GBK"/>
          <w:color w:val="auto"/>
          <w:spacing w:val="-11"/>
          <w:sz w:val="44"/>
          <w:szCs w:val="44"/>
          <w:lang w:val="en-US" w:eastAsia="zh-CN"/>
        </w:rPr>
        <w:t>九龙坡中梁山重庆兴雅硕再生资源回收有限公司</w:t>
      </w:r>
      <w:r>
        <w:rPr>
          <w:rFonts w:hint="eastAsia" w:ascii="方正小标宋_GBK" w:eastAsia="方正小标宋_GBK"/>
          <w:color w:val="auto"/>
          <w:sz w:val="44"/>
          <w:szCs w:val="44"/>
          <w:lang w:val="en-US" w:eastAsia="zh-CN"/>
        </w:rPr>
        <w:t>“3·20”</w:t>
      </w:r>
      <w:r>
        <w:rPr>
          <w:rFonts w:hint="eastAsia" w:ascii="方正小标宋_GBK" w:eastAsia="方正小标宋_GBK"/>
          <w:color w:val="auto"/>
          <w:sz w:val="44"/>
          <w:szCs w:val="44"/>
          <w:lang w:eastAsia="zh-CN"/>
        </w:rPr>
        <w:t>一般起重伤害</w:t>
      </w:r>
      <w:r>
        <w:rPr>
          <w:rFonts w:hint="eastAsia" w:ascii="方正小标宋_GBK" w:eastAsia="方正小标宋_GBK"/>
          <w:color w:val="auto"/>
          <w:sz w:val="44"/>
          <w:szCs w:val="44"/>
        </w:rPr>
        <w:t>事故调查报告</w:t>
      </w:r>
    </w:p>
    <w:p w14:paraId="22176456">
      <w:pPr>
        <w:pStyle w:val="6"/>
        <w:keepNext w:val="0"/>
        <w:keepLines w:val="0"/>
        <w:pageBreakBefore w:val="0"/>
        <w:widowControl w:val="0"/>
        <w:kinsoku/>
        <w:wordWrap/>
        <w:overflowPunct/>
        <w:topLinePunct/>
        <w:autoSpaceDE/>
        <w:autoSpaceDN/>
        <w:bidi w:val="0"/>
        <w:snapToGrid/>
        <w:spacing w:after="0" w:line="570" w:lineRule="exact"/>
        <w:jc w:val="center"/>
        <w:textAlignment w:val="auto"/>
        <w:rPr>
          <w:rFonts w:hint="eastAsia" w:ascii="Times New Roman" w:hAnsi="Times New Roman" w:eastAsia="方正楷体_GBK"/>
          <w:color w:val="auto"/>
          <w:sz w:val="36"/>
          <w:szCs w:val="36"/>
        </w:rPr>
      </w:pPr>
    </w:p>
    <w:p w14:paraId="56BA1527">
      <w:pPr>
        <w:keepNext w:val="0"/>
        <w:keepLines w:val="0"/>
        <w:pageBreakBefore w:val="0"/>
        <w:widowControl w:val="0"/>
        <w:kinsoku/>
        <w:wordWrap/>
        <w:overflowPunct/>
        <w:topLinePunct/>
        <w:autoSpaceDE/>
        <w:autoSpaceDN/>
        <w:bidi w:val="0"/>
        <w:rPr>
          <w:rFonts w:hint="eastAsia" w:ascii="Times New Roman" w:hAnsi="Times New Roman"/>
        </w:rPr>
      </w:pPr>
    </w:p>
    <w:p w14:paraId="1586280D">
      <w:pPr>
        <w:pStyle w:val="6"/>
        <w:keepNext w:val="0"/>
        <w:keepLines w:val="0"/>
        <w:pageBreakBefore w:val="0"/>
        <w:widowControl w:val="0"/>
        <w:kinsoku/>
        <w:wordWrap/>
        <w:overflowPunct/>
        <w:topLinePunct/>
        <w:autoSpaceDE/>
        <w:autoSpaceDN/>
        <w:bidi w:val="0"/>
        <w:snapToGrid/>
        <w:spacing w:after="0" w:line="570" w:lineRule="exact"/>
        <w:jc w:val="center"/>
        <w:textAlignment w:val="auto"/>
        <w:rPr>
          <w:rFonts w:hint="eastAsia" w:ascii="Times New Roman" w:hAnsi="Times New Roman" w:eastAsia="方正楷体_GBK"/>
          <w:color w:val="auto"/>
          <w:sz w:val="36"/>
          <w:szCs w:val="36"/>
        </w:rPr>
      </w:pPr>
    </w:p>
    <w:p w14:paraId="6492F15B">
      <w:pPr>
        <w:pStyle w:val="6"/>
        <w:keepNext w:val="0"/>
        <w:keepLines w:val="0"/>
        <w:pageBreakBefore w:val="0"/>
        <w:widowControl w:val="0"/>
        <w:kinsoku/>
        <w:wordWrap/>
        <w:overflowPunct/>
        <w:topLinePunct/>
        <w:autoSpaceDE/>
        <w:autoSpaceDN/>
        <w:bidi w:val="0"/>
        <w:snapToGrid/>
        <w:spacing w:after="0" w:line="570" w:lineRule="exact"/>
        <w:jc w:val="both"/>
        <w:textAlignment w:val="auto"/>
        <w:rPr>
          <w:rFonts w:hint="eastAsia" w:ascii="Times New Roman" w:hAnsi="Times New Roman" w:eastAsia="方正楷体_GBK"/>
          <w:color w:val="auto"/>
          <w:sz w:val="36"/>
          <w:szCs w:val="36"/>
        </w:rPr>
      </w:pPr>
    </w:p>
    <w:p w14:paraId="6AA0FADB">
      <w:pPr>
        <w:keepNext w:val="0"/>
        <w:keepLines w:val="0"/>
        <w:pageBreakBefore w:val="0"/>
        <w:widowControl w:val="0"/>
        <w:kinsoku/>
        <w:wordWrap/>
        <w:overflowPunct/>
        <w:topLinePunct/>
        <w:autoSpaceDE/>
        <w:autoSpaceDN/>
        <w:bidi w:val="0"/>
        <w:snapToGrid/>
        <w:spacing w:line="570" w:lineRule="exact"/>
        <w:textAlignment w:val="auto"/>
        <w:rPr>
          <w:rFonts w:hint="eastAsia" w:ascii="Times New Roman" w:hAnsi="Times New Roman" w:eastAsia="方正楷体_GBK"/>
          <w:color w:val="auto"/>
          <w:sz w:val="36"/>
          <w:szCs w:val="36"/>
        </w:rPr>
      </w:pPr>
    </w:p>
    <w:p w14:paraId="49550AEC">
      <w:pPr>
        <w:keepNext w:val="0"/>
        <w:keepLines w:val="0"/>
        <w:pageBreakBefore w:val="0"/>
        <w:widowControl w:val="0"/>
        <w:kinsoku/>
        <w:wordWrap/>
        <w:overflowPunct/>
        <w:topLinePunct/>
        <w:autoSpaceDE/>
        <w:autoSpaceDN/>
        <w:bidi w:val="0"/>
        <w:snapToGrid/>
        <w:spacing w:line="570" w:lineRule="exact"/>
        <w:textAlignment w:val="auto"/>
        <w:rPr>
          <w:rFonts w:hint="eastAsia" w:ascii="Times New Roman" w:hAnsi="Times New Roman" w:eastAsia="方正楷体_GBK"/>
          <w:color w:val="auto"/>
          <w:sz w:val="36"/>
          <w:szCs w:val="36"/>
        </w:rPr>
      </w:pPr>
    </w:p>
    <w:p w14:paraId="0F826115">
      <w:pPr>
        <w:keepNext w:val="0"/>
        <w:keepLines w:val="0"/>
        <w:pageBreakBefore w:val="0"/>
        <w:widowControl w:val="0"/>
        <w:kinsoku/>
        <w:wordWrap/>
        <w:overflowPunct/>
        <w:topLinePunct/>
        <w:autoSpaceDE/>
        <w:autoSpaceDN/>
        <w:bidi w:val="0"/>
        <w:snapToGrid/>
        <w:spacing w:line="570" w:lineRule="exact"/>
        <w:textAlignment w:val="auto"/>
        <w:rPr>
          <w:rFonts w:hint="eastAsia" w:ascii="Times New Roman" w:hAnsi="Times New Roman" w:eastAsia="方正楷体_GBK"/>
          <w:color w:val="auto"/>
          <w:sz w:val="36"/>
          <w:szCs w:val="36"/>
        </w:rPr>
      </w:pPr>
    </w:p>
    <w:p w14:paraId="65841064">
      <w:pPr>
        <w:keepNext w:val="0"/>
        <w:keepLines w:val="0"/>
        <w:pageBreakBefore w:val="0"/>
        <w:widowControl w:val="0"/>
        <w:kinsoku/>
        <w:wordWrap/>
        <w:overflowPunct/>
        <w:topLinePunct/>
        <w:autoSpaceDE/>
        <w:autoSpaceDN/>
        <w:bidi w:val="0"/>
        <w:snapToGrid/>
        <w:spacing w:line="570" w:lineRule="exact"/>
        <w:textAlignment w:val="auto"/>
        <w:rPr>
          <w:rFonts w:hint="eastAsia" w:ascii="Times New Roman" w:hAnsi="Times New Roman" w:eastAsia="方正楷体_GBK"/>
          <w:color w:val="auto"/>
          <w:sz w:val="36"/>
          <w:szCs w:val="36"/>
        </w:rPr>
      </w:pPr>
    </w:p>
    <w:p w14:paraId="4380F9B0">
      <w:pPr>
        <w:keepNext w:val="0"/>
        <w:keepLines w:val="0"/>
        <w:pageBreakBefore w:val="0"/>
        <w:widowControl w:val="0"/>
        <w:kinsoku/>
        <w:wordWrap/>
        <w:overflowPunct/>
        <w:topLinePunct/>
        <w:autoSpaceDE/>
        <w:autoSpaceDN/>
        <w:bidi w:val="0"/>
        <w:snapToGrid/>
        <w:spacing w:line="570" w:lineRule="exact"/>
        <w:textAlignment w:val="auto"/>
        <w:rPr>
          <w:rFonts w:hint="eastAsia" w:ascii="Times New Roman" w:hAnsi="Times New Roman" w:eastAsia="方正楷体_GBK"/>
          <w:color w:val="auto"/>
          <w:sz w:val="36"/>
          <w:szCs w:val="36"/>
        </w:rPr>
      </w:pPr>
    </w:p>
    <w:p w14:paraId="703BD13D">
      <w:pPr>
        <w:keepNext w:val="0"/>
        <w:keepLines w:val="0"/>
        <w:pageBreakBefore w:val="0"/>
        <w:widowControl w:val="0"/>
        <w:kinsoku/>
        <w:wordWrap/>
        <w:overflowPunct/>
        <w:topLinePunct/>
        <w:autoSpaceDE/>
        <w:autoSpaceDN/>
        <w:bidi w:val="0"/>
        <w:snapToGrid/>
        <w:spacing w:line="570" w:lineRule="exact"/>
        <w:textAlignment w:val="auto"/>
        <w:rPr>
          <w:rFonts w:hint="eastAsia" w:ascii="Times New Roman" w:hAnsi="Times New Roman" w:eastAsia="方正楷体_GBK"/>
          <w:color w:val="auto"/>
          <w:sz w:val="36"/>
          <w:szCs w:val="36"/>
        </w:rPr>
      </w:pPr>
    </w:p>
    <w:p w14:paraId="3F406648">
      <w:pPr>
        <w:keepNext w:val="0"/>
        <w:keepLines w:val="0"/>
        <w:pageBreakBefore w:val="0"/>
        <w:widowControl w:val="0"/>
        <w:kinsoku/>
        <w:wordWrap/>
        <w:overflowPunct/>
        <w:topLinePunct/>
        <w:autoSpaceDE/>
        <w:autoSpaceDN/>
        <w:bidi w:val="0"/>
        <w:snapToGrid/>
        <w:spacing w:line="570" w:lineRule="exact"/>
        <w:textAlignment w:val="auto"/>
        <w:rPr>
          <w:rFonts w:hint="eastAsia" w:ascii="Times New Roman" w:hAnsi="Times New Roman" w:eastAsia="方正楷体_GBK"/>
          <w:color w:val="auto"/>
          <w:sz w:val="36"/>
          <w:szCs w:val="36"/>
        </w:rPr>
      </w:pPr>
    </w:p>
    <w:p w14:paraId="36103DC0">
      <w:pPr>
        <w:keepNext w:val="0"/>
        <w:keepLines w:val="0"/>
        <w:pageBreakBefore w:val="0"/>
        <w:widowControl w:val="0"/>
        <w:kinsoku/>
        <w:wordWrap/>
        <w:overflowPunct/>
        <w:topLinePunct/>
        <w:autoSpaceDE/>
        <w:autoSpaceDN/>
        <w:bidi w:val="0"/>
        <w:textAlignment w:val="auto"/>
        <w:rPr>
          <w:rFonts w:hint="eastAsia" w:ascii="Times New Roman" w:hAnsi="Times New Roman" w:eastAsia="方正楷体_GBK"/>
          <w:color w:val="auto"/>
          <w:sz w:val="36"/>
          <w:szCs w:val="36"/>
        </w:rPr>
      </w:pPr>
    </w:p>
    <w:p w14:paraId="3F0BB88C">
      <w:pPr>
        <w:keepNext w:val="0"/>
        <w:keepLines w:val="0"/>
        <w:pageBreakBefore w:val="0"/>
        <w:widowControl w:val="0"/>
        <w:kinsoku/>
        <w:wordWrap/>
        <w:overflowPunct/>
        <w:topLinePunct/>
        <w:autoSpaceDE/>
        <w:autoSpaceDN/>
        <w:bidi w:val="0"/>
        <w:rPr>
          <w:rFonts w:hint="eastAsia" w:ascii="Times New Roman" w:hAnsi="Times New Roman" w:eastAsia="方正楷体_GBK"/>
          <w:color w:val="auto"/>
          <w:sz w:val="36"/>
          <w:szCs w:val="36"/>
        </w:rPr>
      </w:pPr>
    </w:p>
    <w:p w14:paraId="773D903D">
      <w:pPr>
        <w:keepNext w:val="0"/>
        <w:keepLines w:val="0"/>
        <w:pageBreakBefore w:val="0"/>
        <w:widowControl w:val="0"/>
        <w:kinsoku/>
        <w:wordWrap/>
        <w:overflowPunct/>
        <w:topLinePunct/>
        <w:autoSpaceDE/>
        <w:autoSpaceDN/>
        <w:bidi w:val="0"/>
        <w:rPr>
          <w:rFonts w:hint="eastAsia" w:ascii="Times New Roman" w:hAnsi="Times New Roman" w:eastAsia="方正楷体_GBK"/>
          <w:color w:val="auto"/>
          <w:sz w:val="36"/>
          <w:szCs w:val="36"/>
        </w:rPr>
      </w:pPr>
    </w:p>
    <w:p w14:paraId="0217DAD8">
      <w:pPr>
        <w:keepNext w:val="0"/>
        <w:keepLines w:val="0"/>
        <w:pageBreakBefore w:val="0"/>
        <w:widowControl w:val="0"/>
        <w:kinsoku/>
        <w:wordWrap/>
        <w:overflowPunct/>
        <w:topLinePunct/>
        <w:autoSpaceDE/>
        <w:autoSpaceDN/>
        <w:bidi w:val="0"/>
        <w:rPr>
          <w:rFonts w:hint="eastAsia" w:ascii="Times New Roman" w:hAnsi="Times New Roman" w:eastAsia="方正楷体_GBK"/>
          <w:color w:val="auto"/>
          <w:sz w:val="36"/>
          <w:szCs w:val="36"/>
        </w:rPr>
      </w:pPr>
    </w:p>
    <w:p w14:paraId="6CA1A82F">
      <w:pPr>
        <w:keepNext w:val="0"/>
        <w:keepLines w:val="0"/>
        <w:pageBreakBefore w:val="0"/>
        <w:widowControl w:val="0"/>
        <w:kinsoku/>
        <w:wordWrap/>
        <w:overflowPunct/>
        <w:topLinePunct/>
        <w:autoSpaceDE/>
        <w:autoSpaceDN/>
        <w:bidi w:val="0"/>
        <w:textAlignment w:val="auto"/>
        <w:rPr>
          <w:rFonts w:hint="eastAsia" w:ascii="Times New Roman" w:hAnsi="Times New Roman"/>
          <w:color w:val="auto"/>
        </w:rPr>
      </w:pPr>
    </w:p>
    <w:p w14:paraId="5AB0EB14">
      <w:pPr>
        <w:pStyle w:val="6"/>
        <w:keepNext w:val="0"/>
        <w:keepLines w:val="0"/>
        <w:pageBreakBefore w:val="0"/>
        <w:widowControl w:val="0"/>
        <w:kinsoku/>
        <w:wordWrap/>
        <w:overflowPunct/>
        <w:topLinePunct/>
        <w:autoSpaceDE/>
        <w:autoSpaceDN/>
        <w:bidi w:val="0"/>
        <w:snapToGrid/>
        <w:spacing w:after="0" w:line="570" w:lineRule="exact"/>
        <w:jc w:val="center"/>
        <w:textAlignment w:val="auto"/>
        <w:outlineLvl w:val="9"/>
        <w:rPr>
          <w:rFonts w:hint="eastAsia" w:ascii="Times New Roman" w:hAnsi="Times New Roman" w:eastAsia="方正楷体_GBK" w:cs="方正楷体_GBK"/>
          <w:color w:val="auto"/>
          <w:sz w:val="36"/>
          <w:szCs w:val="36"/>
        </w:rPr>
      </w:pPr>
      <w:bookmarkStart w:id="0" w:name="_Toc15087"/>
      <w:bookmarkStart w:id="1" w:name="_Toc446406417"/>
      <w:bookmarkStart w:id="2" w:name="_Toc1309"/>
      <w:bookmarkStart w:id="3" w:name="_Toc21863"/>
      <w:bookmarkStart w:id="4" w:name="_Toc911959159"/>
      <w:bookmarkStart w:id="5" w:name="_Toc21757"/>
      <w:r>
        <w:rPr>
          <w:rFonts w:hint="eastAsia" w:eastAsia="方正楷体_GBK" w:cs="方正楷体_GBK"/>
          <w:color w:val="auto"/>
          <w:sz w:val="36"/>
          <w:szCs w:val="36"/>
          <w:lang w:val="en-US" w:eastAsia="zh-CN"/>
        </w:rPr>
        <w:t>九龙坡区政府</w:t>
      </w:r>
      <w:r>
        <w:rPr>
          <w:rFonts w:hint="eastAsia" w:ascii="Times New Roman" w:hAnsi="Times New Roman" w:eastAsia="方正楷体_GBK" w:cs="方正楷体_GBK"/>
          <w:color w:val="auto"/>
          <w:sz w:val="36"/>
          <w:szCs w:val="36"/>
        </w:rPr>
        <w:t>事故调查组</w:t>
      </w:r>
      <w:bookmarkEnd w:id="0"/>
      <w:bookmarkEnd w:id="1"/>
      <w:bookmarkEnd w:id="2"/>
      <w:bookmarkEnd w:id="3"/>
      <w:bookmarkEnd w:id="4"/>
      <w:bookmarkEnd w:id="5"/>
    </w:p>
    <w:p w14:paraId="3CE2F8AA">
      <w:pPr>
        <w:keepNext w:val="0"/>
        <w:keepLines w:val="0"/>
        <w:pageBreakBefore w:val="0"/>
        <w:widowControl w:val="0"/>
        <w:kinsoku/>
        <w:wordWrap/>
        <w:overflowPunct/>
        <w:topLinePunct/>
        <w:autoSpaceDE/>
        <w:autoSpaceDN/>
        <w:bidi w:val="0"/>
        <w:snapToGrid/>
        <w:spacing w:line="570" w:lineRule="exact"/>
        <w:jc w:val="center"/>
        <w:textAlignment w:val="auto"/>
        <w:rPr>
          <w:rFonts w:hint="eastAsia" w:eastAsia="方正楷体_GBK" w:cs="方正楷体_GBK"/>
          <w:color w:val="auto"/>
          <w:sz w:val="36"/>
          <w:szCs w:val="36"/>
          <w:lang w:val="en-US" w:eastAsia="zh-CN"/>
        </w:rPr>
      </w:pPr>
      <w:r>
        <w:rPr>
          <w:rFonts w:hint="eastAsia" w:ascii="Times New Roman" w:hAnsi="Times New Roman" w:eastAsia="方正楷体_GBK" w:cs="方正楷体_GBK"/>
          <w:color w:val="auto"/>
          <w:sz w:val="36"/>
          <w:szCs w:val="36"/>
        </w:rPr>
        <w:t>202</w:t>
      </w:r>
      <w:r>
        <w:rPr>
          <w:rFonts w:hint="eastAsia" w:eastAsia="方正楷体_GBK" w:cs="方正楷体_GBK"/>
          <w:color w:val="auto"/>
          <w:sz w:val="36"/>
          <w:szCs w:val="36"/>
          <w:lang w:val="en-US" w:eastAsia="zh-CN"/>
        </w:rPr>
        <w:t>6</w:t>
      </w:r>
      <w:r>
        <w:rPr>
          <w:rFonts w:hint="eastAsia" w:ascii="Times New Roman" w:hAnsi="Times New Roman" w:eastAsia="方正楷体_GBK" w:cs="方正楷体_GBK"/>
          <w:color w:val="auto"/>
          <w:sz w:val="36"/>
          <w:szCs w:val="36"/>
        </w:rPr>
        <w:t>年</w:t>
      </w:r>
      <w:r>
        <w:rPr>
          <w:rFonts w:hint="eastAsia" w:eastAsia="方正楷体_GBK" w:cs="方正楷体_GBK"/>
          <w:color w:val="auto"/>
          <w:sz w:val="36"/>
          <w:szCs w:val="36"/>
          <w:lang w:val="en-US" w:eastAsia="zh-CN"/>
        </w:rPr>
        <w:t>7</w:t>
      </w:r>
      <w:r>
        <w:rPr>
          <w:rFonts w:hint="eastAsia" w:ascii="Times New Roman" w:hAnsi="Times New Roman" w:eastAsia="方正楷体_GBK" w:cs="方正楷体_GBK"/>
          <w:color w:val="auto"/>
          <w:sz w:val="36"/>
          <w:szCs w:val="36"/>
          <w:lang w:val="en-US" w:eastAsia="zh-CN"/>
        </w:rPr>
        <w:t>月</w:t>
      </w:r>
      <w:r>
        <w:rPr>
          <w:rFonts w:hint="eastAsia" w:eastAsia="方正楷体_GBK" w:cs="方正楷体_GBK"/>
          <w:color w:val="auto"/>
          <w:sz w:val="36"/>
          <w:szCs w:val="36"/>
          <w:lang w:val="en-US" w:eastAsia="zh-CN"/>
        </w:rPr>
        <w:t>8日</w:t>
      </w:r>
    </w:p>
    <w:p w14:paraId="0B0AB9FB">
      <w:pPr>
        <w:keepNext w:val="0"/>
        <w:keepLines w:val="0"/>
        <w:pageBreakBefore w:val="0"/>
        <w:widowControl w:val="0"/>
        <w:kinsoku/>
        <w:wordWrap/>
        <w:overflowPunct/>
        <w:topLinePunct/>
        <w:autoSpaceDE/>
        <w:autoSpaceDN/>
        <w:bidi w:val="0"/>
        <w:snapToGrid/>
        <w:spacing w:line="570" w:lineRule="exact"/>
        <w:jc w:val="center"/>
        <w:textAlignment w:val="auto"/>
        <w:rPr>
          <w:rFonts w:hint="eastAsia" w:eastAsia="方正楷体_GBK" w:cs="方正楷体_GBK"/>
          <w:color w:val="auto"/>
          <w:sz w:val="36"/>
          <w:szCs w:val="36"/>
          <w:lang w:val="en-US" w:eastAsia="zh-CN"/>
        </w:rPr>
      </w:pPr>
    </w:p>
    <w:p w14:paraId="04C607D8">
      <w:pPr>
        <w:keepNext w:val="0"/>
        <w:keepLines w:val="0"/>
        <w:pageBreakBefore w:val="0"/>
        <w:widowControl w:val="0"/>
        <w:kinsoku/>
        <w:wordWrap/>
        <w:overflowPunct/>
        <w:topLinePunct/>
        <w:autoSpaceDE/>
        <w:autoSpaceDN/>
        <w:bidi w:val="0"/>
        <w:adjustRightInd/>
        <w:snapToGrid/>
        <w:spacing w:line="560" w:lineRule="exact"/>
        <w:jc w:val="both"/>
        <w:textAlignment w:val="auto"/>
        <w:rPr>
          <w:rFonts w:hint="eastAsia" w:ascii="Times New Roman" w:hAnsi="Times New Roman" w:eastAsia="方正黑体_GBK" w:cs="方正黑体_GBK"/>
          <w:color w:val="auto"/>
          <w:sz w:val="32"/>
          <w:szCs w:val="32"/>
        </w:rPr>
        <w:sectPr>
          <w:footerReference r:id="rId4" w:type="default"/>
          <w:footnotePr>
            <w:numFmt w:val="decimal"/>
          </w:footnotePr>
          <w:pgSz w:w="11906" w:h="16838"/>
          <w:pgMar w:top="1984" w:right="1446" w:bottom="1644" w:left="1446" w:header="850" w:footer="1247" w:gutter="0"/>
          <w:pgNumType w:fmt="decimal" w:start="1"/>
          <w:cols w:space="720" w:num="1"/>
          <w:rtlGutter w:val="0"/>
          <w:docGrid w:type="linesAndChars" w:linePitch="600" w:charSpace="204"/>
        </w:sectPr>
      </w:pPr>
    </w:p>
    <w:p w14:paraId="77A36D71">
      <w:pPr>
        <w:keepNext w:val="0"/>
        <w:keepLines w:val="0"/>
        <w:pageBreakBefore w:val="0"/>
        <w:widowControl w:val="0"/>
        <w:kinsoku/>
        <w:wordWrap/>
        <w:overflowPunct/>
        <w:topLinePunct/>
        <w:autoSpaceDE/>
        <w:autoSpaceDN/>
        <w:bidi w:val="0"/>
        <w:adjustRightInd/>
        <w:snapToGrid/>
        <w:spacing w:line="500" w:lineRule="exact"/>
        <w:jc w:val="center"/>
        <w:textAlignment w:val="auto"/>
        <w:rPr>
          <w:rFonts w:hint="eastAsia" w:ascii="Times New Roman" w:hAnsi="Times New Roman" w:eastAsia="方正黑体_GBK" w:cs="方正黑体_GBK"/>
          <w:color w:val="auto"/>
          <w:sz w:val="32"/>
          <w:szCs w:val="32"/>
        </w:rPr>
      </w:pPr>
      <w:r>
        <w:rPr>
          <w:rFonts w:hint="eastAsia" w:ascii="Times New Roman" w:hAnsi="Times New Roman" w:eastAsia="方正黑体_GBK" w:cs="方正黑体_GBK"/>
          <w:color w:val="auto"/>
          <w:sz w:val="32"/>
          <w:szCs w:val="32"/>
        </w:rPr>
        <w:t>目</w:t>
      </w:r>
      <w:r>
        <w:rPr>
          <w:rFonts w:hint="eastAsia" w:ascii="Times New Roman" w:hAnsi="Times New Roman" w:eastAsia="方正黑体_GBK" w:cs="方正黑体_GBK"/>
          <w:color w:val="auto"/>
          <w:sz w:val="32"/>
          <w:szCs w:val="32"/>
          <w:lang w:val="en-US" w:eastAsia="zh-CN"/>
        </w:rPr>
        <w:t xml:space="preserve"> </w:t>
      </w:r>
      <w:r>
        <w:rPr>
          <w:rFonts w:hint="eastAsia" w:ascii="Times New Roman" w:hAnsi="Times New Roman" w:eastAsia="方正黑体_GBK" w:cs="方正黑体_GBK"/>
          <w:color w:val="auto"/>
          <w:sz w:val="32"/>
          <w:szCs w:val="32"/>
        </w:rPr>
        <w:t>录</w:t>
      </w:r>
    </w:p>
    <w:p w14:paraId="5228CAEE">
      <w:pPr>
        <w:pStyle w:val="15"/>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cs="Times New Roman"/>
        </w:rPr>
      </w:pPr>
      <w:r>
        <w:fldChar w:fldCharType="begin"/>
      </w:r>
      <w:r>
        <w:instrText xml:space="preserve">TOC \o "1-2" \h \u </w:instrText>
      </w:r>
      <w:r>
        <w:fldChar w:fldCharType="separate"/>
      </w:r>
      <w:r>
        <w:rPr>
          <w:rFonts w:hint="default" w:ascii="Times New Roman" w:hAnsi="Times New Roman" w:eastAsia="方正黑体_GBK" w:cs="Times New Roman"/>
          <w:sz w:val="24"/>
          <w:szCs w:val="24"/>
          <w:lang w:val="en-US" w:eastAsia="zh-CN"/>
        </w:rPr>
        <w:fldChar w:fldCharType="begin"/>
      </w:r>
      <w:r>
        <w:rPr>
          <w:rFonts w:hint="default" w:ascii="Times New Roman" w:hAnsi="Times New Roman" w:eastAsia="方正黑体_GBK" w:cs="Times New Roman"/>
          <w:sz w:val="24"/>
          <w:szCs w:val="24"/>
          <w:lang w:val="en-US" w:eastAsia="zh-CN"/>
        </w:rPr>
        <w:instrText xml:space="preserve"> HYPERLINK \l _Toc29618 </w:instrText>
      </w:r>
      <w:r>
        <w:rPr>
          <w:rFonts w:hint="default" w:ascii="Times New Roman" w:hAnsi="Times New Roman" w:eastAsia="方正黑体_GBK" w:cs="Times New Roman"/>
          <w:sz w:val="24"/>
          <w:szCs w:val="24"/>
          <w:lang w:val="en-US" w:eastAsia="zh-CN"/>
        </w:rPr>
        <w:fldChar w:fldCharType="separate"/>
      </w:r>
      <w:r>
        <w:rPr>
          <w:rFonts w:hint="default" w:ascii="Times New Roman" w:hAnsi="Times New Roman" w:eastAsia="方正黑体_GBK" w:cs="Times New Roman"/>
          <w:sz w:val="24"/>
          <w:szCs w:val="24"/>
          <w:lang w:val="en-US" w:eastAsia="zh-CN"/>
        </w:rPr>
        <w:t>一、事故基本情况</w:t>
      </w:r>
      <w:r>
        <w:rPr>
          <w:rFonts w:hint="default" w:ascii="Times New Roman" w:hAnsi="Times New Roman" w:eastAsia="方正黑体_GBK" w:cs="Times New Roman"/>
          <w:sz w:val="24"/>
          <w:szCs w:val="24"/>
          <w:lang w:val="en-US" w:eastAsia="zh-CN"/>
        </w:rPr>
        <w:tab/>
      </w:r>
      <w:r>
        <w:rPr>
          <w:rFonts w:hint="default" w:ascii="Times New Roman" w:hAnsi="Times New Roman" w:eastAsia="方正黑体_GBK" w:cs="Times New Roman"/>
          <w:sz w:val="24"/>
          <w:szCs w:val="24"/>
          <w:lang w:val="en-US" w:eastAsia="zh-CN"/>
        </w:rPr>
        <w:fldChar w:fldCharType="begin"/>
      </w:r>
      <w:r>
        <w:rPr>
          <w:rFonts w:hint="default" w:ascii="Times New Roman" w:hAnsi="Times New Roman" w:eastAsia="方正黑体_GBK" w:cs="Times New Roman"/>
          <w:sz w:val="24"/>
          <w:szCs w:val="24"/>
          <w:lang w:val="en-US" w:eastAsia="zh-CN"/>
        </w:rPr>
        <w:instrText xml:space="preserve"> PAGEREF _Toc29618 \h </w:instrText>
      </w:r>
      <w:r>
        <w:rPr>
          <w:rFonts w:hint="default" w:ascii="Times New Roman" w:hAnsi="Times New Roman" w:eastAsia="方正黑体_GBK" w:cs="Times New Roman"/>
          <w:sz w:val="24"/>
          <w:szCs w:val="24"/>
          <w:lang w:val="en-US" w:eastAsia="zh-CN"/>
        </w:rPr>
        <w:fldChar w:fldCharType="separate"/>
      </w:r>
      <w:r>
        <w:rPr>
          <w:rFonts w:hint="default" w:ascii="Times New Roman" w:hAnsi="Times New Roman" w:eastAsia="方正黑体_GBK" w:cs="Times New Roman"/>
          <w:sz w:val="24"/>
          <w:szCs w:val="24"/>
          <w:lang w:val="en-US" w:eastAsia="zh-CN"/>
        </w:rPr>
        <w:t>2</w:t>
      </w:r>
      <w:r>
        <w:rPr>
          <w:rFonts w:hint="default" w:ascii="Times New Roman" w:hAnsi="Times New Roman" w:eastAsia="方正黑体_GBK" w:cs="Times New Roman"/>
          <w:sz w:val="24"/>
          <w:szCs w:val="24"/>
          <w:lang w:val="en-US" w:eastAsia="zh-CN"/>
        </w:rPr>
        <w:fldChar w:fldCharType="end"/>
      </w:r>
      <w:r>
        <w:rPr>
          <w:rFonts w:hint="default" w:ascii="Times New Roman" w:hAnsi="Times New Roman" w:eastAsia="方正黑体_GBK" w:cs="Times New Roman"/>
          <w:sz w:val="24"/>
          <w:szCs w:val="24"/>
          <w:lang w:val="en-US" w:eastAsia="zh-CN"/>
        </w:rPr>
        <w:fldChar w:fldCharType="end"/>
      </w:r>
    </w:p>
    <w:p w14:paraId="53917469">
      <w:pPr>
        <w:pStyle w:val="17"/>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\l _Toc10103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（一）事故发生单位概况</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PAGEREF _Toc10103 \h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2</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end"/>
      </w:r>
    </w:p>
    <w:p w14:paraId="5A0D153E">
      <w:pPr>
        <w:pStyle w:val="17"/>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\l _Toc19309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（二）事故发生经过</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PAGEREF _Toc19309 \h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3</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end"/>
      </w:r>
    </w:p>
    <w:p w14:paraId="56926FDB">
      <w:pPr>
        <w:pStyle w:val="17"/>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\l _Toc8746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（三）事故现场勘查情况</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PAGEREF _Toc8746 \h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3</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end"/>
      </w:r>
    </w:p>
    <w:p w14:paraId="4E33F2DA">
      <w:pPr>
        <w:pStyle w:val="17"/>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\l _Toc5316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（四）人员伤亡和直接经济损失情况</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PAGEREF _Toc5316 \h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6</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end"/>
      </w:r>
    </w:p>
    <w:p w14:paraId="29AB00C8">
      <w:pPr>
        <w:pStyle w:val="15"/>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eastAsia="方正黑体_GBK" w:cs="Times New Roman"/>
          <w:sz w:val="24"/>
          <w:szCs w:val="24"/>
          <w:lang w:val="en-US" w:eastAsia="zh-CN"/>
        </w:rPr>
      </w:pPr>
      <w:r>
        <w:rPr>
          <w:rFonts w:hint="default" w:ascii="Times New Roman" w:hAnsi="Times New Roman" w:eastAsia="方正黑体_GBK" w:cs="Times New Roman"/>
          <w:sz w:val="24"/>
          <w:szCs w:val="24"/>
          <w:lang w:val="en-US" w:eastAsia="zh-CN"/>
        </w:rPr>
        <w:fldChar w:fldCharType="begin"/>
      </w:r>
      <w:r>
        <w:rPr>
          <w:rFonts w:hint="default" w:ascii="Times New Roman" w:hAnsi="Times New Roman" w:eastAsia="方正黑体_GBK" w:cs="Times New Roman"/>
          <w:sz w:val="24"/>
          <w:szCs w:val="24"/>
          <w:lang w:val="en-US" w:eastAsia="zh-CN"/>
        </w:rPr>
        <w:instrText xml:space="preserve"> HYPERLINK \l _Toc23668 </w:instrText>
      </w:r>
      <w:r>
        <w:rPr>
          <w:rFonts w:hint="default" w:ascii="Times New Roman" w:hAnsi="Times New Roman" w:eastAsia="方正黑体_GBK" w:cs="Times New Roman"/>
          <w:sz w:val="24"/>
          <w:szCs w:val="24"/>
          <w:lang w:val="en-US" w:eastAsia="zh-CN"/>
        </w:rPr>
        <w:fldChar w:fldCharType="separate"/>
      </w:r>
      <w:r>
        <w:rPr>
          <w:rFonts w:hint="default" w:ascii="Times New Roman" w:hAnsi="Times New Roman" w:eastAsia="方正黑体_GBK" w:cs="Times New Roman"/>
          <w:sz w:val="24"/>
          <w:szCs w:val="24"/>
          <w:lang w:val="en-US" w:eastAsia="zh-CN"/>
        </w:rPr>
        <w:t>二、事故应急处置及评估情况</w:t>
      </w:r>
      <w:r>
        <w:rPr>
          <w:rFonts w:hint="default" w:ascii="Times New Roman" w:hAnsi="Times New Roman" w:eastAsia="方正黑体_GBK" w:cs="Times New Roman"/>
          <w:sz w:val="24"/>
          <w:szCs w:val="24"/>
          <w:lang w:val="en-US" w:eastAsia="zh-CN"/>
        </w:rPr>
        <w:tab/>
      </w:r>
      <w:r>
        <w:rPr>
          <w:rFonts w:hint="default" w:ascii="Times New Roman" w:hAnsi="Times New Roman" w:eastAsia="方正黑体_GBK" w:cs="Times New Roman"/>
          <w:sz w:val="24"/>
          <w:szCs w:val="24"/>
          <w:lang w:val="en-US" w:eastAsia="zh-CN"/>
        </w:rPr>
        <w:fldChar w:fldCharType="begin"/>
      </w:r>
      <w:r>
        <w:rPr>
          <w:rFonts w:hint="default" w:ascii="Times New Roman" w:hAnsi="Times New Roman" w:eastAsia="方正黑体_GBK" w:cs="Times New Roman"/>
          <w:sz w:val="24"/>
          <w:szCs w:val="24"/>
          <w:lang w:val="en-US" w:eastAsia="zh-CN"/>
        </w:rPr>
        <w:instrText xml:space="preserve"> PAGEREF _Toc23668 \h </w:instrText>
      </w:r>
      <w:r>
        <w:rPr>
          <w:rFonts w:hint="default" w:ascii="Times New Roman" w:hAnsi="Times New Roman" w:eastAsia="方正黑体_GBK" w:cs="Times New Roman"/>
          <w:sz w:val="24"/>
          <w:szCs w:val="24"/>
          <w:lang w:val="en-US" w:eastAsia="zh-CN"/>
        </w:rPr>
        <w:fldChar w:fldCharType="separate"/>
      </w:r>
      <w:r>
        <w:rPr>
          <w:rFonts w:hint="default" w:ascii="Times New Roman" w:hAnsi="Times New Roman" w:eastAsia="方正黑体_GBK" w:cs="Times New Roman"/>
          <w:sz w:val="24"/>
          <w:szCs w:val="24"/>
          <w:lang w:val="en-US" w:eastAsia="zh-CN"/>
        </w:rPr>
        <w:t>6</w:t>
      </w:r>
      <w:r>
        <w:rPr>
          <w:rFonts w:hint="default" w:ascii="Times New Roman" w:hAnsi="Times New Roman" w:eastAsia="方正黑体_GBK" w:cs="Times New Roman"/>
          <w:sz w:val="24"/>
          <w:szCs w:val="24"/>
          <w:lang w:val="en-US" w:eastAsia="zh-CN"/>
        </w:rPr>
        <w:fldChar w:fldCharType="end"/>
      </w:r>
      <w:r>
        <w:rPr>
          <w:rFonts w:hint="default" w:ascii="Times New Roman" w:hAnsi="Times New Roman" w:eastAsia="方正黑体_GBK" w:cs="Times New Roman"/>
          <w:sz w:val="24"/>
          <w:szCs w:val="24"/>
          <w:lang w:val="en-US" w:eastAsia="zh-CN"/>
        </w:rPr>
        <w:fldChar w:fldCharType="end"/>
      </w:r>
    </w:p>
    <w:p w14:paraId="0A9B4417">
      <w:pPr>
        <w:pStyle w:val="17"/>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\l _Toc23318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（一）事故信息接报及响应情况</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PAGEREF _Toc23318 \h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6</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end"/>
      </w:r>
    </w:p>
    <w:p w14:paraId="68BDFE7F">
      <w:pPr>
        <w:pStyle w:val="17"/>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\l _Toc395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（二）事故现场应急处置情况</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PAGEREF _Toc395 \h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6</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end"/>
      </w:r>
    </w:p>
    <w:p w14:paraId="3C6AC3CB">
      <w:pPr>
        <w:pStyle w:val="17"/>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\l _Toc31951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（三）医疗救治和善后情况</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PAGEREF _Toc31951 \h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7</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end"/>
      </w:r>
    </w:p>
    <w:p w14:paraId="4FC9B976">
      <w:pPr>
        <w:pStyle w:val="17"/>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\l _Toc32266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（四）事故应急处置评估</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PAGEREF _Toc32266 \h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7</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end"/>
      </w:r>
    </w:p>
    <w:p w14:paraId="301234BC">
      <w:pPr>
        <w:pStyle w:val="15"/>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eastAsia="方正黑体_GBK" w:cs="Times New Roman"/>
          <w:sz w:val="24"/>
          <w:szCs w:val="24"/>
          <w:lang w:val="en-US" w:eastAsia="zh-CN"/>
        </w:rPr>
      </w:pPr>
      <w:r>
        <w:rPr>
          <w:rFonts w:hint="default" w:ascii="Times New Roman" w:hAnsi="Times New Roman" w:eastAsia="方正黑体_GBK" w:cs="Times New Roman"/>
          <w:sz w:val="24"/>
          <w:szCs w:val="24"/>
          <w:lang w:val="en-US" w:eastAsia="zh-CN"/>
        </w:rPr>
        <w:fldChar w:fldCharType="begin"/>
      </w:r>
      <w:r>
        <w:rPr>
          <w:rFonts w:hint="default" w:ascii="Times New Roman" w:hAnsi="Times New Roman" w:eastAsia="方正黑体_GBK" w:cs="Times New Roman"/>
          <w:sz w:val="24"/>
          <w:szCs w:val="24"/>
          <w:lang w:val="en-US" w:eastAsia="zh-CN"/>
        </w:rPr>
        <w:instrText xml:space="preserve"> HYPERLINK \l _Toc9333 </w:instrText>
      </w:r>
      <w:r>
        <w:rPr>
          <w:rFonts w:hint="default" w:ascii="Times New Roman" w:hAnsi="Times New Roman" w:eastAsia="方正黑体_GBK" w:cs="Times New Roman"/>
          <w:sz w:val="24"/>
          <w:szCs w:val="24"/>
          <w:lang w:val="en-US" w:eastAsia="zh-CN"/>
        </w:rPr>
        <w:fldChar w:fldCharType="separate"/>
      </w:r>
      <w:r>
        <w:rPr>
          <w:rFonts w:hint="default" w:ascii="Times New Roman" w:hAnsi="Times New Roman" w:eastAsia="方正黑体_GBK" w:cs="Times New Roman"/>
          <w:sz w:val="24"/>
          <w:szCs w:val="24"/>
          <w:lang w:val="en-US" w:eastAsia="zh-CN"/>
        </w:rPr>
        <w:t>三、事故原因分析</w:t>
      </w:r>
      <w:r>
        <w:rPr>
          <w:rFonts w:hint="default" w:ascii="Times New Roman" w:hAnsi="Times New Roman" w:eastAsia="方正黑体_GBK" w:cs="Times New Roman"/>
          <w:sz w:val="24"/>
          <w:szCs w:val="24"/>
          <w:lang w:val="en-US" w:eastAsia="zh-CN"/>
        </w:rPr>
        <w:tab/>
      </w:r>
      <w:r>
        <w:rPr>
          <w:rFonts w:hint="default" w:ascii="Times New Roman" w:hAnsi="Times New Roman" w:eastAsia="方正黑体_GBK" w:cs="Times New Roman"/>
          <w:sz w:val="24"/>
          <w:szCs w:val="24"/>
          <w:lang w:val="en-US" w:eastAsia="zh-CN"/>
        </w:rPr>
        <w:fldChar w:fldCharType="begin"/>
      </w:r>
      <w:r>
        <w:rPr>
          <w:rFonts w:hint="default" w:ascii="Times New Roman" w:hAnsi="Times New Roman" w:eastAsia="方正黑体_GBK" w:cs="Times New Roman"/>
          <w:sz w:val="24"/>
          <w:szCs w:val="24"/>
          <w:lang w:val="en-US" w:eastAsia="zh-CN"/>
        </w:rPr>
        <w:instrText xml:space="preserve"> PAGEREF _Toc9333 \h </w:instrText>
      </w:r>
      <w:r>
        <w:rPr>
          <w:rFonts w:hint="default" w:ascii="Times New Roman" w:hAnsi="Times New Roman" w:eastAsia="方正黑体_GBK" w:cs="Times New Roman"/>
          <w:sz w:val="24"/>
          <w:szCs w:val="24"/>
          <w:lang w:val="en-US" w:eastAsia="zh-CN"/>
        </w:rPr>
        <w:fldChar w:fldCharType="separate"/>
      </w:r>
      <w:r>
        <w:rPr>
          <w:rFonts w:hint="default" w:ascii="Times New Roman" w:hAnsi="Times New Roman" w:eastAsia="方正黑体_GBK" w:cs="Times New Roman"/>
          <w:sz w:val="24"/>
          <w:szCs w:val="24"/>
          <w:lang w:val="en-US" w:eastAsia="zh-CN"/>
        </w:rPr>
        <w:t>7</w:t>
      </w:r>
      <w:r>
        <w:rPr>
          <w:rFonts w:hint="default" w:ascii="Times New Roman" w:hAnsi="Times New Roman" w:eastAsia="方正黑体_GBK" w:cs="Times New Roman"/>
          <w:sz w:val="24"/>
          <w:szCs w:val="24"/>
          <w:lang w:val="en-US" w:eastAsia="zh-CN"/>
        </w:rPr>
        <w:fldChar w:fldCharType="end"/>
      </w:r>
      <w:r>
        <w:rPr>
          <w:rFonts w:hint="default" w:ascii="Times New Roman" w:hAnsi="Times New Roman" w:eastAsia="方正黑体_GBK" w:cs="Times New Roman"/>
          <w:sz w:val="24"/>
          <w:szCs w:val="24"/>
          <w:lang w:val="en-US" w:eastAsia="zh-CN"/>
        </w:rPr>
        <w:fldChar w:fldCharType="end"/>
      </w:r>
    </w:p>
    <w:p w14:paraId="04F09E28">
      <w:pPr>
        <w:pStyle w:val="17"/>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\l _Toc26964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（一）直接原因分析</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PAGEREF _Toc26964 \h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7</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end"/>
      </w:r>
    </w:p>
    <w:p w14:paraId="1FE298B9">
      <w:pPr>
        <w:pStyle w:val="17"/>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\l _Toc3848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（二）间接原因分析</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PAGEREF _Toc3848 \h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7</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end"/>
      </w:r>
    </w:p>
    <w:p w14:paraId="1A438C6E">
      <w:pPr>
        <w:pStyle w:val="15"/>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eastAsia="方正黑体_GBK" w:cs="Times New Roman"/>
          <w:sz w:val="24"/>
          <w:szCs w:val="24"/>
          <w:lang w:val="en-US" w:eastAsia="zh-CN"/>
        </w:rPr>
      </w:pPr>
      <w:r>
        <w:rPr>
          <w:rFonts w:hint="default" w:ascii="Times New Roman" w:hAnsi="Times New Roman" w:eastAsia="方正黑体_GBK" w:cs="Times New Roman"/>
          <w:sz w:val="24"/>
          <w:szCs w:val="24"/>
          <w:lang w:val="en-US" w:eastAsia="zh-CN"/>
        </w:rPr>
        <w:fldChar w:fldCharType="begin"/>
      </w:r>
      <w:r>
        <w:rPr>
          <w:rFonts w:hint="default" w:ascii="Times New Roman" w:hAnsi="Times New Roman" w:eastAsia="方正黑体_GBK" w:cs="Times New Roman"/>
          <w:sz w:val="24"/>
          <w:szCs w:val="24"/>
          <w:lang w:val="en-US" w:eastAsia="zh-CN"/>
        </w:rPr>
        <w:instrText xml:space="preserve"> HYPERLINK \l _Toc10981 </w:instrText>
      </w:r>
      <w:r>
        <w:rPr>
          <w:rFonts w:hint="default" w:ascii="Times New Roman" w:hAnsi="Times New Roman" w:eastAsia="方正黑体_GBK" w:cs="Times New Roman"/>
          <w:sz w:val="24"/>
          <w:szCs w:val="24"/>
          <w:lang w:val="en-US" w:eastAsia="zh-CN"/>
        </w:rPr>
        <w:fldChar w:fldCharType="separate"/>
      </w:r>
      <w:r>
        <w:rPr>
          <w:rFonts w:hint="default" w:ascii="Times New Roman" w:hAnsi="Times New Roman" w:eastAsia="方正黑体_GBK" w:cs="Times New Roman"/>
          <w:sz w:val="24"/>
          <w:szCs w:val="24"/>
          <w:lang w:val="en-US" w:eastAsia="zh-CN"/>
        </w:rPr>
        <w:t>四、有关单位安全履职调查情况</w:t>
      </w:r>
      <w:r>
        <w:rPr>
          <w:rFonts w:hint="default" w:ascii="Times New Roman" w:hAnsi="Times New Roman" w:eastAsia="方正黑体_GBK" w:cs="Times New Roman"/>
          <w:sz w:val="24"/>
          <w:szCs w:val="24"/>
          <w:lang w:val="en-US" w:eastAsia="zh-CN"/>
        </w:rPr>
        <w:tab/>
      </w:r>
      <w:r>
        <w:rPr>
          <w:rFonts w:hint="default" w:ascii="Times New Roman" w:hAnsi="Times New Roman" w:eastAsia="方正黑体_GBK" w:cs="Times New Roman"/>
          <w:sz w:val="24"/>
          <w:szCs w:val="24"/>
          <w:lang w:val="en-US" w:eastAsia="zh-CN"/>
        </w:rPr>
        <w:fldChar w:fldCharType="begin"/>
      </w:r>
      <w:r>
        <w:rPr>
          <w:rFonts w:hint="default" w:ascii="Times New Roman" w:hAnsi="Times New Roman" w:eastAsia="方正黑体_GBK" w:cs="Times New Roman"/>
          <w:sz w:val="24"/>
          <w:szCs w:val="24"/>
          <w:lang w:val="en-US" w:eastAsia="zh-CN"/>
        </w:rPr>
        <w:instrText xml:space="preserve"> PAGEREF _Toc10981 \h </w:instrText>
      </w:r>
      <w:r>
        <w:rPr>
          <w:rFonts w:hint="default" w:ascii="Times New Roman" w:hAnsi="Times New Roman" w:eastAsia="方正黑体_GBK" w:cs="Times New Roman"/>
          <w:sz w:val="24"/>
          <w:szCs w:val="24"/>
          <w:lang w:val="en-US" w:eastAsia="zh-CN"/>
        </w:rPr>
        <w:fldChar w:fldCharType="separate"/>
      </w:r>
      <w:r>
        <w:rPr>
          <w:rFonts w:hint="default" w:ascii="Times New Roman" w:hAnsi="Times New Roman" w:eastAsia="方正黑体_GBK" w:cs="Times New Roman"/>
          <w:sz w:val="24"/>
          <w:szCs w:val="24"/>
          <w:lang w:val="en-US" w:eastAsia="zh-CN"/>
        </w:rPr>
        <w:t>8</w:t>
      </w:r>
      <w:r>
        <w:rPr>
          <w:rFonts w:hint="default" w:ascii="Times New Roman" w:hAnsi="Times New Roman" w:eastAsia="方正黑体_GBK" w:cs="Times New Roman"/>
          <w:sz w:val="24"/>
          <w:szCs w:val="24"/>
          <w:lang w:val="en-US" w:eastAsia="zh-CN"/>
        </w:rPr>
        <w:fldChar w:fldCharType="end"/>
      </w:r>
      <w:r>
        <w:rPr>
          <w:rFonts w:hint="default" w:ascii="Times New Roman" w:hAnsi="Times New Roman" w:eastAsia="方正黑体_GBK" w:cs="Times New Roman"/>
          <w:sz w:val="24"/>
          <w:szCs w:val="24"/>
          <w:lang w:val="en-US" w:eastAsia="zh-CN"/>
        </w:rPr>
        <w:fldChar w:fldCharType="end"/>
      </w:r>
    </w:p>
    <w:p w14:paraId="2F24F998">
      <w:pPr>
        <w:pStyle w:val="17"/>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\l _Toc12941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（一）政府职能单位履职情况</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PAGEREF _Toc12941 \h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8</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end"/>
      </w:r>
    </w:p>
    <w:p w14:paraId="696997BB">
      <w:pPr>
        <w:pStyle w:val="17"/>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\l _Toc17223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（二）处理意见</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PAGEREF _Toc17223 \h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10</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end"/>
      </w:r>
    </w:p>
    <w:p w14:paraId="51BD6FB7">
      <w:pPr>
        <w:pStyle w:val="15"/>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eastAsia="方正黑体_GBK" w:cs="Times New Roman"/>
          <w:sz w:val="24"/>
          <w:szCs w:val="24"/>
          <w:lang w:val="en-US" w:eastAsia="zh-CN"/>
        </w:rPr>
      </w:pPr>
      <w:r>
        <w:rPr>
          <w:rFonts w:hint="default" w:ascii="Times New Roman" w:hAnsi="Times New Roman" w:eastAsia="方正黑体_GBK" w:cs="Times New Roman"/>
          <w:sz w:val="24"/>
          <w:szCs w:val="24"/>
          <w:lang w:val="en-US" w:eastAsia="zh-CN"/>
        </w:rPr>
        <w:fldChar w:fldCharType="begin"/>
      </w:r>
      <w:r>
        <w:rPr>
          <w:rFonts w:hint="default" w:ascii="Times New Roman" w:hAnsi="Times New Roman" w:eastAsia="方正黑体_GBK" w:cs="Times New Roman"/>
          <w:sz w:val="24"/>
          <w:szCs w:val="24"/>
          <w:lang w:val="en-US" w:eastAsia="zh-CN"/>
        </w:rPr>
        <w:instrText xml:space="preserve"> HYPERLINK \l _Toc11704 </w:instrText>
      </w:r>
      <w:r>
        <w:rPr>
          <w:rFonts w:hint="default" w:ascii="Times New Roman" w:hAnsi="Times New Roman" w:eastAsia="方正黑体_GBK" w:cs="Times New Roman"/>
          <w:sz w:val="24"/>
          <w:szCs w:val="24"/>
          <w:lang w:val="en-US" w:eastAsia="zh-CN"/>
        </w:rPr>
        <w:fldChar w:fldCharType="separate"/>
      </w:r>
      <w:r>
        <w:rPr>
          <w:rFonts w:hint="default" w:ascii="Times New Roman" w:hAnsi="Times New Roman" w:eastAsia="方正黑体_GBK" w:cs="Times New Roman"/>
          <w:sz w:val="24"/>
          <w:szCs w:val="24"/>
          <w:lang w:val="en-US" w:eastAsia="zh-CN"/>
        </w:rPr>
        <w:t>五、对有关责任人员和责任单位的处理建议</w:t>
      </w:r>
      <w:r>
        <w:rPr>
          <w:rFonts w:hint="default" w:ascii="Times New Roman" w:hAnsi="Times New Roman" w:eastAsia="方正黑体_GBK" w:cs="Times New Roman"/>
          <w:sz w:val="24"/>
          <w:szCs w:val="24"/>
          <w:lang w:val="en-US" w:eastAsia="zh-CN"/>
        </w:rPr>
        <w:tab/>
      </w:r>
      <w:r>
        <w:rPr>
          <w:rFonts w:hint="default" w:ascii="Times New Roman" w:hAnsi="Times New Roman" w:eastAsia="方正黑体_GBK" w:cs="Times New Roman"/>
          <w:sz w:val="24"/>
          <w:szCs w:val="24"/>
          <w:lang w:val="en-US" w:eastAsia="zh-CN"/>
        </w:rPr>
        <w:fldChar w:fldCharType="begin"/>
      </w:r>
      <w:r>
        <w:rPr>
          <w:rFonts w:hint="default" w:ascii="Times New Roman" w:hAnsi="Times New Roman" w:eastAsia="方正黑体_GBK" w:cs="Times New Roman"/>
          <w:sz w:val="24"/>
          <w:szCs w:val="24"/>
          <w:lang w:val="en-US" w:eastAsia="zh-CN"/>
        </w:rPr>
        <w:instrText xml:space="preserve"> PAGEREF _Toc11704 \h </w:instrText>
      </w:r>
      <w:r>
        <w:rPr>
          <w:rFonts w:hint="default" w:ascii="Times New Roman" w:hAnsi="Times New Roman" w:eastAsia="方正黑体_GBK" w:cs="Times New Roman"/>
          <w:sz w:val="24"/>
          <w:szCs w:val="24"/>
          <w:lang w:val="en-US" w:eastAsia="zh-CN"/>
        </w:rPr>
        <w:fldChar w:fldCharType="separate"/>
      </w:r>
      <w:r>
        <w:rPr>
          <w:rFonts w:hint="default" w:ascii="Times New Roman" w:hAnsi="Times New Roman" w:eastAsia="方正黑体_GBK" w:cs="Times New Roman"/>
          <w:sz w:val="24"/>
          <w:szCs w:val="24"/>
          <w:lang w:val="en-US" w:eastAsia="zh-CN"/>
        </w:rPr>
        <w:t>10</w:t>
      </w:r>
      <w:r>
        <w:rPr>
          <w:rFonts w:hint="default" w:ascii="Times New Roman" w:hAnsi="Times New Roman" w:eastAsia="方正黑体_GBK" w:cs="Times New Roman"/>
          <w:sz w:val="24"/>
          <w:szCs w:val="24"/>
          <w:lang w:val="en-US" w:eastAsia="zh-CN"/>
        </w:rPr>
        <w:fldChar w:fldCharType="end"/>
      </w:r>
      <w:r>
        <w:rPr>
          <w:rFonts w:hint="default" w:ascii="Times New Roman" w:hAnsi="Times New Roman" w:eastAsia="方正黑体_GBK" w:cs="Times New Roman"/>
          <w:sz w:val="24"/>
          <w:szCs w:val="24"/>
          <w:lang w:val="en-US" w:eastAsia="zh-CN"/>
        </w:rPr>
        <w:fldChar w:fldCharType="end"/>
      </w:r>
    </w:p>
    <w:p w14:paraId="33EDEE3F">
      <w:pPr>
        <w:pStyle w:val="17"/>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\l _Toc7551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（一）建议给予行政处罚的单位和人员</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PAGEREF _Toc7551 \h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10</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end"/>
      </w:r>
    </w:p>
    <w:p w14:paraId="35FFB7A6">
      <w:pPr>
        <w:pStyle w:val="17"/>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\l _Toc29193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（二）建议移送司法机关处理的人员</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PAGEREF _Toc29193 \h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10</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end"/>
      </w:r>
    </w:p>
    <w:p w14:paraId="73E47CF7">
      <w:pPr>
        <w:pStyle w:val="15"/>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eastAsia="方正黑体_GBK" w:cs="Times New Roman"/>
          <w:sz w:val="24"/>
          <w:szCs w:val="24"/>
          <w:lang w:val="en-US" w:eastAsia="zh-CN"/>
        </w:rPr>
      </w:pPr>
      <w:r>
        <w:rPr>
          <w:rFonts w:hint="default" w:ascii="Times New Roman" w:hAnsi="Times New Roman" w:eastAsia="方正黑体_GBK" w:cs="Times New Roman"/>
          <w:sz w:val="24"/>
          <w:szCs w:val="24"/>
          <w:lang w:val="en-US" w:eastAsia="zh-CN"/>
        </w:rPr>
        <w:fldChar w:fldCharType="begin"/>
      </w:r>
      <w:r>
        <w:rPr>
          <w:rFonts w:hint="default" w:ascii="Times New Roman" w:hAnsi="Times New Roman" w:eastAsia="方正黑体_GBK" w:cs="Times New Roman"/>
          <w:sz w:val="24"/>
          <w:szCs w:val="24"/>
          <w:lang w:val="en-US" w:eastAsia="zh-CN"/>
        </w:rPr>
        <w:instrText xml:space="preserve"> HYPERLINK \l _Toc13626 </w:instrText>
      </w:r>
      <w:r>
        <w:rPr>
          <w:rFonts w:hint="default" w:ascii="Times New Roman" w:hAnsi="Times New Roman" w:eastAsia="方正黑体_GBK" w:cs="Times New Roman"/>
          <w:sz w:val="24"/>
          <w:szCs w:val="24"/>
          <w:lang w:val="en-US" w:eastAsia="zh-CN"/>
        </w:rPr>
        <w:fldChar w:fldCharType="separate"/>
      </w:r>
      <w:r>
        <w:rPr>
          <w:rFonts w:hint="default" w:ascii="Times New Roman" w:hAnsi="Times New Roman" w:eastAsia="方正黑体_GBK" w:cs="Times New Roman"/>
          <w:sz w:val="24"/>
          <w:szCs w:val="24"/>
          <w:lang w:val="en-US" w:eastAsia="zh-CN"/>
        </w:rPr>
        <w:t>六、事故整改和防范措施</w:t>
      </w:r>
      <w:r>
        <w:rPr>
          <w:rFonts w:hint="default" w:ascii="Times New Roman" w:hAnsi="Times New Roman" w:eastAsia="方正黑体_GBK" w:cs="Times New Roman"/>
          <w:sz w:val="24"/>
          <w:szCs w:val="24"/>
          <w:lang w:val="en-US" w:eastAsia="zh-CN"/>
        </w:rPr>
        <w:tab/>
      </w:r>
      <w:r>
        <w:rPr>
          <w:rFonts w:hint="default" w:ascii="Times New Roman" w:hAnsi="Times New Roman" w:eastAsia="方正黑体_GBK" w:cs="Times New Roman"/>
          <w:sz w:val="24"/>
          <w:szCs w:val="24"/>
          <w:lang w:val="en-US" w:eastAsia="zh-CN"/>
        </w:rPr>
        <w:fldChar w:fldCharType="begin"/>
      </w:r>
      <w:r>
        <w:rPr>
          <w:rFonts w:hint="default" w:ascii="Times New Roman" w:hAnsi="Times New Roman" w:eastAsia="方正黑体_GBK" w:cs="Times New Roman"/>
          <w:sz w:val="24"/>
          <w:szCs w:val="24"/>
          <w:lang w:val="en-US" w:eastAsia="zh-CN"/>
        </w:rPr>
        <w:instrText xml:space="preserve"> PAGEREF _Toc13626 \h </w:instrText>
      </w:r>
      <w:r>
        <w:rPr>
          <w:rFonts w:hint="default" w:ascii="Times New Roman" w:hAnsi="Times New Roman" w:eastAsia="方正黑体_GBK" w:cs="Times New Roman"/>
          <w:sz w:val="24"/>
          <w:szCs w:val="24"/>
          <w:lang w:val="en-US" w:eastAsia="zh-CN"/>
        </w:rPr>
        <w:fldChar w:fldCharType="separate"/>
      </w:r>
      <w:r>
        <w:rPr>
          <w:rFonts w:hint="default" w:ascii="Times New Roman" w:hAnsi="Times New Roman" w:eastAsia="方正黑体_GBK" w:cs="Times New Roman"/>
          <w:sz w:val="24"/>
          <w:szCs w:val="24"/>
          <w:lang w:val="en-US" w:eastAsia="zh-CN"/>
        </w:rPr>
        <w:t>11</w:t>
      </w:r>
      <w:r>
        <w:rPr>
          <w:rFonts w:hint="default" w:ascii="Times New Roman" w:hAnsi="Times New Roman" w:eastAsia="方正黑体_GBK" w:cs="Times New Roman"/>
          <w:sz w:val="24"/>
          <w:szCs w:val="24"/>
          <w:lang w:val="en-US" w:eastAsia="zh-CN"/>
        </w:rPr>
        <w:fldChar w:fldCharType="end"/>
      </w:r>
      <w:r>
        <w:rPr>
          <w:rFonts w:hint="default" w:ascii="Times New Roman" w:hAnsi="Times New Roman" w:eastAsia="方正黑体_GBK" w:cs="Times New Roman"/>
          <w:sz w:val="24"/>
          <w:szCs w:val="24"/>
          <w:lang w:val="en-US" w:eastAsia="zh-CN"/>
        </w:rPr>
        <w:fldChar w:fldCharType="end"/>
      </w:r>
    </w:p>
    <w:p w14:paraId="43D367FB">
      <w:pPr>
        <w:pStyle w:val="17"/>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\l _Toc25580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（一）兴雅硕公司</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PAGEREF _Toc25580 \h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11</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end"/>
      </w:r>
    </w:p>
    <w:p w14:paraId="2E5A79B6">
      <w:pPr>
        <w:pStyle w:val="17"/>
        <w:keepNext w:val="0"/>
        <w:keepLines w:val="0"/>
        <w:pageBreakBefore w:val="0"/>
        <w:tabs>
          <w:tab w:val="right" w:leader="dot" w:pos="8845"/>
        </w:tabs>
        <w:kinsoku/>
        <w:wordWrap/>
        <w:overflowPunct/>
        <w:autoSpaceDE/>
        <w:autoSpaceDN/>
        <w:bidi w:val="0"/>
        <w:adjustRightInd/>
        <w:snapToGrid/>
        <w:spacing w:line="50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\l _Toc32508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（二）中梁山街道</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PAGEREF _Toc32508 \h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11</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end"/>
      </w:r>
    </w:p>
    <w:p w14:paraId="2257E534">
      <w:pPr>
        <w:pStyle w:val="17"/>
        <w:keepNext w:val="0"/>
        <w:keepLines w:val="0"/>
        <w:pageBreakBefore w:val="0"/>
        <w:tabs>
          <w:tab w:val="right" w:leader="dot" w:pos="8845"/>
        </w:tabs>
        <w:kinsoku/>
        <w:wordWrap/>
        <w:overflowPunct/>
        <w:autoSpaceDE/>
        <w:autoSpaceDN/>
        <w:bidi w:val="0"/>
        <w:adjustRightInd/>
        <w:snapToGrid/>
        <w:spacing w:line="500" w:lineRule="exact"/>
        <w:textAlignment w:val="auto"/>
      </w:pP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HYPERLINK \l _Toc18569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（三）区商务委</w:t>
      </w:r>
      <w:r>
        <w:rPr>
          <w:rFonts w:hint="default" w:ascii="Times New Roman" w:hAnsi="Times New Roman" w:cs="Times New Roman"/>
          <w:sz w:val="24"/>
          <w:szCs w:val="24"/>
          <w:lang w:val="en-US" w:eastAsia="zh-CN"/>
        </w:rPr>
        <w:tab/>
      </w:r>
      <w:r>
        <w:rPr>
          <w:rFonts w:hint="default" w:ascii="Times New Roman" w:hAnsi="Times New Roman" w:cs="Times New Roman"/>
          <w:sz w:val="24"/>
          <w:szCs w:val="24"/>
          <w:lang w:val="en-US" w:eastAsia="zh-CN"/>
        </w:rPr>
        <w:fldChar w:fldCharType="begin"/>
      </w:r>
      <w:r>
        <w:rPr>
          <w:rFonts w:hint="default" w:ascii="Times New Roman" w:hAnsi="Times New Roman" w:cs="Times New Roman"/>
          <w:sz w:val="24"/>
          <w:szCs w:val="24"/>
          <w:lang w:val="en-US" w:eastAsia="zh-CN"/>
        </w:rPr>
        <w:instrText xml:space="preserve"> PAGEREF _Toc18569 \h </w:instrText>
      </w:r>
      <w:r>
        <w:rPr>
          <w:rFonts w:hint="default" w:ascii="Times New Roman" w:hAnsi="Times New Roman" w:cs="Times New Roman"/>
          <w:sz w:val="24"/>
          <w:szCs w:val="24"/>
          <w:lang w:val="en-US" w:eastAsia="zh-CN"/>
        </w:rPr>
        <w:fldChar w:fldCharType="separate"/>
      </w:r>
      <w:r>
        <w:rPr>
          <w:rFonts w:hint="default" w:ascii="Times New Roman" w:hAnsi="Times New Roman" w:cs="Times New Roman"/>
          <w:sz w:val="24"/>
          <w:szCs w:val="24"/>
          <w:lang w:val="en-US" w:eastAsia="zh-CN"/>
        </w:rPr>
        <w:t>12</w:t>
      </w:r>
      <w:r>
        <w:rPr>
          <w:rFonts w:hint="default" w:ascii="Times New Roman" w:hAnsi="Times New Roman" w:cs="Times New Roman"/>
          <w:sz w:val="24"/>
          <w:szCs w:val="24"/>
          <w:lang w:val="en-US" w:eastAsia="zh-CN"/>
        </w:rPr>
        <w:fldChar w:fldCharType="end"/>
      </w:r>
      <w:r>
        <w:rPr>
          <w:rFonts w:hint="default" w:ascii="Times New Roman" w:hAnsi="Times New Roman" w:cs="Times New Roman"/>
          <w:sz w:val="24"/>
          <w:szCs w:val="24"/>
          <w:lang w:val="en-US" w:eastAsia="zh-CN"/>
        </w:rPr>
        <w:fldChar w:fldCharType="end"/>
      </w:r>
    </w:p>
    <w:p w14:paraId="1F8B503F">
      <w:pPr>
        <w:keepNext w:val="0"/>
        <w:keepLines w:val="0"/>
        <w:pageBreakBefore w:val="0"/>
        <w:kinsoku/>
        <w:wordWrap/>
        <w:overflowPunct/>
        <w:autoSpaceDE/>
        <w:autoSpaceDN/>
        <w:bidi w:val="0"/>
        <w:adjustRightInd/>
        <w:snapToGrid/>
        <w:spacing w:line="500" w:lineRule="exact"/>
        <w:textAlignment w:val="auto"/>
        <w:rPr>
          <w:rFonts w:hint="eastAsia" w:ascii="Times New Roman" w:hAnsi="Times New Roman" w:eastAsia="方正黑体_GBK" w:cs="方正黑体_GBK"/>
          <w:sz w:val="32"/>
          <w:szCs w:val="32"/>
        </w:rPr>
      </w:pPr>
      <w:r>
        <w:fldChar w:fldCharType="end"/>
      </w:r>
    </w:p>
    <w:p w14:paraId="5C36C149">
      <w:pPr>
        <w:tabs>
          <w:tab w:val="left" w:pos="2880"/>
        </w:tabs>
        <w:spacing w:line="600" w:lineRule="exact"/>
        <w:jc w:val="center"/>
        <w:rPr>
          <w:rFonts w:hint="eastAsia" w:ascii="方正小标宋_GBK" w:eastAsia="方正小标宋_GBK"/>
          <w:color w:val="auto"/>
          <w:sz w:val="44"/>
          <w:szCs w:val="44"/>
          <w:lang w:val="en-US" w:eastAsia="zh-CN"/>
        </w:rPr>
        <w:sectPr>
          <w:footerReference r:id="rId5" w:type="default"/>
          <w:footnotePr>
            <w:numFmt w:val="decimal"/>
            <w:numRestart w:val="eachPage"/>
          </w:footnotePr>
          <w:pgSz w:w="11907" w:h="16840"/>
          <w:pgMar w:top="2098" w:right="1531" w:bottom="1985" w:left="1531" w:header="851" w:footer="1474" w:gutter="0"/>
          <w:pgNumType w:fmt="decimal"/>
          <w:cols w:space="720" w:num="1"/>
          <w:docGrid w:type="linesAndChars" w:linePitch="579" w:charSpace="-849"/>
        </w:sectPr>
      </w:pPr>
    </w:p>
    <w:p w14:paraId="091976A8">
      <w:pPr>
        <w:tabs>
          <w:tab w:val="left" w:pos="2880"/>
        </w:tabs>
        <w:spacing w:line="600" w:lineRule="exact"/>
        <w:jc w:val="both"/>
        <w:rPr>
          <w:rFonts w:hint="eastAsia" w:ascii="方正小标宋_GBK" w:eastAsia="方正小标宋_GBK"/>
          <w:color w:val="auto"/>
          <w:sz w:val="44"/>
          <w:szCs w:val="44"/>
          <w:lang w:val="en-US" w:eastAsia="zh-CN"/>
        </w:rPr>
      </w:pPr>
    </w:p>
    <w:p w14:paraId="42F9FFF0">
      <w:pPr>
        <w:keepNext w:val="0"/>
        <w:keepLines w:val="0"/>
        <w:pageBreakBefore w:val="0"/>
        <w:widowControl w:val="0"/>
        <w:kinsoku/>
        <w:wordWrap/>
        <w:overflowPunct/>
        <w:topLinePunct/>
        <w:autoSpaceDE/>
        <w:autoSpaceDN/>
        <w:bidi w:val="0"/>
        <w:adjustRightInd/>
        <w:snapToGrid w:val="0"/>
        <w:spacing w:line="560" w:lineRule="exact"/>
        <w:ind w:left="0" w:leftChars="0" w:firstLine="0" w:firstLineChars="0"/>
        <w:jc w:val="center"/>
        <w:textAlignment w:val="auto"/>
        <w:outlineLvl w:val="9"/>
        <w:rPr>
          <w:rFonts w:hint="eastAsia" w:ascii="Times New Roman" w:hAnsi="Times New Roman" w:eastAsia="方正小标宋_GBK" w:cs="方正小标宋_GBK"/>
          <w:snapToGrid/>
          <w:color w:val="auto"/>
          <w:kern w:val="2"/>
          <w:sz w:val="44"/>
          <w:szCs w:val="44"/>
          <w:lang w:val="en-US" w:eastAsia="zh-CN"/>
        </w:rPr>
      </w:pPr>
      <w:r>
        <w:rPr>
          <w:rFonts w:hint="eastAsia" w:ascii="方正小标宋_GBK" w:eastAsia="方正小标宋_GBK"/>
          <w:color w:val="auto"/>
          <w:spacing w:val="-11"/>
          <w:sz w:val="44"/>
          <w:szCs w:val="44"/>
          <w:lang w:val="en-US" w:eastAsia="zh-CN"/>
        </w:rPr>
        <w:t>九龙坡中梁山重庆兴雅硕再生资源回收有限公司</w:t>
      </w:r>
      <w:r>
        <w:rPr>
          <w:rFonts w:hint="eastAsia" w:ascii="方正小标宋_GBK" w:eastAsia="方正小标宋_GBK"/>
          <w:color w:val="auto"/>
          <w:sz w:val="44"/>
          <w:szCs w:val="44"/>
          <w:lang w:val="en-US" w:eastAsia="zh-CN"/>
        </w:rPr>
        <w:t>“3·20”</w:t>
      </w:r>
      <w:r>
        <w:rPr>
          <w:rFonts w:hint="eastAsia" w:ascii="方正小标宋_GBK" w:eastAsia="方正小标宋_GBK"/>
          <w:color w:val="auto"/>
          <w:sz w:val="44"/>
          <w:szCs w:val="44"/>
          <w:lang w:eastAsia="zh-CN"/>
        </w:rPr>
        <w:t>一般起重伤害</w:t>
      </w:r>
      <w:r>
        <w:rPr>
          <w:rFonts w:hint="eastAsia" w:ascii="方正小标宋_GBK" w:eastAsia="方正小标宋_GBK"/>
          <w:color w:val="auto"/>
          <w:sz w:val="44"/>
          <w:szCs w:val="44"/>
        </w:rPr>
        <w:t>事故调查报告</w:t>
      </w:r>
    </w:p>
    <w:p w14:paraId="6E5A7BFA">
      <w:pPr>
        <w:tabs>
          <w:tab w:val="left" w:pos="2880"/>
        </w:tabs>
        <w:adjustRightInd w:val="0"/>
        <w:snapToGrid w:val="0"/>
        <w:spacing w:line="600" w:lineRule="exact"/>
        <w:jc w:val="center"/>
        <w:rPr>
          <w:rFonts w:hint="eastAsia" w:ascii="方正楷体_GBK" w:hAnsi="方正楷体_GBK" w:eastAsia="方正楷体_GBK" w:cs="方正楷体_GBK"/>
          <w:color w:val="auto"/>
          <w:szCs w:val="32"/>
        </w:rPr>
      </w:pPr>
    </w:p>
    <w:p w14:paraId="31ADE601">
      <w:pPr>
        <w:spacing w:line="600" w:lineRule="exact"/>
        <w:ind w:firstLine="632" w:firstLineChars="200"/>
        <w:rPr>
          <w:rFonts w:hint="eastAsia" w:ascii="Times New Roman" w:hAnsi="Times New Roman" w:cs="Times New Roman"/>
          <w:szCs w:val="32"/>
        </w:rPr>
      </w:pPr>
      <w:r>
        <w:rPr>
          <w:rFonts w:hint="default" w:ascii="Times New Roman" w:hAnsi="Times New Roman" w:cs="Times New Roman"/>
          <w:szCs w:val="32"/>
        </w:rPr>
        <w:t>202</w:t>
      </w:r>
      <w:r>
        <w:rPr>
          <w:rFonts w:hint="eastAsia" w:ascii="Times New Roman" w:hAnsi="Times New Roman" w:cs="Times New Roman"/>
          <w:szCs w:val="32"/>
          <w:lang w:val="en-US" w:eastAsia="zh-CN"/>
        </w:rPr>
        <w:t>6</w:t>
      </w:r>
      <w:r>
        <w:rPr>
          <w:rFonts w:hint="default" w:ascii="Times New Roman" w:hAnsi="Times New Roman" w:cs="Times New Roman"/>
          <w:szCs w:val="32"/>
        </w:rPr>
        <w:t>年</w:t>
      </w:r>
      <w:r>
        <w:rPr>
          <w:rFonts w:hint="eastAsia" w:ascii="Times New Roman" w:hAnsi="Times New Roman" w:cs="Times New Roman"/>
          <w:szCs w:val="32"/>
          <w:lang w:val="en-US" w:eastAsia="zh-CN"/>
        </w:rPr>
        <w:t>3</w:t>
      </w:r>
      <w:r>
        <w:rPr>
          <w:rFonts w:hint="default" w:ascii="Times New Roman" w:hAnsi="Times New Roman" w:cs="Times New Roman"/>
          <w:szCs w:val="32"/>
        </w:rPr>
        <w:t>月</w:t>
      </w:r>
      <w:r>
        <w:rPr>
          <w:rFonts w:hint="eastAsia" w:ascii="Times New Roman" w:hAnsi="Times New Roman" w:cs="Times New Roman"/>
          <w:szCs w:val="32"/>
          <w:lang w:val="en-US" w:eastAsia="zh-CN"/>
        </w:rPr>
        <w:t>20</w:t>
      </w:r>
      <w:r>
        <w:rPr>
          <w:rFonts w:hint="default" w:ascii="Times New Roman" w:hAnsi="Times New Roman" w:cs="Times New Roman"/>
          <w:szCs w:val="32"/>
        </w:rPr>
        <w:t>日</w:t>
      </w:r>
      <w:r>
        <w:rPr>
          <w:rFonts w:hint="eastAsia" w:ascii="Times New Roman" w:hAnsi="Times New Roman" w:cs="Times New Roman"/>
          <w:szCs w:val="32"/>
          <w:lang w:val="en-US" w:eastAsia="zh-CN"/>
        </w:rPr>
        <w:t>12</w:t>
      </w:r>
      <w:r>
        <w:rPr>
          <w:rFonts w:hint="default" w:ascii="Times New Roman" w:hAnsi="Times New Roman" w:cs="Times New Roman"/>
          <w:szCs w:val="32"/>
        </w:rPr>
        <w:t>时</w:t>
      </w:r>
      <w:r>
        <w:rPr>
          <w:rFonts w:hint="eastAsia" w:ascii="Times New Roman" w:hAnsi="Times New Roman" w:cs="Times New Roman"/>
          <w:szCs w:val="32"/>
          <w:lang w:val="en-US" w:eastAsia="zh-CN"/>
        </w:rPr>
        <w:t>35</w:t>
      </w:r>
      <w:r>
        <w:rPr>
          <w:rFonts w:hint="default" w:ascii="Times New Roman" w:hAnsi="Times New Roman" w:cs="Times New Roman"/>
          <w:szCs w:val="32"/>
          <w:lang w:val="en-US" w:eastAsia="zh-CN"/>
        </w:rPr>
        <w:t>分</w:t>
      </w:r>
      <w:r>
        <w:rPr>
          <w:rFonts w:hint="default" w:ascii="Times New Roman" w:hAnsi="Times New Roman" w:cs="Times New Roman"/>
          <w:szCs w:val="32"/>
        </w:rPr>
        <w:t>许，</w:t>
      </w:r>
      <w:r>
        <w:rPr>
          <w:rFonts w:hint="eastAsia" w:hAnsi="方正仿宋_GBK"/>
          <w:color w:val="000000"/>
          <w:szCs w:val="32"/>
        </w:rPr>
        <w:t>在重庆市九龙坡区</w:t>
      </w:r>
      <w:r>
        <w:rPr>
          <w:rFonts w:hint="eastAsia" w:hAnsi="方正仿宋_GBK"/>
          <w:color w:val="000000"/>
          <w:szCs w:val="32"/>
          <w:lang w:eastAsia="zh-CN"/>
        </w:rPr>
        <w:t>中梁山街道华玉路</w:t>
      </w:r>
      <w:r>
        <w:rPr>
          <w:rFonts w:hint="eastAsia" w:hAnsi="方正仿宋_GBK"/>
          <w:color w:val="000000"/>
          <w:szCs w:val="32"/>
          <w:lang w:val="en-US" w:eastAsia="zh-CN"/>
        </w:rPr>
        <w:t>1号</w:t>
      </w:r>
      <w:r>
        <w:rPr>
          <w:rFonts w:hint="eastAsia" w:hAnsi="方正仿宋_GBK"/>
          <w:color w:val="000000"/>
          <w:szCs w:val="32"/>
        </w:rPr>
        <w:t>，重庆兴雅硕再生资源回收有限公司</w:t>
      </w:r>
      <w:r>
        <w:rPr>
          <w:rFonts w:hAnsi="方正仿宋_GBK"/>
          <w:color w:val="000000"/>
          <w:szCs w:val="32"/>
        </w:rPr>
        <w:t>发生一起</w:t>
      </w:r>
      <w:r>
        <w:rPr>
          <w:rFonts w:hint="eastAsia" w:hAnsi="方正仿宋_GBK"/>
          <w:color w:val="000000"/>
          <w:szCs w:val="32"/>
          <w:lang w:eastAsia="zh-CN"/>
        </w:rPr>
        <w:t>一般起重伤害</w:t>
      </w:r>
      <w:r>
        <w:rPr>
          <w:rFonts w:hAnsi="方正仿宋_GBK"/>
          <w:color w:val="000000"/>
          <w:szCs w:val="32"/>
        </w:rPr>
        <w:t>事故，</w:t>
      </w:r>
      <w:r>
        <w:rPr>
          <w:rFonts w:hint="eastAsia" w:ascii="Times New Roman" w:hAnsi="Times New Roman" w:cs="Times New Roman"/>
          <w:szCs w:val="32"/>
        </w:rPr>
        <w:t>造成1人死亡，直接经济损失</w:t>
      </w:r>
      <w:r>
        <w:rPr>
          <w:rFonts w:hint="eastAsia" w:ascii="Times New Roman" w:hAnsi="Times New Roman" w:cs="Times New Roman"/>
          <w:szCs w:val="32"/>
          <w:lang w:eastAsia="zh-CN"/>
        </w:rPr>
        <w:t>约</w:t>
      </w:r>
      <w:r>
        <w:rPr>
          <w:rFonts w:hint="eastAsia" w:ascii="Times New Roman" w:hAnsi="Times New Roman" w:cs="Times New Roman"/>
          <w:color w:val="auto"/>
          <w:szCs w:val="32"/>
          <w:lang w:val="en-US" w:eastAsia="zh-CN"/>
        </w:rPr>
        <w:t>130</w:t>
      </w:r>
      <w:r>
        <w:rPr>
          <w:rFonts w:hint="eastAsia" w:ascii="Times New Roman" w:hAnsi="Times New Roman" w:cs="Times New Roman"/>
          <w:szCs w:val="32"/>
        </w:rPr>
        <w:t>万元。</w:t>
      </w:r>
    </w:p>
    <w:p w14:paraId="7898E68C">
      <w:pPr>
        <w:spacing w:line="600" w:lineRule="exact"/>
        <w:ind w:firstLine="632" w:firstLineChars="200"/>
        <w:rPr>
          <w:rFonts w:hint="eastAsia" w:ascii="Times New Roman" w:hAnsi="Times New Roman" w:cs="Times New Roman"/>
          <w:szCs w:val="32"/>
        </w:rPr>
      </w:pPr>
      <w:r>
        <w:rPr>
          <w:rFonts w:hint="eastAsia" w:ascii="Times New Roman" w:hAnsi="Times New Roman" w:cs="Times New Roman"/>
          <w:szCs w:val="32"/>
        </w:rPr>
        <w:t>事故发生后，依据《中华人民共和国安全生产法》《生产安全事故报告和调查处理条例》《重庆市安全生产条例》等有关法律法规</w:t>
      </w:r>
      <w:r>
        <w:rPr>
          <w:rFonts w:hint="eastAsia" w:ascii="Times New Roman" w:hAnsi="Times New Roman" w:cs="Times New Roman"/>
          <w:szCs w:val="32"/>
          <w:lang w:eastAsia="zh-CN"/>
        </w:rPr>
        <w:t>的规定</w:t>
      </w:r>
      <w:r>
        <w:rPr>
          <w:rFonts w:hint="eastAsia" w:ascii="Times New Roman" w:hAnsi="Times New Roman" w:cs="Times New Roman"/>
          <w:szCs w:val="32"/>
        </w:rPr>
        <w:t>，区应急管理局受区政府委托，成立了由区应急管理局</w:t>
      </w:r>
      <w:r>
        <w:rPr>
          <w:rFonts w:hint="eastAsia" w:ascii="Times New Roman" w:hAnsi="Times New Roman" w:cs="Times New Roman"/>
          <w:szCs w:val="32"/>
          <w:lang w:eastAsia="zh-CN"/>
        </w:rPr>
        <w:t>牵头，</w:t>
      </w:r>
      <w:r>
        <w:rPr>
          <w:rFonts w:hint="eastAsia" w:ascii="Times New Roman" w:hAnsi="Times New Roman" w:cs="Times New Roman"/>
          <w:szCs w:val="32"/>
        </w:rPr>
        <w:t>区公安分局、区总工会、</w:t>
      </w:r>
      <w:r>
        <w:rPr>
          <w:rFonts w:hint="eastAsia" w:ascii="Times New Roman" w:hAnsi="Times New Roman" w:cs="Times New Roman"/>
          <w:szCs w:val="32"/>
          <w:lang w:eastAsia="zh-CN"/>
        </w:rPr>
        <w:t>区商务委</w:t>
      </w:r>
      <w:r>
        <w:rPr>
          <w:rFonts w:hint="eastAsia" w:ascii="Times New Roman" w:hAnsi="Times New Roman" w:cs="Times New Roman"/>
          <w:szCs w:val="32"/>
        </w:rPr>
        <w:t>、</w:t>
      </w:r>
      <w:r>
        <w:rPr>
          <w:rFonts w:hint="eastAsia" w:ascii="Times New Roman" w:hAnsi="Times New Roman" w:cs="Times New Roman"/>
          <w:szCs w:val="32"/>
          <w:lang w:eastAsia="zh-CN"/>
        </w:rPr>
        <w:t>中梁山街道办事处</w:t>
      </w:r>
      <w:r>
        <w:rPr>
          <w:rFonts w:hint="eastAsia" w:ascii="Times New Roman" w:hAnsi="Times New Roman" w:cs="Times New Roman"/>
          <w:szCs w:val="32"/>
        </w:rPr>
        <w:t>派人参加的</w:t>
      </w:r>
      <w:r>
        <w:rPr>
          <w:rFonts w:hint="eastAsia" w:ascii="Times New Roman" w:hAnsi="Times New Roman" w:cs="Times New Roman"/>
          <w:szCs w:val="32"/>
          <w:lang w:val="en-US" w:eastAsia="zh-CN"/>
        </w:rPr>
        <w:t>九龙坡中梁山重庆兴雅硕再生资源回收有限公司“3·20”一般起重伤害事故</w:t>
      </w:r>
      <w:r>
        <w:rPr>
          <w:rFonts w:hint="eastAsia" w:ascii="Times New Roman" w:hAnsi="Times New Roman" w:cs="Times New Roman"/>
          <w:szCs w:val="32"/>
        </w:rPr>
        <w:t>调查组，并邀请区纪委监委机关、区检察院派人参加。调查组全面负责事故调查工作。</w:t>
      </w:r>
    </w:p>
    <w:p w14:paraId="23155EF5">
      <w:pPr>
        <w:spacing w:line="600" w:lineRule="exact"/>
        <w:ind w:firstLine="632" w:firstLineChars="200"/>
        <w:rPr>
          <w:rFonts w:hint="eastAsia" w:ascii="Times New Roman" w:hAnsi="Times New Roman" w:cs="Times New Roman"/>
          <w:szCs w:val="32"/>
        </w:rPr>
      </w:pPr>
      <w:r>
        <w:rPr>
          <w:rFonts w:hint="eastAsia" w:ascii="Times New Roman" w:hAnsi="Times New Roman" w:cs="Times New Roman"/>
          <w:szCs w:val="32"/>
        </w:rPr>
        <w:t>调查组</w:t>
      </w:r>
      <w:r>
        <w:rPr>
          <w:rFonts w:hint="eastAsia" w:ascii="Times New Roman" w:hAnsi="Times New Roman" w:cs="Times New Roman"/>
          <w:szCs w:val="32"/>
          <w:lang w:eastAsia="zh-CN"/>
        </w:rPr>
        <w:t>按照</w:t>
      </w:r>
      <w:r>
        <w:rPr>
          <w:rFonts w:hint="eastAsia" w:ascii="Times New Roman" w:hAnsi="Times New Roman" w:cs="Times New Roman"/>
          <w:szCs w:val="32"/>
        </w:rPr>
        <w:t>科学严谨、依法依规、实事求是、注重实效的</w:t>
      </w:r>
      <w:r>
        <w:rPr>
          <w:rFonts w:hint="eastAsia" w:ascii="Times New Roman" w:hAnsi="Times New Roman" w:cs="Times New Roman"/>
          <w:szCs w:val="32"/>
          <w:lang w:eastAsia="zh-CN"/>
        </w:rPr>
        <w:t>原则，通</w:t>
      </w:r>
      <w:r>
        <w:rPr>
          <w:rFonts w:hint="eastAsia" w:ascii="Times New Roman" w:hAnsi="Times New Roman" w:cs="Times New Roman"/>
          <w:szCs w:val="32"/>
        </w:rPr>
        <w:t>过调查取证和综合分析，查明了事故发生的经过、原因、人员伤亡和直接经济损失情况，认定了事故的性质和责任，提出了对有关责任人员和责任单位的处理建议，总结了事故教训，提出了整改和防范措施建议。</w:t>
      </w:r>
    </w:p>
    <w:p w14:paraId="33C43DE1">
      <w:pPr>
        <w:spacing w:line="600" w:lineRule="exact"/>
        <w:ind w:firstLine="632" w:firstLineChars="200"/>
        <w:rPr>
          <w:rFonts w:hint="eastAsia" w:ascii="Times New Roman" w:hAnsi="Times New Roman" w:cs="Times New Roman"/>
          <w:szCs w:val="32"/>
        </w:rPr>
      </w:pPr>
      <w:r>
        <w:rPr>
          <w:rFonts w:hint="eastAsia" w:ascii="Times New Roman" w:hAnsi="Times New Roman" w:cs="Times New Roman"/>
          <w:szCs w:val="32"/>
          <w:lang w:eastAsia="zh-CN"/>
        </w:rPr>
        <w:t>经</w:t>
      </w:r>
      <w:r>
        <w:rPr>
          <w:rFonts w:hint="eastAsia" w:ascii="Times New Roman" w:hAnsi="Times New Roman" w:cs="Times New Roman"/>
          <w:szCs w:val="32"/>
        </w:rPr>
        <w:t>调查认定</w:t>
      </w:r>
      <w:r>
        <w:rPr>
          <w:rFonts w:hint="eastAsia" w:ascii="Times New Roman" w:hAnsi="Times New Roman" w:cs="Times New Roman"/>
          <w:szCs w:val="32"/>
          <w:lang w:eastAsia="zh-CN"/>
        </w:rPr>
        <w:t>，</w:t>
      </w:r>
      <w:r>
        <w:rPr>
          <w:rFonts w:hint="eastAsia" w:ascii="Times New Roman" w:hAnsi="Times New Roman" w:cs="Times New Roman"/>
          <w:szCs w:val="32"/>
          <w:lang w:val="en-US" w:eastAsia="zh-CN"/>
        </w:rPr>
        <w:t>九龙坡中梁山重庆兴雅硕再生资源回收有限公司“3·20”一般起重伤害事故</w:t>
      </w:r>
      <w:r>
        <w:rPr>
          <w:rFonts w:hint="eastAsia" w:ascii="Times New Roman" w:hAnsi="Times New Roman" w:cs="Times New Roman"/>
          <w:szCs w:val="32"/>
          <w:lang w:eastAsia="zh-CN"/>
        </w:rPr>
        <w:t>是一起</w:t>
      </w:r>
      <w:r>
        <w:rPr>
          <w:rFonts w:hint="eastAsia" w:ascii="Times New Roman" w:hAnsi="Times New Roman" w:cs="Times New Roman"/>
          <w:szCs w:val="32"/>
        </w:rPr>
        <w:t>生产安全责任事故。</w:t>
      </w:r>
    </w:p>
    <w:p w14:paraId="432AD51B">
      <w:pPr>
        <w:spacing w:line="600" w:lineRule="exact"/>
        <w:ind w:firstLine="632" w:firstLineChars="200"/>
        <w:outlineLvl w:val="0"/>
        <w:rPr>
          <w:rFonts w:hint="eastAsia" w:ascii="方正黑体_GBK" w:hAnsi="方正黑体_GBK" w:eastAsia="方正黑体_GBK" w:cs="方正黑体_GBK"/>
          <w:szCs w:val="32"/>
          <w:lang w:val="en-US" w:eastAsia="zh-CN"/>
        </w:rPr>
      </w:pPr>
      <w:bookmarkStart w:id="6" w:name="_Toc499831713"/>
      <w:bookmarkStart w:id="7" w:name="_Toc30430"/>
      <w:bookmarkStart w:id="8" w:name="_Toc12159"/>
      <w:bookmarkStart w:id="9" w:name="_Toc29618"/>
      <w:bookmarkStart w:id="10" w:name="_Toc27953"/>
      <w:r>
        <w:rPr>
          <w:rFonts w:hint="eastAsia" w:ascii="方正黑体_GBK" w:hAnsi="方正黑体_GBK" w:eastAsia="方正黑体_GBK" w:cs="方正黑体_GBK"/>
          <w:szCs w:val="32"/>
          <w:lang w:val="en-US" w:eastAsia="zh-CN"/>
        </w:rPr>
        <w:t>一、事故基本情况</w:t>
      </w:r>
      <w:bookmarkEnd w:id="6"/>
      <w:bookmarkEnd w:id="7"/>
      <w:bookmarkEnd w:id="8"/>
      <w:bookmarkEnd w:id="9"/>
      <w:bookmarkEnd w:id="10"/>
    </w:p>
    <w:p w14:paraId="04C7E05C">
      <w:pPr>
        <w:spacing w:line="600" w:lineRule="exact"/>
        <w:ind w:firstLine="632" w:firstLineChars="200"/>
        <w:outlineLvl w:val="1"/>
        <w:rPr>
          <w:rFonts w:hint="eastAsia" w:ascii="方正楷体_GBK" w:hAnsi="方正楷体_GBK" w:eastAsia="方正楷体_GBK" w:cs="方正楷体_GBK"/>
          <w:szCs w:val="32"/>
          <w:lang w:val="en-US" w:eastAsia="zh-CN"/>
        </w:rPr>
      </w:pPr>
      <w:bookmarkStart w:id="11" w:name="_Toc25498"/>
      <w:bookmarkStart w:id="12" w:name="_Toc28283"/>
      <w:bookmarkStart w:id="13" w:name="_Toc22634"/>
      <w:bookmarkStart w:id="14" w:name="_Toc10103"/>
      <w:r>
        <w:rPr>
          <w:rFonts w:hint="eastAsia" w:ascii="方正楷体_GBK" w:hAnsi="方正楷体_GBK" w:eastAsia="方正楷体_GBK" w:cs="方正楷体_GBK"/>
          <w:szCs w:val="32"/>
          <w:lang w:val="en-US" w:eastAsia="zh-CN"/>
        </w:rPr>
        <w:t>（一）事故发生单位概况</w:t>
      </w:r>
      <w:bookmarkEnd w:id="11"/>
      <w:bookmarkEnd w:id="12"/>
      <w:bookmarkEnd w:id="13"/>
      <w:bookmarkEnd w:id="14"/>
    </w:p>
    <w:p w14:paraId="09646C96">
      <w:pPr>
        <w:spacing w:line="600" w:lineRule="exact"/>
        <w:ind w:firstLine="632" w:firstLineChars="200"/>
        <w:rPr>
          <w:rFonts w:hint="eastAsia" w:ascii="Times New Roman" w:hAnsi="Times New Roman" w:cs="Times New Roman"/>
          <w:szCs w:val="32"/>
        </w:rPr>
      </w:pPr>
      <w:r>
        <w:rPr>
          <w:rFonts w:hint="eastAsia" w:ascii="Times New Roman" w:hAnsi="Times New Roman" w:cs="Times New Roman"/>
          <w:szCs w:val="32"/>
        </w:rPr>
        <w:t>名称：</w:t>
      </w:r>
      <w:r>
        <w:rPr>
          <w:rFonts w:hint="eastAsia" w:ascii="Times New Roman" w:hAnsi="Times New Roman" w:cs="Times New Roman"/>
          <w:szCs w:val="32"/>
          <w:lang w:eastAsia="zh-CN"/>
        </w:rPr>
        <w:t>重庆兴雅硕再生资源回收有限公司</w:t>
      </w:r>
      <w:r>
        <w:rPr>
          <w:rFonts w:hint="eastAsia" w:ascii="Times New Roman" w:hAnsi="Times New Roman" w:cs="Times New Roman"/>
          <w:szCs w:val="32"/>
        </w:rPr>
        <w:t>（以下简称</w:t>
      </w:r>
      <w:r>
        <w:rPr>
          <w:rFonts w:hint="eastAsia" w:ascii="Times New Roman" w:hAnsi="Times New Roman" w:cs="Times New Roman"/>
          <w:szCs w:val="32"/>
          <w:lang w:eastAsia="zh-CN"/>
        </w:rPr>
        <w:t>兴雅硕公司</w:t>
      </w:r>
      <w:r>
        <w:rPr>
          <w:rFonts w:hint="eastAsia" w:ascii="Times New Roman" w:hAnsi="Times New Roman" w:cs="Times New Roman"/>
          <w:szCs w:val="32"/>
        </w:rPr>
        <w:t>）；</w:t>
      </w:r>
      <w:r>
        <w:rPr>
          <w:rFonts w:hint="default" w:ascii="Times New Roman" w:hAnsi="Times New Roman" w:cs="Times New Roman"/>
          <w:szCs w:val="32"/>
        </w:rPr>
        <w:t>统一社会信用代码：</w:t>
      </w:r>
      <w:r>
        <w:rPr>
          <w:rFonts w:hint="eastAsia" w:ascii="Times New Roman" w:hAnsi="Times New Roman" w:cs="Times New Roman"/>
          <w:szCs w:val="32"/>
          <w:lang w:eastAsia="zh-CN"/>
        </w:rPr>
        <w:t>91500107MAABXA7Y5U</w:t>
      </w:r>
      <w:r>
        <w:rPr>
          <w:rFonts w:hint="eastAsia" w:ascii="Times New Roman" w:hAnsi="Times New Roman" w:cs="Times New Roman"/>
          <w:szCs w:val="32"/>
        </w:rPr>
        <w:t>；</w:t>
      </w:r>
      <w:r>
        <w:rPr>
          <w:rFonts w:hint="default" w:ascii="Times New Roman" w:hAnsi="Times New Roman" w:cs="Times New Roman"/>
          <w:szCs w:val="32"/>
        </w:rPr>
        <w:t>注册资本：</w:t>
      </w:r>
      <w:r>
        <w:rPr>
          <w:rFonts w:hint="eastAsia" w:ascii="Times New Roman" w:hAnsi="Times New Roman" w:cs="Times New Roman"/>
          <w:szCs w:val="32"/>
          <w:lang w:val="en-US" w:eastAsia="zh-CN"/>
        </w:rPr>
        <w:t>1</w:t>
      </w:r>
      <w:r>
        <w:rPr>
          <w:rFonts w:hint="eastAsia" w:ascii="Times New Roman" w:hAnsi="Times New Roman" w:cs="Times New Roman"/>
          <w:szCs w:val="32"/>
        </w:rPr>
        <w:t>0</w:t>
      </w:r>
      <w:r>
        <w:rPr>
          <w:rFonts w:hint="default" w:ascii="Times New Roman" w:hAnsi="Times New Roman" w:cs="Times New Roman"/>
          <w:szCs w:val="32"/>
        </w:rPr>
        <w:t>万元</w:t>
      </w:r>
      <w:r>
        <w:rPr>
          <w:rFonts w:hint="eastAsia" w:ascii="Times New Roman" w:hAnsi="Times New Roman" w:cs="Times New Roman"/>
          <w:szCs w:val="32"/>
        </w:rPr>
        <w:t>；类型：有限</w:t>
      </w:r>
      <w:r>
        <w:rPr>
          <w:rFonts w:hint="eastAsia" w:ascii="Times New Roman" w:hAnsi="Times New Roman" w:cs="Times New Roman"/>
          <w:szCs w:val="32"/>
          <w:lang w:eastAsia="zh-CN"/>
        </w:rPr>
        <w:t>责任</w:t>
      </w:r>
      <w:r>
        <w:rPr>
          <w:rFonts w:hint="eastAsia" w:ascii="Times New Roman" w:hAnsi="Times New Roman" w:cs="Times New Roman"/>
          <w:szCs w:val="32"/>
        </w:rPr>
        <w:t>公司（自然人</w:t>
      </w:r>
      <w:r>
        <w:rPr>
          <w:rFonts w:hint="eastAsia" w:ascii="Times New Roman" w:hAnsi="Times New Roman" w:cs="Times New Roman"/>
          <w:szCs w:val="32"/>
          <w:lang w:eastAsia="zh-CN"/>
        </w:rPr>
        <w:t>独资</w:t>
      </w:r>
      <w:r>
        <w:rPr>
          <w:rFonts w:hint="eastAsia" w:ascii="Times New Roman" w:hAnsi="Times New Roman" w:cs="Times New Roman"/>
          <w:szCs w:val="32"/>
        </w:rPr>
        <w:t>）；</w:t>
      </w:r>
      <w:r>
        <w:rPr>
          <w:rFonts w:hint="default" w:ascii="Times New Roman" w:hAnsi="Times New Roman" w:cs="Times New Roman"/>
          <w:szCs w:val="32"/>
        </w:rPr>
        <w:t>成立</w:t>
      </w:r>
      <w:r>
        <w:rPr>
          <w:rFonts w:hint="eastAsia" w:ascii="Times New Roman" w:hAnsi="Times New Roman" w:cs="Times New Roman"/>
          <w:szCs w:val="32"/>
        </w:rPr>
        <w:t>日期：</w:t>
      </w:r>
      <w:r>
        <w:rPr>
          <w:rFonts w:hint="eastAsia" w:ascii="Times New Roman" w:hAnsi="Times New Roman" w:cs="Times New Roman"/>
          <w:szCs w:val="32"/>
          <w:lang w:val="en-US" w:eastAsia="zh-CN"/>
        </w:rPr>
        <w:t>2021</w:t>
      </w:r>
      <w:r>
        <w:rPr>
          <w:rFonts w:hint="default" w:ascii="Times New Roman" w:hAnsi="Times New Roman" w:cs="Times New Roman"/>
          <w:szCs w:val="32"/>
        </w:rPr>
        <w:t>年</w:t>
      </w:r>
      <w:r>
        <w:rPr>
          <w:rFonts w:hint="eastAsia" w:ascii="Times New Roman" w:hAnsi="Times New Roman" w:cs="Times New Roman"/>
          <w:szCs w:val="32"/>
          <w:lang w:val="en-US" w:eastAsia="zh-CN"/>
        </w:rPr>
        <w:t>8</w:t>
      </w:r>
      <w:r>
        <w:rPr>
          <w:rFonts w:hint="default" w:ascii="Times New Roman" w:hAnsi="Times New Roman" w:cs="Times New Roman"/>
          <w:szCs w:val="32"/>
        </w:rPr>
        <w:t>月</w:t>
      </w:r>
      <w:r>
        <w:rPr>
          <w:rFonts w:hint="eastAsia" w:ascii="Times New Roman" w:hAnsi="Times New Roman" w:cs="Times New Roman"/>
          <w:szCs w:val="32"/>
          <w:lang w:val="en-US" w:eastAsia="zh-CN"/>
        </w:rPr>
        <w:t>12</w:t>
      </w:r>
      <w:r>
        <w:rPr>
          <w:rFonts w:hint="default" w:ascii="Times New Roman" w:hAnsi="Times New Roman" w:cs="Times New Roman"/>
          <w:szCs w:val="32"/>
        </w:rPr>
        <w:t>日</w:t>
      </w:r>
      <w:r>
        <w:rPr>
          <w:rFonts w:hint="eastAsia" w:ascii="Times New Roman" w:hAnsi="Times New Roman" w:cs="Times New Roman"/>
          <w:szCs w:val="32"/>
        </w:rPr>
        <w:t>；</w:t>
      </w:r>
      <w:r>
        <w:rPr>
          <w:rFonts w:hint="default" w:ascii="Times New Roman" w:hAnsi="Times New Roman" w:cs="Times New Roman"/>
          <w:szCs w:val="32"/>
        </w:rPr>
        <w:t>法定代表人：</w:t>
      </w:r>
      <w:r>
        <w:rPr>
          <w:rFonts w:hint="eastAsia" w:ascii="Times New Roman" w:hAnsi="Times New Roman" w:cs="Times New Roman"/>
          <w:szCs w:val="32"/>
          <w:lang w:eastAsia="zh-CN"/>
        </w:rPr>
        <w:t>胡*</w:t>
      </w:r>
      <w:r>
        <w:rPr>
          <w:rFonts w:hint="eastAsia" w:ascii="Times New Roman" w:hAnsi="Times New Roman" w:cs="Times New Roman"/>
          <w:szCs w:val="32"/>
        </w:rPr>
        <w:t>；营业期限：</w:t>
      </w:r>
      <w:r>
        <w:rPr>
          <w:rFonts w:hint="eastAsia" w:ascii="Times New Roman" w:hAnsi="Times New Roman" w:cs="Times New Roman"/>
          <w:szCs w:val="32"/>
          <w:lang w:val="en-US" w:eastAsia="zh-CN"/>
        </w:rPr>
        <w:t>2021</w:t>
      </w:r>
      <w:r>
        <w:rPr>
          <w:rFonts w:hint="default" w:ascii="Times New Roman" w:hAnsi="Times New Roman" w:cs="Times New Roman"/>
          <w:szCs w:val="32"/>
        </w:rPr>
        <w:t>年</w:t>
      </w:r>
      <w:r>
        <w:rPr>
          <w:rFonts w:hint="eastAsia" w:ascii="Times New Roman" w:hAnsi="Times New Roman" w:cs="Times New Roman"/>
          <w:szCs w:val="32"/>
          <w:lang w:val="en-US" w:eastAsia="zh-CN"/>
        </w:rPr>
        <w:t>8</w:t>
      </w:r>
      <w:r>
        <w:rPr>
          <w:rFonts w:hint="default" w:ascii="Times New Roman" w:hAnsi="Times New Roman" w:cs="Times New Roman"/>
          <w:szCs w:val="32"/>
        </w:rPr>
        <w:t>月</w:t>
      </w:r>
      <w:r>
        <w:rPr>
          <w:rFonts w:hint="eastAsia" w:ascii="Times New Roman" w:hAnsi="Times New Roman" w:cs="Times New Roman"/>
          <w:szCs w:val="32"/>
          <w:lang w:val="en-US" w:eastAsia="zh-CN"/>
        </w:rPr>
        <w:t>12</w:t>
      </w:r>
      <w:r>
        <w:rPr>
          <w:rFonts w:hint="default" w:ascii="Times New Roman" w:hAnsi="Times New Roman" w:cs="Times New Roman"/>
          <w:szCs w:val="32"/>
        </w:rPr>
        <w:t>日</w:t>
      </w:r>
      <w:r>
        <w:rPr>
          <w:rFonts w:hint="eastAsia" w:ascii="Times New Roman" w:hAnsi="Times New Roman" w:cs="Times New Roman"/>
          <w:szCs w:val="32"/>
        </w:rPr>
        <w:t>至无固定期限；住所</w:t>
      </w:r>
      <w:r>
        <w:rPr>
          <w:rFonts w:hint="default" w:ascii="Times New Roman" w:hAnsi="Times New Roman" w:cs="Times New Roman"/>
          <w:szCs w:val="32"/>
        </w:rPr>
        <w:t>：</w:t>
      </w:r>
      <w:r>
        <w:rPr>
          <w:rFonts w:hint="eastAsia" w:ascii="Times New Roman" w:hAnsi="Times New Roman" w:cs="Times New Roman"/>
          <w:szCs w:val="32"/>
          <w:lang w:eastAsia="zh-CN"/>
        </w:rPr>
        <w:t>重庆市九龙坡区华岩镇田坝一村17号2幢附1号</w:t>
      </w:r>
      <w:r>
        <w:rPr>
          <w:rFonts w:hint="eastAsia" w:ascii="Times New Roman" w:hAnsi="Times New Roman" w:cs="Times New Roman"/>
          <w:szCs w:val="32"/>
        </w:rPr>
        <w:t>；经营范围：许可项目：各类工程建设活动；报废电动汽车回收拆解；城市生活垃圾经营性服务；城市建筑垃圾处置（清运）；船舶拆除；危险废物经营。（依法须经批准的项目，经相关部门批准后方可开展经营活动，具体经营项目以相关部门批准文件或许可证件为准）</w:t>
      </w:r>
      <w:r>
        <w:rPr>
          <w:rFonts w:hint="eastAsia" w:ascii="Times New Roman" w:hAnsi="Times New Roman" w:cs="Times New Roman"/>
          <w:szCs w:val="32"/>
          <w:lang w:eastAsia="zh-CN"/>
        </w:rPr>
        <w:t>；</w:t>
      </w:r>
      <w:r>
        <w:rPr>
          <w:rFonts w:hint="eastAsia" w:ascii="Times New Roman" w:hAnsi="Times New Roman" w:cs="Times New Roman"/>
          <w:szCs w:val="32"/>
        </w:rPr>
        <w:t>一般项目：再生资源回收（除生产性废旧金属）；生产性废旧金属回收；再生资源加工；再生资源销售；电线、电缆经营；特种设备销售；电力电子元器件销售；电力设施器材销售；纸制品销售；交通及公共管理用标牌销售；电子产品销售；计算机软硬件及辅助设备批发；计算机软硬件及辅助设备零售；机械电气设备销售；化工产品销售（不含许可类化工产品）；五金产品批发；五金产品零售；金属材料销售；建筑材料销售；机械设备销售；机械设备租赁；普通货物仓储服务（不含危险化学品等需许可审批的项目）；国内货物运输代理；国际货物运输代理；制冷、空调设备销售；金属结构销售；泵及真空设备销售；普通机械设备安装服务；家政服务；建筑物清洁服务；专业保洁、清洗、消毒服务；园林绿化工程施工；城市绿化管理；规划设计管理。（除依法须经批准的项目外，凭营业执照依法自主开展经营活动）</w:t>
      </w:r>
      <w:r>
        <w:rPr>
          <w:rFonts w:hint="eastAsia" w:ascii="Times New Roman" w:hAnsi="Times New Roman" w:cs="Times New Roman"/>
          <w:szCs w:val="32"/>
          <w:lang w:eastAsia="zh-CN"/>
        </w:rPr>
        <w:t>。</w:t>
      </w:r>
    </w:p>
    <w:p w14:paraId="09B2D58C">
      <w:pPr>
        <w:spacing w:line="600" w:lineRule="exact"/>
        <w:ind w:firstLine="632" w:firstLineChars="200"/>
        <w:outlineLvl w:val="1"/>
        <w:rPr>
          <w:rFonts w:hint="eastAsia" w:ascii="方正楷体_GBK" w:hAnsi="方正楷体_GBK" w:eastAsia="方正楷体_GBK" w:cs="方正楷体_GBK"/>
          <w:szCs w:val="32"/>
          <w:lang w:val="en-US" w:eastAsia="zh-CN"/>
        </w:rPr>
      </w:pPr>
      <w:bookmarkStart w:id="15" w:name="_Toc19309"/>
      <w:bookmarkStart w:id="16" w:name="_Toc1633"/>
      <w:bookmarkStart w:id="17" w:name="_Toc3499"/>
      <w:bookmarkStart w:id="18" w:name="_Toc23615"/>
      <w:r>
        <w:rPr>
          <w:rFonts w:hint="eastAsia" w:ascii="方正楷体_GBK" w:hAnsi="方正楷体_GBK" w:eastAsia="方正楷体_GBK" w:cs="方正楷体_GBK"/>
          <w:szCs w:val="32"/>
          <w:lang w:val="en-US" w:eastAsia="zh-CN"/>
        </w:rPr>
        <w:t>（二）事故发生经过</w:t>
      </w:r>
      <w:bookmarkEnd w:id="15"/>
      <w:bookmarkEnd w:id="16"/>
      <w:bookmarkEnd w:id="17"/>
      <w:bookmarkEnd w:id="18"/>
    </w:p>
    <w:p w14:paraId="7915BDAA">
      <w:pPr>
        <w:spacing w:line="600" w:lineRule="exact"/>
        <w:ind w:firstLine="632" w:firstLineChars="200"/>
        <w:rPr>
          <w:rFonts w:hint="eastAsia" w:hAnsi="方正仿宋_GBK"/>
          <w:color w:val="000000"/>
          <w:szCs w:val="32"/>
          <w:lang w:val="en-US" w:eastAsia="zh-CN"/>
        </w:rPr>
      </w:pPr>
      <w:r>
        <w:rPr>
          <w:rFonts w:hint="default" w:ascii="Times New Roman" w:hAnsi="Times New Roman" w:cs="Times New Roman"/>
          <w:color w:val="auto"/>
          <w:szCs w:val="32"/>
        </w:rPr>
        <w:t>202</w:t>
      </w:r>
      <w:r>
        <w:rPr>
          <w:rFonts w:hint="eastAsia" w:ascii="Times New Roman" w:hAnsi="Times New Roman" w:cs="Times New Roman"/>
          <w:color w:val="auto"/>
          <w:szCs w:val="32"/>
          <w:lang w:val="en-US" w:eastAsia="zh-CN"/>
        </w:rPr>
        <w:t>6</w:t>
      </w:r>
      <w:r>
        <w:rPr>
          <w:rFonts w:hint="default" w:ascii="Times New Roman" w:hAnsi="Times New Roman" w:cs="Times New Roman"/>
          <w:color w:val="auto"/>
          <w:szCs w:val="32"/>
        </w:rPr>
        <w:t>年</w:t>
      </w:r>
      <w:r>
        <w:rPr>
          <w:rFonts w:hint="eastAsia" w:ascii="Times New Roman" w:hAnsi="Times New Roman" w:cs="Times New Roman"/>
          <w:color w:val="auto"/>
          <w:szCs w:val="32"/>
          <w:lang w:val="en-US" w:eastAsia="zh-CN"/>
        </w:rPr>
        <w:t>3</w:t>
      </w:r>
      <w:r>
        <w:rPr>
          <w:rFonts w:hint="default" w:ascii="Times New Roman" w:hAnsi="Times New Roman" w:cs="Times New Roman"/>
          <w:color w:val="auto"/>
          <w:szCs w:val="32"/>
        </w:rPr>
        <w:t>月</w:t>
      </w:r>
      <w:r>
        <w:rPr>
          <w:rFonts w:hint="eastAsia" w:ascii="Times New Roman" w:hAnsi="Times New Roman" w:cs="Times New Roman"/>
          <w:color w:val="auto"/>
          <w:szCs w:val="32"/>
          <w:lang w:val="en-US" w:eastAsia="zh-CN"/>
        </w:rPr>
        <w:t>20</w:t>
      </w:r>
      <w:r>
        <w:rPr>
          <w:rFonts w:hint="default" w:ascii="Times New Roman" w:hAnsi="Times New Roman" w:cs="Times New Roman"/>
          <w:color w:val="auto"/>
          <w:szCs w:val="32"/>
        </w:rPr>
        <w:t>日</w:t>
      </w:r>
      <w:r>
        <w:rPr>
          <w:rFonts w:hint="default" w:ascii="Times New Roman" w:hAnsi="Times New Roman" w:cs="Times New Roman"/>
          <w:color w:val="auto"/>
          <w:szCs w:val="32"/>
          <w:lang w:val="en-US" w:eastAsia="zh-CN"/>
        </w:rPr>
        <w:t>，</w:t>
      </w:r>
      <w:r>
        <w:rPr>
          <w:rFonts w:hint="eastAsia" w:ascii="Times New Roman" w:hAnsi="Times New Roman" w:cs="Times New Roman"/>
          <w:color w:val="auto"/>
          <w:szCs w:val="32"/>
          <w:lang w:eastAsia="zh-CN"/>
        </w:rPr>
        <w:t>在</w:t>
      </w:r>
      <w:r>
        <w:rPr>
          <w:rFonts w:hint="eastAsia" w:hAnsi="方正仿宋_GBK"/>
          <w:color w:val="auto"/>
          <w:szCs w:val="32"/>
        </w:rPr>
        <w:t>重庆市九龙坡区</w:t>
      </w:r>
      <w:r>
        <w:rPr>
          <w:rFonts w:hint="eastAsia" w:hAnsi="方正仿宋_GBK"/>
          <w:color w:val="auto"/>
          <w:szCs w:val="32"/>
          <w:lang w:eastAsia="zh-CN"/>
        </w:rPr>
        <w:t>中梁山街道华玉路</w:t>
      </w:r>
      <w:r>
        <w:rPr>
          <w:rFonts w:hint="eastAsia" w:hAnsi="方正仿宋_GBK"/>
          <w:color w:val="auto"/>
          <w:szCs w:val="32"/>
          <w:lang w:val="en-US" w:eastAsia="zh-CN"/>
        </w:rPr>
        <w:t>1号的重庆圣玉智慧共享物流园一间厂房内，</w:t>
      </w:r>
      <w:r>
        <w:rPr>
          <w:rFonts w:hint="eastAsia" w:ascii="Times New Roman" w:hAnsi="Times New Roman" w:cs="Times New Roman"/>
          <w:color w:val="auto"/>
          <w:szCs w:val="32"/>
          <w:lang w:eastAsia="zh-CN"/>
        </w:rPr>
        <w:t>兴雅硕公司临时雇佣</w:t>
      </w:r>
      <w:r>
        <w:rPr>
          <w:rFonts w:hint="eastAsia" w:ascii="Times New Roman" w:hAnsi="Times New Roman" w:cs="Times New Roman"/>
          <w:color w:val="auto"/>
          <w:szCs w:val="32"/>
          <w:lang w:val="en-US" w:eastAsia="zh-CN"/>
        </w:rPr>
        <w:t>3名工人（1名</w:t>
      </w:r>
      <w:r>
        <w:rPr>
          <w:rFonts w:hint="eastAsia" w:ascii="Times New Roman" w:hAnsi="Times New Roman" w:cs="Times New Roman"/>
          <w:color w:val="auto"/>
          <w:szCs w:val="32"/>
          <w:lang w:eastAsia="zh-CN"/>
        </w:rPr>
        <w:t>汽车起重机司机和</w:t>
      </w:r>
      <w:r>
        <w:rPr>
          <w:rFonts w:hint="eastAsia" w:ascii="Times New Roman" w:hAnsi="Times New Roman" w:cs="Times New Roman"/>
          <w:color w:val="auto"/>
          <w:szCs w:val="32"/>
          <w:lang w:val="en-US" w:eastAsia="zh-CN"/>
        </w:rPr>
        <w:t>2名搬运工）转运废旧设备</w:t>
      </w:r>
      <w:r>
        <w:rPr>
          <w:rFonts w:hint="eastAsia" w:ascii="Times New Roman" w:hAnsi="Times New Roman" w:cs="Times New Roman"/>
          <w:color w:val="auto"/>
          <w:szCs w:val="32"/>
          <w:lang w:eastAsia="zh-CN"/>
        </w:rPr>
        <w:t>。</w:t>
      </w:r>
      <w:r>
        <w:rPr>
          <w:rFonts w:hint="eastAsia" w:ascii="Times New Roman" w:hAnsi="Times New Roman" w:cs="Times New Roman"/>
          <w:color w:val="auto"/>
          <w:szCs w:val="32"/>
          <w:lang w:val="en-US" w:eastAsia="zh-CN"/>
        </w:rPr>
        <w:t>12</w:t>
      </w:r>
      <w:r>
        <w:rPr>
          <w:rFonts w:hint="default" w:ascii="Times New Roman" w:hAnsi="Times New Roman" w:cs="Times New Roman"/>
          <w:color w:val="auto"/>
          <w:szCs w:val="32"/>
        </w:rPr>
        <w:t>时</w:t>
      </w:r>
      <w:r>
        <w:rPr>
          <w:rFonts w:hint="eastAsia" w:ascii="Times New Roman" w:hAnsi="Times New Roman" w:cs="Times New Roman"/>
          <w:color w:val="auto"/>
          <w:szCs w:val="32"/>
          <w:lang w:val="en-US" w:eastAsia="zh-CN"/>
        </w:rPr>
        <w:t>35</w:t>
      </w:r>
      <w:r>
        <w:rPr>
          <w:rFonts w:hint="default" w:ascii="Times New Roman" w:hAnsi="Times New Roman" w:cs="Times New Roman"/>
          <w:color w:val="auto"/>
          <w:szCs w:val="32"/>
          <w:lang w:val="en-US" w:eastAsia="zh-CN"/>
        </w:rPr>
        <w:t>分</w:t>
      </w:r>
      <w:r>
        <w:rPr>
          <w:rFonts w:hint="default" w:ascii="Times New Roman" w:hAnsi="Times New Roman" w:cs="Times New Roman"/>
          <w:color w:val="auto"/>
          <w:szCs w:val="32"/>
        </w:rPr>
        <w:t>许</w:t>
      </w:r>
      <w:r>
        <w:rPr>
          <w:rFonts w:hint="eastAsia" w:ascii="Times New Roman" w:hAnsi="Times New Roman" w:cs="Times New Roman"/>
          <w:color w:val="auto"/>
          <w:szCs w:val="32"/>
          <w:lang w:eastAsia="zh-CN"/>
        </w:rPr>
        <w:t>，临时雇佣</w:t>
      </w:r>
      <w:r>
        <w:rPr>
          <w:rFonts w:hint="eastAsia" w:ascii="Times New Roman" w:hAnsi="Times New Roman" w:cs="Times New Roman"/>
          <w:szCs w:val="32"/>
          <w:lang w:eastAsia="zh-CN"/>
        </w:rPr>
        <w:t>汽车起重机（重型非载货专项作业车）司机刘*（起重机司机证件号码：</w:t>
      </w:r>
      <w:r>
        <w:rPr>
          <w:rFonts w:hint="eastAsia" w:cs="Times New Roman"/>
          <w:szCs w:val="32"/>
          <w:lang w:val="en-US" w:eastAsia="zh-CN"/>
        </w:rPr>
        <w:t>513921199908******</w:t>
      </w:r>
      <w:r>
        <w:rPr>
          <w:rFonts w:hint="eastAsia" w:ascii="Times New Roman" w:hAnsi="Times New Roman" w:cs="Times New Roman"/>
          <w:szCs w:val="32"/>
          <w:lang w:val="en-US" w:eastAsia="zh-CN"/>
        </w:rPr>
        <w:t>，项目代码：Q2，发证机关：重庆市九龙坡区市场监督管理局，初次领证有效日期：2022年3月26日—2026年3月25日，再次领证有效日期：2026年3月17日—2030年3月16日</w:t>
      </w:r>
      <w:r>
        <w:rPr>
          <w:rFonts w:hint="eastAsia" w:ascii="Times New Roman" w:hAnsi="Times New Roman" w:cs="Times New Roman"/>
          <w:szCs w:val="32"/>
          <w:lang w:eastAsia="zh-CN"/>
        </w:rPr>
        <w:t>）在</w:t>
      </w:r>
      <w:r>
        <w:rPr>
          <w:rFonts w:hint="eastAsia" w:hAnsi="方正仿宋_GBK"/>
          <w:color w:val="000000"/>
          <w:szCs w:val="32"/>
          <w:lang w:val="en-US" w:eastAsia="zh-CN"/>
        </w:rPr>
        <w:t>起重机</w:t>
      </w:r>
      <w:r>
        <w:rPr>
          <w:rFonts w:hint="eastAsia" w:ascii="Times New Roman" w:hAnsi="Times New Roman" w:cs="Times New Roman"/>
          <w:szCs w:val="32"/>
          <w:lang w:eastAsia="zh-CN"/>
        </w:rPr>
        <w:t>驾驶室内</w:t>
      </w:r>
      <w:r>
        <w:rPr>
          <w:rFonts w:hint="eastAsia" w:hAnsi="方正仿宋_GBK"/>
          <w:color w:val="000000"/>
          <w:szCs w:val="32"/>
          <w:lang w:val="en-US" w:eastAsia="zh-CN"/>
        </w:rPr>
        <w:t>操作起重机从地面吊装废铁至一货车车厢上，</w:t>
      </w:r>
      <w:r>
        <w:rPr>
          <w:rFonts w:hint="eastAsia" w:ascii="Times New Roman" w:hAnsi="Times New Roman" w:cs="Times New Roman"/>
          <w:szCs w:val="32"/>
          <w:lang w:eastAsia="zh-CN"/>
        </w:rPr>
        <w:t>汽车</w:t>
      </w:r>
      <w:r>
        <w:rPr>
          <w:rFonts w:hint="eastAsia" w:hAnsi="方正仿宋_GBK"/>
          <w:color w:val="000000"/>
          <w:szCs w:val="32"/>
          <w:lang w:val="en-US" w:eastAsia="zh-CN"/>
        </w:rPr>
        <w:t>起重机向上斜升的吊臂在自右向左摆臂过程中碰撞到厂房顶部的吊灯，吊灯从距离地面约23米高度坠落，砸中吊臂下方在货车车厢上作业的另1名临时</w:t>
      </w:r>
      <w:r>
        <w:rPr>
          <w:rFonts w:hint="eastAsia" w:ascii="Times New Roman" w:hAnsi="Times New Roman" w:cs="Times New Roman"/>
          <w:szCs w:val="32"/>
          <w:lang w:eastAsia="zh-CN"/>
        </w:rPr>
        <w:t>雇佣</w:t>
      </w:r>
      <w:r>
        <w:rPr>
          <w:rFonts w:hint="eastAsia" w:hAnsi="方正仿宋_GBK"/>
          <w:color w:val="000000"/>
          <w:szCs w:val="32"/>
          <w:lang w:val="en-US" w:eastAsia="zh-CN"/>
        </w:rPr>
        <w:t>搬运工张*国头部，张*国受伤，经</w:t>
      </w:r>
      <w:r>
        <w:rPr>
          <w:rFonts w:hint="eastAsia" w:ascii="Times New Roman" w:hAnsi="Times New Roman" w:cs="Times New Roman"/>
          <w:szCs w:val="32"/>
          <w:lang w:val="en-US" w:eastAsia="zh-CN"/>
        </w:rPr>
        <w:t>抢救无效后死亡</w:t>
      </w:r>
      <w:r>
        <w:rPr>
          <w:rFonts w:hint="eastAsia" w:hAnsi="方正仿宋_GBK"/>
          <w:color w:val="000000"/>
          <w:szCs w:val="32"/>
          <w:lang w:val="en-US" w:eastAsia="zh-CN"/>
        </w:rPr>
        <w:t>。</w:t>
      </w:r>
    </w:p>
    <w:p w14:paraId="0308AAA2">
      <w:pPr>
        <w:spacing w:line="600" w:lineRule="exact"/>
        <w:ind w:firstLine="632" w:firstLineChars="200"/>
        <w:outlineLvl w:val="1"/>
        <w:rPr>
          <w:rFonts w:hint="eastAsia" w:ascii="方正楷体_GBK" w:hAnsi="方正楷体_GBK" w:eastAsia="方正楷体_GBK" w:cs="方正楷体_GBK"/>
          <w:szCs w:val="32"/>
          <w:lang w:val="en-US" w:eastAsia="zh-CN"/>
        </w:rPr>
      </w:pPr>
      <w:bookmarkStart w:id="19" w:name="_Toc8746"/>
      <w:bookmarkStart w:id="20" w:name="_Toc16420"/>
      <w:r>
        <w:rPr>
          <w:rFonts w:hint="eastAsia" w:ascii="方正楷体_GBK" w:hAnsi="方正楷体_GBK" w:eastAsia="方正楷体_GBK" w:cs="方正楷体_GBK"/>
          <w:szCs w:val="32"/>
          <w:lang w:val="en-US" w:eastAsia="zh-CN"/>
        </w:rPr>
        <w:t>（三）事故现场勘查情况</w:t>
      </w:r>
      <w:bookmarkEnd w:id="19"/>
      <w:bookmarkEnd w:id="20"/>
    </w:p>
    <w:p w14:paraId="1B70EDDA">
      <w:pPr>
        <w:spacing w:line="600" w:lineRule="exact"/>
        <w:ind w:firstLine="632" w:firstLineChars="200"/>
        <w:rPr>
          <w:rFonts w:hint="eastAsia" w:ascii="Times New Roman" w:hAnsi="Times New Roman" w:cs="Times New Roman"/>
          <w:szCs w:val="32"/>
          <w:lang w:val="en-US" w:eastAsia="zh-CN"/>
        </w:rPr>
      </w:pPr>
      <w:r>
        <w:rPr>
          <w:rFonts w:hint="default" w:ascii="Times New Roman" w:hAnsi="Times New Roman" w:cs="Times New Roman"/>
          <w:szCs w:val="32"/>
          <w:lang w:val="en-US" w:eastAsia="zh-CN"/>
        </w:rPr>
        <w:t>厂房</w:t>
      </w:r>
      <w:r>
        <w:rPr>
          <w:rFonts w:hint="eastAsia" w:ascii="Times New Roman" w:hAnsi="Times New Roman" w:cs="Times New Roman"/>
          <w:szCs w:val="32"/>
          <w:lang w:val="en-US" w:eastAsia="zh-CN"/>
        </w:rPr>
        <w:t>现场有</w:t>
      </w:r>
      <w:r>
        <w:rPr>
          <w:rFonts w:hint="eastAsia" w:ascii="Times New Roman" w:hAnsi="Times New Roman" w:cs="Times New Roman"/>
          <w:szCs w:val="32"/>
          <w:lang w:eastAsia="zh-CN"/>
        </w:rPr>
        <w:t>一辆汽车起重机，车辆类型：重型非载货专项作业车</w:t>
      </w:r>
      <w:r>
        <w:rPr>
          <w:rFonts w:hint="eastAsia" w:ascii="Times New Roman" w:hAnsi="Times New Roman" w:cs="Times New Roman"/>
          <w:szCs w:val="32"/>
          <w:lang w:val="en-US" w:eastAsia="zh-CN"/>
        </w:rPr>
        <w:t>，号牌号码：渝D68***。</w:t>
      </w:r>
      <w:r>
        <w:rPr>
          <w:rFonts w:hint="eastAsia" w:ascii="Times New Roman" w:hAnsi="Times New Roman" w:cs="Times New Roman"/>
          <w:szCs w:val="32"/>
          <w:lang w:eastAsia="zh-CN"/>
        </w:rPr>
        <w:t>起重机</w:t>
      </w:r>
      <w:r>
        <w:rPr>
          <w:rFonts w:hint="eastAsia" w:ascii="Times New Roman" w:hAnsi="Times New Roman" w:cs="Times New Roman"/>
          <w:szCs w:val="32"/>
          <w:lang w:val="en-US" w:eastAsia="zh-CN"/>
        </w:rPr>
        <w:t>吊臂向上延伸接近厂房吊灯，吊灯</w:t>
      </w:r>
      <w:r>
        <w:rPr>
          <w:rFonts w:hint="eastAsia" w:hAnsi="方正仿宋_GBK"/>
          <w:color w:val="000000"/>
          <w:szCs w:val="32"/>
          <w:lang w:val="en-US" w:eastAsia="zh-CN"/>
        </w:rPr>
        <w:t>距离地面</w:t>
      </w:r>
      <w:r>
        <w:rPr>
          <w:rFonts w:hint="eastAsia" w:ascii="Times New Roman" w:hAnsi="Times New Roman" w:cs="Times New Roman"/>
          <w:szCs w:val="32"/>
          <w:lang w:val="en-US" w:eastAsia="zh-CN"/>
        </w:rPr>
        <w:t>高度约23米</w:t>
      </w:r>
      <w:r>
        <w:rPr>
          <w:rFonts w:hint="default" w:ascii="Times New Roman" w:hAnsi="Times New Roman" w:cs="Times New Roman"/>
          <w:szCs w:val="32"/>
          <w:lang w:val="en-US" w:eastAsia="zh-CN"/>
        </w:rPr>
        <w:t>。</w:t>
      </w:r>
      <w:r>
        <w:rPr>
          <w:rFonts w:hint="eastAsia" w:ascii="Times New Roman" w:hAnsi="Times New Roman" w:cs="Times New Roman"/>
          <w:szCs w:val="32"/>
          <w:lang w:eastAsia="zh-CN"/>
        </w:rPr>
        <w:t>起重机前侧有一辆货车，</w:t>
      </w:r>
      <w:r>
        <w:rPr>
          <w:rFonts w:hint="eastAsia" w:ascii="Times New Roman" w:hAnsi="Times New Roman" w:cs="Times New Roman"/>
          <w:szCs w:val="32"/>
          <w:lang w:val="en-US" w:eastAsia="zh-CN"/>
        </w:rPr>
        <w:t>号牌号码：渝D28***。货车左后侧地面上有一圆形吊灯，直径约40cm。吊灯上新鲜断裂面，天花板上悬挂杆严重倾斜、吊灯上钢丝绳非切割性断离及吊车上明显擦划痕迹。事故现场图见图1、图2、图3。</w:t>
      </w:r>
    </w:p>
    <w:p w14:paraId="7824AC4F">
      <w:pPr>
        <w:rPr>
          <w:rFonts w:hint="eastAsia" w:eastAsia="宋体"/>
          <w:lang w:eastAsia="zh-CN"/>
        </w:rPr>
      </w:pPr>
      <w:r>
        <w:rPr>
          <w:rFonts w:hint="eastAsia" w:eastAsia="宋体"/>
          <w:lang w:eastAsia="zh-CN"/>
        </w:rPr>
        <w:drawing>
          <wp:inline distT="0" distB="0" distL="114300" distR="114300">
            <wp:extent cx="5598160" cy="5824220"/>
            <wp:effectExtent l="0" t="0" r="2540" b="5080"/>
            <wp:docPr id="1" name="图片 4" descr="G:/何宏远HP-1/九龙坡区应急局/事前、事故相关资料/2026年/九龙坡中梁山重庆兴雅硕再生资源回收有限公司“3·20”一般起重伤害事故/事故现场图片/微信图片_20260623105658_27_1238.jpg微信图片_20260623105658_27_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G:/何宏远HP-1/九龙坡区应急局/事前、事故相关资料/2026年/九龙坡中梁山重庆兴雅硕再生资源回收有限公司“3·20”一般起重伤害事故/事故现场图片/微信图片_20260623105658_27_1238.jpg微信图片_20260623105658_27_1238"/>
                    <pic:cNvPicPr>
                      <a:picLocks noChangeAspect="1"/>
                    </pic:cNvPicPr>
                  </pic:nvPicPr>
                  <pic:blipFill>
                    <a:blip r:embed="rId9"/>
                    <a:srcRect l="1941" r="1941"/>
                    <a:stretch>
                      <a:fillRect/>
                    </a:stretch>
                  </pic:blipFill>
                  <pic:spPr>
                    <a:xfrm>
                      <a:off x="0" y="0"/>
                      <a:ext cx="5598160" cy="5824220"/>
                    </a:xfrm>
                    <a:prstGeom prst="rect">
                      <a:avLst/>
                    </a:prstGeom>
                    <a:noFill/>
                    <a:ln>
                      <a:noFill/>
                    </a:ln>
                  </pic:spPr>
                </pic:pic>
              </a:graphicData>
            </a:graphic>
          </wp:inline>
        </w:drawing>
      </w:r>
    </w:p>
    <w:p w14:paraId="54EB7F43">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图1 事故现场图</w:t>
      </w:r>
    </w:p>
    <w:p w14:paraId="08A8A64D">
      <w:pPr>
        <w:pStyle w:val="21"/>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4667250" cy="3499485"/>
            <wp:effectExtent l="0" t="0" r="0" b="5715"/>
            <wp:docPr id="2" name="图片 11" descr="3294640d06b029da556b09838747be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1" descr="3294640d06b029da556b09838747be73"/>
                    <pic:cNvPicPr>
                      <a:picLocks noChangeAspect="1"/>
                    </pic:cNvPicPr>
                  </pic:nvPicPr>
                  <pic:blipFill>
                    <a:blip r:embed="rId10"/>
                    <a:stretch>
                      <a:fillRect/>
                    </a:stretch>
                  </pic:blipFill>
                  <pic:spPr>
                    <a:xfrm>
                      <a:off x="0" y="0"/>
                      <a:ext cx="4667250" cy="3499485"/>
                    </a:xfrm>
                    <a:prstGeom prst="rect">
                      <a:avLst/>
                    </a:prstGeom>
                    <a:noFill/>
                    <a:ln>
                      <a:noFill/>
                    </a:ln>
                  </pic:spPr>
                </pic:pic>
              </a:graphicData>
            </a:graphic>
          </wp:inline>
        </w:drawing>
      </w:r>
    </w:p>
    <w:p w14:paraId="5526822F">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图2 事故现场图</w:t>
      </w:r>
    </w:p>
    <w:p w14:paraId="649FAE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lang w:eastAsia="zh-CN"/>
        </w:rPr>
      </w:pPr>
      <w:r>
        <w:rPr>
          <w:rFonts w:hint="eastAsia" w:ascii="仿宋_GB2312" w:hAnsi="仿宋_GB2312" w:eastAsia="仿宋_GB2312" w:cs="仿宋_GB2312"/>
          <w:sz w:val="32"/>
          <w:szCs w:val="32"/>
          <w:lang w:val="en-US" w:eastAsia="zh-CN"/>
        </w:rPr>
        <w:drawing>
          <wp:inline distT="0" distB="0" distL="114300" distR="114300">
            <wp:extent cx="3662680" cy="3662680"/>
            <wp:effectExtent l="0" t="0" r="13970" b="13970"/>
            <wp:docPr id="3" name="图片 12" descr="微信图片_20260623105700_28_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descr="微信图片_20260623105700_28_1238"/>
                    <pic:cNvPicPr>
                      <a:picLocks noChangeAspect="1"/>
                    </pic:cNvPicPr>
                  </pic:nvPicPr>
                  <pic:blipFill>
                    <a:blip r:embed="rId11"/>
                    <a:stretch>
                      <a:fillRect/>
                    </a:stretch>
                  </pic:blipFill>
                  <pic:spPr>
                    <a:xfrm>
                      <a:off x="0" y="0"/>
                      <a:ext cx="3662680" cy="3662680"/>
                    </a:xfrm>
                    <a:prstGeom prst="rect">
                      <a:avLst/>
                    </a:prstGeom>
                    <a:noFill/>
                    <a:ln>
                      <a:noFill/>
                    </a:ln>
                  </pic:spPr>
                </pic:pic>
              </a:graphicData>
            </a:graphic>
          </wp:inline>
        </w:drawing>
      </w:r>
    </w:p>
    <w:p w14:paraId="68BAF23C">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图3 事故现场图</w:t>
      </w:r>
    </w:p>
    <w:p w14:paraId="61DB03FC">
      <w:pPr>
        <w:spacing w:line="600" w:lineRule="exact"/>
        <w:ind w:firstLine="632" w:firstLineChars="200"/>
        <w:outlineLvl w:val="1"/>
        <w:rPr>
          <w:rFonts w:hint="eastAsia" w:ascii="方正楷体_GBK" w:hAnsi="方正楷体_GBK" w:eastAsia="方正楷体_GBK" w:cs="方正楷体_GBK"/>
          <w:szCs w:val="32"/>
          <w:lang w:val="en-US" w:eastAsia="zh-CN"/>
        </w:rPr>
      </w:pPr>
      <w:bookmarkStart w:id="21" w:name="_Toc14879"/>
      <w:bookmarkStart w:id="22" w:name="_Toc5316"/>
      <w:bookmarkStart w:id="23" w:name="_Toc19722"/>
      <w:bookmarkStart w:id="24" w:name="_Toc8008"/>
      <w:r>
        <w:rPr>
          <w:rFonts w:hint="eastAsia" w:ascii="方正楷体_GBK" w:hAnsi="方正楷体_GBK" w:eastAsia="方正楷体_GBK" w:cs="方正楷体_GBK"/>
          <w:szCs w:val="32"/>
          <w:lang w:val="en-US" w:eastAsia="zh-CN"/>
        </w:rPr>
        <w:t>（四）人员伤亡和直接经济损失情况</w:t>
      </w:r>
      <w:bookmarkEnd w:id="21"/>
      <w:bookmarkEnd w:id="22"/>
      <w:bookmarkEnd w:id="23"/>
      <w:bookmarkEnd w:id="24"/>
    </w:p>
    <w:p w14:paraId="004292C6">
      <w:pPr>
        <w:spacing w:line="600" w:lineRule="exact"/>
        <w:ind w:firstLine="632" w:firstLineChars="200"/>
        <w:outlineLvl w:val="2"/>
        <w:rPr>
          <w:rFonts w:hint="eastAsia" w:ascii="Times New Roman" w:hAnsi="Times New Roman" w:cs="Times New Roman"/>
          <w:szCs w:val="32"/>
          <w:lang w:val="en-US" w:eastAsia="zh-CN"/>
        </w:rPr>
      </w:pPr>
      <w:bookmarkStart w:id="25" w:name="_Toc31016"/>
      <w:bookmarkStart w:id="26" w:name="_Toc1098704590"/>
      <w:r>
        <w:rPr>
          <w:rFonts w:hint="eastAsia" w:ascii="Times New Roman" w:hAnsi="Times New Roman" w:cs="Times New Roman"/>
          <w:szCs w:val="32"/>
          <w:lang w:val="en-US" w:eastAsia="zh-CN"/>
        </w:rPr>
        <w:t>1.人员伤亡情况</w:t>
      </w:r>
      <w:bookmarkEnd w:id="25"/>
      <w:bookmarkEnd w:id="26"/>
      <w:r>
        <w:rPr>
          <w:rFonts w:hint="eastAsia" w:ascii="Times New Roman" w:hAnsi="Times New Roman" w:cs="Times New Roman"/>
          <w:szCs w:val="32"/>
          <w:lang w:val="en-US" w:eastAsia="zh-CN"/>
        </w:rPr>
        <w:t>。本次事故造成1人死亡。</w:t>
      </w:r>
    </w:p>
    <w:p w14:paraId="60E7DAF2">
      <w:pPr>
        <w:spacing w:line="600" w:lineRule="exact"/>
        <w:ind w:firstLine="632" w:firstLineChars="200"/>
        <w:rPr>
          <w:rFonts w:hint="default" w:ascii="Times New Roman" w:hAnsi="Times New Roman" w:cs="Times New Roman"/>
          <w:szCs w:val="32"/>
          <w:lang w:val="en-US" w:eastAsia="zh-CN"/>
        </w:rPr>
      </w:pPr>
      <w:r>
        <w:rPr>
          <w:rFonts w:hint="eastAsia" w:ascii="Times New Roman" w:hAnsi="Times New Roman" w:cs="Times New Roman"/>
          <w:szCs w:val="32"/>
          <w:lang w:val="en-US" w:eastAsia="zh-CN"/>
        </w:rPr>
        <w:t>死者：张*国</w:t>
      </w:r>
      <w:r>
        <w:rPr>
          <w:rFonts w:hint="default" w:ascii="Times New Roman" w:hAnsi="Times New Roman" w:cs="Times New Roman"/>
          <w:szCs w:val="32"/>
          <w:lang w:val="en-US" w:eastAsia="zh-CN"/>
        </w:rPr>
        <w:t>，</w:t>
      </w:r>
      <w:r>
        <w:rPr>
          <w:rFonts w:hint="eastAsia" w:ascii="Times New Roman" w:hAnsi="Times New Roman" w:cs="Times New Roman"/>
          <w:szCs w:val="32"/>
          <w:lang w:val="en-US" w:eastAsia="zh-CN"/>
        </w:rPr>
        <w:t>兴雅硕公司</w:t>
      </w:r>
      <w:r>
        <w:rPr>
          <w:rFonts w:hint="eastAsia" w:hAnsi="方正仿宋_GBK"/>
          <w:color w:val="000000"/>
          <w:szCs w:val="32"/>
          <w:lang w:val="en-US" w:eastAsia="zh-CN"/>
        </w:rPr>
        <w:t>临时</w:t>
      </w:r>
      <w:r>
        <w:rPr>
          <w:rFonts w:hint="eastAsia" w:ascii="Times New Roman" w:hAnsi="Times New Roman" w:cs="Times New Roman"/>
          <w:szCs w:val="32"/>
          <w:lang w:eastAsia="zh-CN"/>
        </w:rPr>
        <w:t>雇佣</w:t>
      </w:r>
      <w:r>
        <w:rPr>
          <w:rFonts w:hint="eastAsia" w:hAnsi="方正仿宋_GBK"/>
          <w:color w:val="000000"/>
          <w:szCs w:val="32"/>
          <w:lang w:val="en-US" w:eastAsia="zh-CN"/>
        </w:rPr>
        <w:t>搬运工</w:t>
      </w:r>
      <w:r>
        <w:rPr>
          <w:rFonts w:hint="eastAsia" w:ascii="Times New Roman" w:hAnsi="Times New Roman" w:cs="Times New Roman"/>
          <w:szCs w:val="32"/>
          <w:lang w:val="en-US" w:eastAsia="zh-CN"/>
        </w:rPr>
        <w:t>，男</w:t>
      </w:r>
      <w:r>
        <w:rPr>
          <w:rFonts w:hint="default" w:ascii="Times New Roman" w:hAnsi="Times New Roman" w:cs="Times New Roman"/>
          <w:szCs w:val="32"/>
          <w:lang w:val="en-US" w:eastAsia="zh-CN"/>
        </w:rPr>
        <w:t>，</w:t>
      </w:r>
      <w:r>
        <w:rPr>
          <w:rFonts w:hint="eastAsia" w:ascii="Times New Roman" w:hAnsi="Times New Roman" w:cs="Times New Roman"/>
          <w:szCs w:val="32"/>
          <w:lang w:val="en-US" w:eastAsia="zh-CN"/>
        </w:rPr>
        <w:t>汉族，53</w:t>
      </w:r>
      <w:r>
        <w:rPr>
          <w:rFonts w:hint="default" w:ascii="Times New Roman" w:hAnsi="Times New Roman" w:cs="Times New Roman"/>
          <w:szCs w:val="32"/>
          <w:lang w:val="en-US" w:eastAsia="zh-CN"/>
        </w:rPr>
        <w:t>岁，身份证号码：</w:t>
      </w:r>
      <w:r>
        <w:rPr>
          <w:rFonts w:hint="eastAsia" w:ascii="Times New Roman" w:hAnsi="Times New Roman" w:cs="Times New Roman"/>
          <w:szCs w:val="32"/>
          <w:lang w:val="en-US" w:eastAsia="zh-CN"/>
        </w:rPr>
        <w:t>51292519**********</w:t>
      </w:r>
      <w:r>
        <w:rPr>
          <w:rFonts w:hint="default" w:ascii="Times New Roman" w:hAnsi="Times New Roman" w:cs="Times New Roman"/>
          <w:szCs w:val="32"/>
          <w:lang w:val="en-US" w:eastAsia="zh-CN"/>
        </w:rPr>
        <w:t>，</w:t>
      </w:r>
      <w:r>
        <w:rPr>
          <w:rFonts w:hint="eastAsia" w:ascii="Times New Roman" w:hAnsi="Times New Roman" w:cs="Times New Roman"/>
          <w:szCs w:val="32"/>
          <w:lang w:val="en-US" w:eastAsia="zh-CN"/>
        </w:rPr>
        <w:t>住址</w:t>
      </w:r>
      <w:r>
        <w:rPr>
          <w:rFonts w:hint="default" w:ascii="Times New Roman" w:hAnsi="Times New Roman" w:cs="Times New Roman"/>
          <w:szCs w:val="32"/>
          <w:lang w:val="en-US" w:eastAsia="zh-CN"/>
        </w:rPr>
        <w:t>：</w:t>
      </w:r>
      <w:r>
        <w:rPr>
          <w:rFonts w:hint="eastAsia" w:ascii="Times New Roman" w:hAnsi="Times New Roman" w:cs="Times New Roman"/>
          <w:szCs w:val="32"/>
          <w:lang w:val="en-US" w:eastAsia="zh-CN"/>
        </w:rPr>
        <w:t>四川省广安市广安区石笋镇**村*组**号。</w:t>
      </w:r>
    </w:p>
    <w:p w14:paraId="3B1F4C66">
      <w:pPr>
        <w:spacing w:line="600" w:lineRule="exact"/>
        <w:ind w:firstLine="632" w:firstLineChars="200"/>
        <w:outlineLvl w:val="2"/>
        <w:rPr>
          <w:rFonts w:hint="eastAsia" w:ascii="Times New Roman" w:hAnsi="Times New Roman" w:cs="Times New Roman"/>
          <w:szCs w:val="32"/>
          <w:lang w:val="en-US" w:eastAsia="zh-CN"/>
        </w:rPr>
      </w:pPr>
      <w:bookmarkStart w:id="27" w:name="_Toc11614"/>
      <w:bookmarkStart w:id="28" w:name="_Toc1451557573"/>
      <w:r>
        <w:rPr>
          <w:rFonts w:hint="eastAsia" w:ascii="Times New Roman" w:hAnsi="Times New Roman" w:cs="Times New Roman"/>
          <w:szCs w:val="32"/>
          <w:lang w:val="en-US" w:eastAsia="zh-CN"/>
        </w:rPr>
        <w:t>2.直接经济损失情况</w:t>
      </w:r>
      <w:bookmarkEnd w:id="27"/>
      <w:bookmarkEnd w:id="28"/>
      <w:r>
        <w:rPr>
          <w:rFonts w:hint="eastAsia" w:ascii="Times New Roman" w:hAnsi="Times New Roman" w:cs="Times New Roman"/>
          <w:szCs w:val="32"/>
          <w:lang w:val="en-US" w:eastAsia="zh-CN"/>
        </w:rPr>
        <w:t>。善后赔偿费用：130万元。</w:t>
      </w:r>
    </w:p>
    <w:p w14:paraId="510C0F79">
      <w:pPr>
        <w:spacing w:line="600" w:lineRule="exact"/>
        <w:ind w:firstLine="632" w:firstLineChars="200"/>
        <w:outlineLvl w:val="0"/>
        <w:rPr>
          <w:rFonts w:hint="default"/>
          <w:lang w:val="en-US" w:eastAsia="zh-CN"/>
        </w:rPr>
      </w:pPr>
      <w:bookmarkStart w:id="29" w:name="_Toc23668"/>
      <w:bookmarkStart w:id="30" w:name="_Toc12522"/>
      <w:bookmarkStart w:id="31" w:name="_Toc1204945420"/>
      <w:bookmarkStart w:id="32" w:name="_Toc25973"/>
      <w:bookmarkStart w:id="33" w:name="_Toc31767"/>
      <w:r>
        <w:rPr>
          <w:rFonts w:hint="eastAsia" w:ascii="方正黑体_GBK" w:hAnsi="方正黑体_GBK" w:eastAsia="方正黑体_GBK" w:cs="方正黑体_GBK"/>
          <w:szCs w:val="32"/>
          <w:lang w:val="en-US" w:eastAsia="zh-CN"/>
        </w:rPr>
        <w:t>二、事故应急处置及评估情况</w:t>
      </w:r>
      <w:bookmarkEnd w:id="29"/>
      <w:bookmarkEnd w:id="30"/>
      <w:bookmarkEnd w:id="31"/>
      <w:bookmarkEnd w:id="32"/>
      <w:bookmarkEnd w:id="33"/>
    </w:p>
    <w:p w14:paraId="121B27DC">
      <w:pPr>
        <w:spacing w:line="600" w:lineRule="exact"/>
        <w:ind w:firstLine="632" w:firstLineChars="200"/>
        <w:outlineLvl w:val="1"/>
        <w:rPr>
          <w:rFonts w:hint="default" w:ascii="方正楷体_GBK" w:hAnsi="方正楷体_GBK" w:eastAsia="方正楷体_GBK" w:cs="方正楷体_GBK"/>
          <w:szCs w:val="32"/>
          <w:lang w:val="en-US" w:eastAsia="zh-CN"/>
        </w:rPr>
      </w:pPr>
      <w:bookmarkStart w:id="34" w:name="_Toc1271"/>
      <w:bookmarkStart w:id="35" w:name="_Toc5111"/>
      <w:bookmarkStart w:id="36" w:name="_Toc950142217"/>
      <w:bookmarkStart w:id="37" w:name="_Toc26024"/>
      <w:bookmarkStart w:id="38" w:name="_Toc23318"/>
      <w:r>
        <w:rPr>
          <w:rFonts w:hint="eastAsia" w:ascii="方正楷体_GBK" w:hAnsi="方正楷体_GBK" w:eastAsia="方正楷体_GBK" w:cs="方正楷体_GBK"/>
          <w:szCs w:val="32"/>
          <w:lang w:val="en-US" w:eastAsia="zh-CN"/>
        </w:rPr>
        <w:t>（一）</w:t>
      </w:r>
      <w:bookmarkEnd w:id="34"/>
      <w:bookmarkEnd w:id="35"/>
      <w:bookmarkEnd w:id="36"/>
      <w:r>
        <w:rPr>
          <w:rFonts w:hint="default" w:ascii="方正楷体_GBK" w:hAnsi="方正楷体_GBK" w:eastAsia="方正楷体_GBK" w:cs="方正楷体_GBK"/>
          <w:szCs w:val="32"/>
          <w:lang w:val="en-US" w:eastAsia="zh-CN"/>
        </w:rPr>
        <w:t>事故信息接报及响应情况</w:t>
      </w:r>
      <w:bookmarkEnd w:id="37"/>
      <w:bookmarkEnd w:id="38"/>
    </w:p>
    <w:p w14:paraId="0BEECBCD">
      <w:pPr>
        <w:spacing w:line="600" w:lineRule="exact"/>
        <w:ind w:firstLine="632" w:firstLineChars="200"/>
        <w:rPr>
          <w:rFonts w:hint="default" w:ascii="Times New Roman" w:hAnsi="Times New Roman" w:cs="Times New Roman"/>
          <w:szCs w:val="32"/>
          <w:lang w:val="en-US" w:eastAsia="zh-CN"/>
        </w:rPr>
      </w:pPr>
      <w:bookmarkStart w:id="39" w:name="_Toc1664229670"/>
      <w:r>
        <w:rPr>
          <w:rFonts w:hint="eastAsia" w:ascii="Times New Roman" w:hAnsi="Times New Roman" w:cs="Times New Roman"/>
          <w:szCs w:val="32"/>
          <w:lang w:val="en-US" w:eastAsia="zh-CN"/>
        </w:rPr>
        <w:t>事故发生后，12时36分许，兴雅硕公司法定代表人、总经理胡*在现场立即拨打了120急救电话。12时49分许，胡*拨打了110报警电话，并报告中梁山派出所、属地社区、中梁山街道办事处等。中梁山街道办事处立即报告区应急管理局，区应急管理局随即报告区政府总值班室。随即区应急管理局、区商务委分管领导分别带队赶赴事发现场。</w:t>
      </w:r>
    </w:p>
    <w:p w14:paraId="3CDFEF8B">
      <w:pPr>
        <w:spacing w:line="600" w:lineRule="exact"/>
        <w:ind w:firstLine="632" w:firstLineChars="200"/>
        <w:outlineLvl w:val="1"/>
        <w:rPr>
          <w:rFonts w:hint="eastAsia" w:ascii="方正楷体_GBK" w:hAnsi="方正楷体_GBK" w:eastAsia="方正楷体_GBK" w:cs="方正楷体_GBK"/>
          <w:szCs w:val="32"/>
          <w:lang w:val="en-US" w:eastAsia="zh-CN"/>
        </w:rPr>
      </w:pPr>
      <w:bookmarkStart w:id="40" w:name="_Toc7418"/>
      <w:bookmarkStart w:id="41" w:name="_Toc17687"/>
      <w:bookmarkStart w:id="42" w:name="_Toc395"/>
      <w:bookmarkStart w:id="43" w:name="_Toc32101"/>
      <w:r>
        <w:rPr>
          <w:rFonts w:hint="eastAsia" w:ascii="方正楷体_GBK" w:hAnsi="方正楷体_GBK" w:eastAsia="方正楷体_GBK" w:cs="方正楷体_GBK"/>
          <w:szCs w:val="32"/>
          <w:lang w:val="en-US" w:eastAsia="zh-CN"/>
        </w:rPr>
        <w:t>（二）事故现场应急处置情况</w:t>
      </w:r>
      <w:bookmarkEnd w:id="39"/>
      <w:bookmarkEnd w:id="40"/>
      <w:bookmarkEnd w:id="41"/>
      <w:bookmarkEnd w:id="42"/>
      <w:bookmarkEnd w:id="43"/>
    </w:p>
    <w:p w14:paraId="694EA7FC">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事故发生后，12时36分</w:t>
      </w:r>
      <w:r>
        <w:rPr>
          <w:rFonts w:hint="default" w:ascii="Times New Roman" w:hAnsi="Times New Roman" w:cs="Times New Roman"/>
          <w:szCs w:val="32"/>
          <w:lang w:val="en-US" w:eastAsia="zh-CN"/>
        </w:rPr>
        <w:t>许</w:t>
      </w:r>
      <w:r>
        <w:rPr>
          <w:rFonts w:hint="eastAsia" w:ascii="Times New Roman" w:hAnsi="Times New Roman" w:cs="Times New Roman"/>
          <w:szCs w:val="32"/>
          <w:lang w:val="en-US" w:eastAsia="zh-CN"/>
        </w:rPr>
        <w:t>，兴雅硕公司法定代表人、总经理胡*在现场立即拨打了120急救电话，12时43分</w:t>
      </w:r>
      <w:r>
        <w:rPr>
          <w:rFonts w:hint="default" w:ascii="Times New Roman" w:hAnsi="Times New Roman" w:cs="Times New Roman"/>
          <w:szCs w:val="32"/>
          <w:lang w:val="en-US" w:eastAsia="zh-CN"/>
        </w:rPr>
        <w:t>许</w:t>
      </w:r>
      <w:r>
        <w:rPr>
          <w:rFonts w:hint="eastAsia" w:ascii="Times New Roman" w:hAnsi="Times New Roman" w:cs="Times New Roman"/>
          <w:szCs w:val="32"/>
          <w:lang w:val="en-US" w:eastAsia="zh-CN"/>
        </w:rPr>
        <w:t>，重庆市九龙坡区第二人民医院120急救医务人员到达事发现场，立即对张*国进行现场急救。兴雅硕公司、中梁山派出所、中梁山街道办事处、区应急管理局、区商务委相关领导及工作人员先后到达事发现场，组织开展现场停止作业、现场隐患排查、调查固证、善后处置、舆情管控等现场应急处置工作。</w:t>
      </w:r>
    </w:p>
    <w:p w14:paraId="468173E4">
      <w:pPr>
        <w:spacing w:line="600" w:lineRule="exact"/>
        <w:ind w:firstLine="632" w:firstLineChars="200"/>
        <w:outlineLvl w:val="1"/>
        <w:rPr>
          <w:rFonts w:hint="default" w:ascii="方正楷体_GBK" w:hAnsi="方正楷体_GBK" w:eastAsia="方正楷体_GBK" w:cs="方正楷体_GBK"/>
          <w:szCs w:val="32"/>
          <w:lang w:val="en-US" w:eastAsia="zh-CN"/>
        </w:rPr>
      </w:pPr>
      <w:bookmarkStart w:id="44" w:name="_Toc24506"/>
      <w:bookmarkStart w:id="45" w:name="_Toc21087"/>
      <w:bookmarkStart w:id="46" w:name="_Toc31951"/>
      <w:bookmarkStart w:id="47" w:name="_Toc1099"/>
      <w:bookmarkStart w:id="48" w:name="_Toc8109"/>
      <w:r>
        <w:rPr>
          <w:rFonts w:hint="default" w:ascii="方正楷体_GBK" w:hAnsi="方正楷体_GBK" w:eastAsia="方正楷体_GBK" w:cs="方正楷体_GBK"/>
          <w:szCs w:val="32"/>
          <w:lang w:val="en-US" w:eastAsia="zh-CN"/>
        </w:rPr>
        <w:t>（三）医疗救治</w:t>
      </w:r>
      <w:r>
        <w:rPr>
          <w:rFonts w:hint="eastAsia" w:ascii="方正楷体_GBK" w:hAnsi="方正楷体_GBK" w:eastAsia="方正楷体_GBK" w:cs="方正楷体_GBK"/>
          <w:szCs w:val="32"/>
          <w:lang w:val="en-US" w:eastAsia="zh-CN"/>
        </w:rPr>
        <w:t>和</w:t>
      </w:r>
      <w:r>
        <w:rPr>
          <w:rFonts w:hint="default" w:ascii="方正楷体_GBK" w:hAnsi="方正楷体_GBK" w:eastAsia="方正楷体_GBK" w:cs="方正楷体_GBK"/>
          <w:szCs w:val="32"/>
          <w:lang w:val="en-US" w:eastAsia="zh-CN"/>
        </w:rPr>
        <w:t>善后情况</w:t>
      </w:r>
      <w:bookmarkEnd w:id="44"/>
      <w:bookmarkEnd w:id="45"/>
      <w:bookmarkEnd w:id="46"/>
      <w:bookmarkEnd w:id="47"/>
      <w:bookmarkEnd w:id="48"/>
    </w:p>
    <w:p w14:paraId="710043CC">
      <w:pPr>
        <w:spacing w:line="600" w:lineRule="exact"/>
        <w:ind w:firstLine="632" w:firstLineChars="200"/>
        <w:rPr>
          <w:rFonts w:hint="eastAsia" w:ascii="Times New Roman" w:hAnsi="Times New Roman" w:cs="Times New Roman"/>
          <w:szCs w:val="32"/>
          <w:lang w:val="en-US" w:eastAsia="zh-CN"/>
        </w:rPr>
      </w:pPr>
      <w:bookmarkStart w:id="49" w:name="_Toc14494"/>
      <w:bookmarkStart w:id="50" w:name="_Toc2054086839"/>
      <w:r>
        <w:rPr>
          <w:rFonts w:hint="eastAsia" w:ascii="Times New Roman" w:hAnsi="Times New Roman" w:cs="Times New Roman"/>
          <w:szCs w:val="32"/>
          <w:lang w:val="en-US" w:eastAsia="zh-CN"/>
        </w:rPr>
        <w:t>12时43分</w:t>
      </w:r>
      <w:r>
        <w:rPr>
          <w:rFonts w:hint="default" w:ascii="Times New Roman" w:hAnsi="Times New Roman" w:cs="Times New Roman"/>
          <w:szCs w:val="32"/>
          <w:lang w:val="en-US" w:eastAsia="zh-CN"/>
        </w:rPr>
        <w:t>许</w:t>
      </w:r>
      <w:r>
        <w:rPr>
          <w:rFonts w:hint="eastAsia" w:ascii="Times New Roman" w:hAnsi="Times New Roman" w:cs="Times New Roman"/>
          <w:szCs w:val="32"/>
          <w:lang w:val="en-US" w:eastAsia="zh-CN"/>
        </w:rPr>
        <w:t>，张*国经急救医务人员抢救无效后，现场确认死亡。</w:t>
      </w:r>
    </w:p>
    <w:p w14:paraId="7BD7BDF8">
      <w:pPr>
        <w:spacing w:line="600" w:lineRule="exact"/>
        <w:ind w:firstLine="632" w:firstLineChars="200"/>
        <w:rPr>
          <w:rFonts w:hint="eastAsia" w:ascii="Times New Roman" w:hAnsi="Times New Roman" w:cs="Times New Roman"/>
          <w:color w:val="auto"/>
          <w:szCs w:val="32"/>
          <w:lang w:val="en-US" w:eastAsia="zh-CN"/>
        </w:rPr>
      </w:pPr>
      <w:r>
        <w:rPr>
          <w:rFonts w:hint="eastAsia" w:ascii="Times New Roman" w:hAnsi="Times New Roman" w:cs="Times New Roman"/>
          <w:color w:val="auto"/>
          <w:szCs w:val="32"/>
          <w:lang w:val="en-US" w:eastAsia="zh-CN"/>
        </w:rPr>
        <w:t>事故发生后，4月1日，兴雅硕公司与死者家属协商一致后签订事故补偿协议，死者遗体于2026年4月11日火化。该事故善后事宜没有造成不良社会影响，舆情平稳可控。</w:t>
      </w:r>
    </w:p>
    <w:bookmarkEnd w:id="49"/>
    <w:bookmarkEnd w:id="50"/>
    <w:p w14:paraId="21D6594A">
      <w:pPr>
        <w:spacing w:line="600" w:lineRule="exact"/>
        <w:ind w:firstLine="632" w:firstLineChars="200"/>
        <w:outlineLvl w:val="1"/>
        <w:rPr>
          <w:rFonts w:hint="eastAsia" w:ascii="方正楷体_GBK" w:hAnsi="方正楷体_GBK" w:eastAsia="方正楷体_GBK" w:cs="方正楷体_GBK"/>
          <w:szCs w:val="32"/>
          <w:lang w:val="en-US" w:eastAsia="zh-CN"/>
        </w:rPr>
      </w:pPr>
      <w:bookmarkStart w:id="51" w:name="_Toc14862"/>
      <w:bookmarkStart w:id="52" w:name="_Toc407737855"/>
      <w:bookmarkStart w:id="53" w:name="_Toc31479"/>
      <w:bookmarkStart w:id="54" w:name="_Toc32266"/>
      <w:bookmarkStart w:id="55" w:name="_Toc14800"/>
      <w:r>
        <w:rPr>
          <w:rFonts w:hint="eastAsia" w:ascii="方正楷体_GBK" w:hAnsi="方正楷体_GBK" w:eastAsia="方正楷体_GBK" w:cs="方正楷体_GBK"/>
          <w:szCs w:val="32"/>
          <w:lang w:val="en-US" w:eastAsia="zh-CN"/>
        </w:rPr>
        <w:t>（四）事故应急处置评估</w:t>
      </w:r>
      <w:bookmarkEnd w:id="51"/>
      <w:bookmarkEnd w:id="52"/>
      <w:bookmarkEnd w:id="53"/>
      <w:bookmarkEnd w:id="54"/>
      <w:bookmarkEnd w:id="55"/>
    </w:p>
    <w:p w14:paraId="401275E7">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事故发生后，相关单位人员及时报告事故情况，兴雅硕公司、重庆市九龙坡区第二人民医院、中梁山派出所、中梁山街道办事处、区应急管理局、区商务委相关领导及工作人员先后到达事发现场开展应急处置，迅速组织对</w:t>
      </w:r>
      <w:r>
        <w:rPr>
          <w:rFonts w:hint="default" w:ascii="Times New Roman" w:hAnsi="Times New Roman" w:cs="Times New Roman"/>
          <w:szCs w:val="32"/>
          <w:lang w:val="en-US" w:eastAsia="zh-CN"/>
        </w:rPr>
        <w:t>伤者</w:t>
      </w:r>
      <w:r>
        <w:rPr>
          <w:rFonts w:hint="eastAsia" w:ascii="Times New Roman" w:hAnsi="Times New Roman" w:cs="Times New Roman"/>
          <w:szCs w:val="32"/>
          <w:lang w:val="en-US" w:eastAsia="zh-CN"/>
        </w:rPr>
        <w:t>急救、设置现场警戒线、现场停止作业、现场隐患排查、现场调查固证、安抚死者家属、做好舆情管控。</w:t>
      </w:r>
      <w:r>
        <w:rPr>
          <w:rFonts w:hint="default" w:ascii="Times New Roman" w:hAnsi="Times New Roman" w:cs="Times New Roman"/>
          <w:szCs w:val="32"/>
          <w:lang w:val="en-US" w:eastAsia="zh-CN"/>
        </w:rPr>
        <w:t>本次</w:t>
      </w:r>
      <w:r>
        <w:rPr>
          <w:rFonts w:hint="eastAsia" w:ascii="Times New Roman" w:hAnsi="Times New Roman" w:cs="Times New Roman"/>
          <w:szCs w:val="32"/>
          <w:lang w:val="en-US" w:eastAsia="zh-CN"/>
        </w:rPr>
        <w:t>事故应急处置工作有条不紊，舆情平稳可控，工作得当。</w:t>
      </w:r>
    </w:p>
    <w:p w14:paraId="34D4DD5D">
      <w:pPr>
        <w:spacing w:line="600" w:lineRule="exact"/>
        <w:ind w:firstLine="632" w:firstLineChars="200"/>
        <w:outlineLvl w:val="0"/>
        <w:rPr>
          <w:rFonts w:hint="eastAsia"/>
          <w:lang w:val="en-US" w:eastAsia="zh-CN"/>
        </w:rPr>
      </w:pPr>
      <w:bookmarkStart w:id="56" w:name="_Toc9333"/>
      <w:bookmarkStart w:id="57" w:name="_Toc24462"/>
      <w:bookmarkStart w:id="58" w:name="_Toc4780"/>
      <w:bookmarkStart w:id="59" w:name="_Toc5077149"/>
      <w:bookmarkStart w:id="60" w:name="_Toc18218"/>
      <w:r>
        <w:rPr>
          <w:rFonts w:hint="eastAsia" w:ascii="方正黑体_GBK" w:hAnsi="方正黑体_GBK" w:eastAsia="方正黑体_GBK" w:cs="方正黑体_GBK"/>
          <w:szCs w:val="32"/>
          <w:lang w:val="en-US" w:eastAsia="zh-CN"/>
        </w:rPr>
        <w:t>三、事故原因分析</w:t>
      </w:r>
      <w:bookmarkEnd w:id="56"/>
      <w:bookmarkEnd w:id="57"/>
      <w:bookmarkEnd w:id="58"/>
      <w:bookmarkEnd w:id="59"/>
      <w:bookmarkEnd w:id="60"/>
      <w:bookmarkStart w:id="61" w:name="_Toc1522260564"/>
    </w:p>
    <w:p w14:paraId="72293AE5">
      <w:pPr>
        <w:spacing w:line="600" w:lineRule="exact"/>
        <w:ind w:firstLine="632" w:firstLineChars="200"/>
        <w:outlineLvl w:val="1"/>
        <w:rPr>
          <w:rFonts w:hint="eastAsia" w:ascii="方正楷体_GBK" w:hAnsi="方正楷体_GBK" w:eastAsia="方正楷体_GBK" w:cs="方正楷体_GBK"/>
          <w:szCs w:val="32"/>
          <w:lang w:val="en-US" w:eastAsia="zh-CN"/>
        </w:rPr>
      </w:pPr>
      <w:bookmarkStart w:id="62" w:name="_Toc26964"/>
      <w:bookmarkStart w:id="63" w:name="_Toc16725"/>
      <w:bookmarkStart w:id="64" w:name="_Toc3264"/>
      <w:bookmarkStart w:id="65" w:name="_Toc31934"/>
      <w:r>
        <w:rPr>
          <w:rFonts w:hint="eastAsia" w:ascii="方正楷体_GBK" w:hAnsi="方正楷体_GBK" w:eastAsia="方正楷体_GBK" w:cs="方正楷体_GBK"/>
          <w:szCs w:val="32"/>
          <w:lang w:val="en-US" w:eastAsia="zh-CN"/>
        </w:rPr>
        <w:t>（一）直接原因分析</w:t>
      </w:r>
      <w:bookmarkEnd w:id="61"/>
      <w:bookmarkEnd w:id="62"/>
      <w:bookmarkEnd w:id="63"/>
      <w:bookmarkEnd w:id="64"/>
      <w:bookmarkEnd w:id="65"/>
    </w:p>
    <w:p w14:paraId="10450780">
      <w:pPr>
        <w:spacing w:line="600" w:lineRule="exact"/>
        <w:ind w:firstLine="632" w:firstLineChars="200"/>
        <w:rPr>
          <w:rFonts w:hint="eastAsia" w:ascii="Times New Roman" w:hAnsi="Times New Roman" w:cs="Times New Roman"/>
          <w:szCs w:val="32"/>
          <w:lang w:val="en-US" w:eastAsia="zh-CN"/>
        </w:rPr>
      </w:pPr>
      <w:r>
        <w:rPr>
          <w:rFonts w:hint="eastAsia" w:hAnsi="方正仿宋_GBK"/>
          <w:color w:val="000000"/>
          <w:szCs w:val="32"/>
          <w:lang w:val="en-US" w:eastAsia="zh-CN"/>
        </w:rPr>
        <w:t>汽车起重机向上斜升的吊臂在自右向左摆臂过程中碰撞到厂房顶部的吊灯，吊灯从距离地面约23米高度坠落，砸中吊臂下方的临时</w:t>
      </w:r>
      <w:r>
        <w:rPr>
          <w:rFonts w:hint="eastAsia" w:ascii="Times New Roman" w:hAnsi="Times New Roman" w:cs="Times New Roman"/>
          <w:szCs w:val="32"/>
          <w:lang w:eastAsia="zh-CN"/>
        </w:rPr>
        <w:t>雇佣</w:t>
      </w:r>
      <w:r>
        <w:rPr>
          <w:rFonts w:hint="eastAsia" w:hAnsi="方正仿宋_GBK"/>
          <w:color w:val="000000"/>
          <w:szCs w:val="32"/>
          <w:lang w:val="en-US" w:eastAsia="zh-CN"/>
        </w:rPr>
        <w:t>搬运工张*国头部，</w:t>
      </w:r>
      <w:r>
        <w:rPr>
          <w:rFonts w:hint="eastAsia" w:ascii="Times New Roman" w:hAnsi="Times New Roman" w:cs="Times New Roman"/>
          <w:szCs w:val="32"/>
          <w:lang w:val="en-US" w:eastAsia="zh-CN"/>
        </w:rPr>
        <w:t>导致事故发生。</w:t>
      </w:r>
    </w:p>
    <w:p w14:paraId="2F6050C3">
      <w:pPr>
        <w:spacing w:line="600" w:lineRule="exact"/>
        <w:ind w:firstLine="632" w:firstLineChars="200"/>
        <w:outlineLvl w:val="1"/>
        <w:rPr>
          <w:rFonts w:hint="eastAsia" w:ascii="方正楷体_GBK" w:hAnsi="方正楷体_GBK" w:eastAsia="方正楷体_GBK" w:cs="方正楷体_GBK"/>
          <w:szCs w:val="32"/>
          <w:lang w:val="en-US" w:eastAsia="zh-CN"/>
        </w:rPr>
      </w:pPr>
      <w:bookmarkStart w:id="66" w:name="_Toc65736023"/>
      <w:bookmarkStart w:id="67" w:name="_Toc4788"/>
      <w:bookmarkStart w:id="68" w:name="_Toc21354"/>
      <w:bookmarkStart w:id="69" w:name="_Toc3848"/>
      <w:bookmarkStart w:id="70" w:name="_Toc11632"/>
      <w:r>
        <w:rPr>
          <w:rFonts w:hint="eastAsia" w:ascii="方正楷体_GBK" w:hAnsi="方正楷体_GBK" w:eastAsia="方正楷体_GBK" w:cs="方正楷体_GBK"/>
          <w:szCs w:val="32"/>
          <w:lang w:val="en-US" w:eastAsia="zh-CN"/>
        </w:rPr>
        <w:t>（二）间接原因分析</w:t>
      </w:r>
      <w:bookmarkEnd w:id="66"/>
      <w:bookmarkEnd w:id="67"/>
      <w:bookmarkEnd w:id="68"/>
      <w:bookmarkEnd w:id="69"/>
      <w:bookmarkEnd w:id="70"/>
    </w:p>
    <w:p w14:paraId="45339BA3">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1.兴雅硕公司，进行吊装作业，未采取有效技术、管理措施，未及时发现并消除事故隐患，导致事故发生。</w:t>
      </w:r>
    </w:p>
    <w:p w14:paraId="584AC50B">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2.胡*，兴雅硕公司法定代表人、总经理，未有效督促、检查本单位的安全生产工作，未及时消除生产安全事故隐患，未有效履行安全生产管理职责，导致事故发生。</w:t>
      </w:r>
    </w:p>
    <w:p w14:paraId="06CCFFD6">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3.刘*，兴雅硕公司</w:t>
      </w:r>
      <w:r>
        <w:rPr>
          <w:rFonts w:hint="eastAsia" w:ascii="Times New Roman" w:hAnsi="Times New Roman" w:cs="Times New Roman"/>
          <w:szCs w:val="32"/>
          <w:lang w:eastAsia="zh-CN"/>
        </w:rPr>
        <w:t>临时雇佣汽车起重机司机（起重机司机证件号码：</w:t>
      </w:r>
      <w:r>
        <w:rPr>
          <w:rFonts w:hint="eastAsia" w:cs="Times New Roman"/>
          <w:szCs w:val="32"/>
          <w:lang w:val="en-US" w:eastAsia="zh-CN"/>
        </w:rPr>
        <w:t>513921199908******</w:t>
      </w:r>
      <w:r>
        <w:rPr>
          <w:rFonts w:hint="eastAsia" w:ascii="Times New Roman" w:hAnsi="Times New Roman" w:cs="Times New Roman"/>
          <w:szCs w:val="32"/>
          <w:lang w:val="en-US" w:eastAsia="zh-CN"/>
        </w:rPr>
        <w:t>，项目代码：Q2，发证机关：重庆市九龙坡区市场监督管理局，初次领证有效日期：2022年3月26日—2026年3月25日，再次领证有效日期：2026年3月17日—2030年3月16日</w:t>
      </w:r>
      <w:r>
        <w:rPr>
          <w:rFonts w:hint="eastAsia" w:ascii="Times New Roman" w:hAnsi="Times New Roman" w:cs="Times New Roman"/>
          <w:szCs w:val="32"/>
          <w:lang w:eastAsia="zh-CN"/>
        </w:rPr>
        <w:t>），未掌握本职工作所需的安全生产知识，在起重机的吊臂下方有人，且未确保汽车起重机</w:t>
      </w:r>
      <w:r>
        <w:rPr>
          <w:rFonts w:hint="eastAsia" w:hAnsi="方正仿宋_GBK"/>
          <w:color w:val="000000"/>
          <w:szCs w:val="32"/>
          <w:lang w:val="en-US" w:eastAsia="zh-CN"/>
        </w:rPr>
        <w:t>向上斜升</w:t>
      </w:r>
      <w:r>
        <w:rPr>
          <w:rFonts w:hint="eastAsia" w:ascii="Times New Roman" w:hAnsi="Times New Roman" w:cs="Times New Roman"/>
          <w:szCs w:val="32"/>
          <w:lang w:eastAsia="zh-CN"/>
        </w:rPr>
        <w:t>的吊臂与厂房顶部的吊灯之间安全距离情况下进行吊装作业，</w:t>
      </w:r>
      <w:bookmarkStart w:id="71" w:name="_Toc1839948798"/>
      <w:bookmarkStart w:id="72" w:name="_Toc21884"/>
      <w:bookmarkStart w:id="73" w:name="_Toc25701"/>
      <w:r>
        <w:rPr>
          <w:rFonts w:hint="eastAsia" w:ascii="Times New Roman" w:hAnsi="Times New Roman" w:cs="Times New Roman"/>
          <w:szCs w:val="32"/>
          <w:lang w:val="en-US" w:eastAsia="zh-CN"/>
        </w:rPr>
        <w:t>导致事故发生。</w:t>
      </w:r>
    </w:p>
    <w:p w14:paraId="34488015">
      <w:pPr>
        <w:spacing w:line="600" w:lineRule="exact"/>
        <w:ind w:firstLine="632" w:firstLineChars="200"/>
        <w:outlineLvl w:val="0"/>
        <w:rPr>
          <w:rFonts w:hint="eastAsia"/>
          <w:lang w:val="en-US" w:eastAsia="zh-CN"/>
        </w:rPr>
      </w:pPr>
      <w:bookmarkStart w:id="74" w:name="_Toc10981"/>
      <w:r>
        <w:rPr>
          <w:rFonts w:hint="eastAsia" w:ascii="方正黑体_GBK" w:hAnsi="方正黑体_GBK" w:eastAsia="方正黑体_GBK" w:cs="方正黑体_GBK"/>
          <w:szCs w:val="32"/>
          <w:lang w:val="en-US" w:eastAsia="zh-CN"/>
        </w:rPr>
        <w:t>四、有关单位安全履职调查情况</w:t>
      </w:r>
      <w:bookmarkEnd w:id="71"/>
      <w:bookmarkEnd w:id="72"/>
      <w:bookmarkEnd w:id="73"/>
      <w:bookmarkEnd w:id="74"/>
    </w:p>
    <w:p w14:paraId="3DEF7DDB">
      <w:pPr>
        <w:spacing w:line="600" w:lineRule="exact"/>
        <w:ind w:firstLine="632" w:firstLineChars="200"/>
        <w:outlineLvl w:val="1"/>
        <w:rPr>
          <w:rFonts w:hint="eastAsia" w:ascii="方正楷体_GBK" w:hAnsi="方正楷体_GBK" w:eastAsia="方正楷体_GBK" w:cs="方正楷体_GBK"/>
          <w:szCs w:val="32"/>
          <w:lang w:val="en-US" w:eastAsia="zh-CN"/>
        </w:rPr>
      </w:pPr>
      <w:bookmarkStart w:id="75" w:name="_Toc19089"/>
      <w:bookmarkStart w:id="76" w:name="_Toc12941"/>
      <w:r>
        <w:rPr>
          <w:rFonts w:hint="eastAsia" w:ascii="方正楷体_GBK" w:hAnsi="方正楷体_GBK" w:eastAsia="方正楷体_GBK" w:cs="方正楷体_GBK"/>
          <w:szCs w:val="32"/>
          <w:lang w:val="en-US" w:eastAsia="zh-CN"/>
        </w:rPr>
        <w:t>（一）政府职能单位履职情况</w:t>
      </w:r>
      <w:bookmarkEnd w:id="75"/>
      <w:bookmarkEnd w:id="76"/>
    </w:p>
    <w:p w14:paraId="5D6067DC">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1.中梁山街道。2026年1月—3月，街道党工委主要领导组织召开关于安全生产和自然灾害风险研判的党工委会议2次、行政办公会议1次。街道党工委主要领导带队开展安全检查7次，发现隐患41个，并要求督促整改。街道各分管领导每月至少组织分管岗位开展安全检查2次，并要求跟进督导整改。街道分管平安法治板块领导每月组织召开村（社区）、相关岗位安全工作例会。街道主要领导每季度组织各村（社区）、相关岗位、第三方安全生产技术服务机构、相关企业等召开安全生产联席会议，通报工商贸企业隐患排查及复查情况，探讨隐患整改重点和难点，确保隐患整改。街道累计出动检查人员400余人次，巡查各类企事业单位550余家，开展执法检查307家，排查整改各类安全隐患1689条。同步聚焦物业小区、厂房库房、“九小场所”等重点区域，排查隐患173条，已整改138条，其余隐患限期整改中。组织开展集中安全培训2次，覆盖企业137家、从业人员400余人次。</w:t>
      </w:r>
    </w:p>
    <w:p w14:paraId="712F885A">
      <w:pPr>
        <w:spacing w:line="600" w:lineRule="exact"/>
        <w:ind w:firstLine="632" w:firstLineChars="200"/>
        <w:rPr>
          <w:rFonts w:hint="default" w:ascii="Times New Roman" w:hAnsi="Times New Roman" w:cs="Times New Roman"/>
          <w:szCs w:val="32"/>
          <w:lang w:val="en-US" w:eastAsia="zh-CN"/>
        </w:rPr>
      </w:pPr>
      <w:r>
        <w:rPr>
          <w:rFonts w:hint="eastAsia" w:ascii="Times New Roman" w:hAnsi="Times New Roman" w:cs="Times New Roman"/>
          <w:szCs w:val="32"/>
          <w:lang w:val="en-US" w:eastAsia="zh-CN"/>
        </w:rPr>
        <w:t>2.区商务委。制定《九龙坡区再生资源行业发展规划（2025—2029）》《九龙坡区再生资源回收站点管理办法》《九龙坡区再生资源回收站点积分管理制度》等文件，制定再生资源回收站点安全生产工作、废旧金属收购、加工设备操作、消防安全工作、再生资源回收5项管理制度和27项警示标识，并督促回收站点安全制度、警示标识上墙公示。对全区再生资源回收站点开展积分分级分类评价2次，对A、B级站点引导常态化保持规范经营，对C、D级站点督促站点整改隐患，拒不整改或者整改不到位的依法依规取缔。2026年参与评分站点669个，其中A级289个、B级195个、C级152个、D级33个。6个站点因搬迁、未营业等原因未参评。2025年至今，累计检查再生资源站点81家次，排查整改问题230余个，累计组织再生资源回收行业集中教育培训11次，组织骨干力量分镇街集中培训，利用安全检查开展个别培训，实现全区再生资源从业人员教育培训全覆盖。</w:t>
      </w:r>
    </w:p>
    <w:p w14:paraId="2DA85067">
      <w:pPr>
        <w:spacing w:line="600" w:lineRule="exact"/>
        <w:ind w:firstLine="632" w:firstLineChars="200"/>
        <w:outlineLvl w:val="1"/>
        <w:rPr>
          <w:rFonts w:hint="eastAsia" w:ascii="方正楷体_GBK" w:hAnsi="方正楷体_GBK" w:eastAsia="方正楷体_GBK" w:cs="方正楷体_GBK"/>
          <w:szCs w:val="32"/>
          <w:lang w:val="en-US" w:eastAsia="zh-CN"/>
        </w:rPr>
      </w:pPr>
      <w:bookmarkStart w:id="77" w:name="_Toc7984"/>
      <w:bookmarkStart w:id="78" w:name="_Toc17223"/>
      <w:r>
        <w:rPr>
          <w:rFonts w:hint="eastAsia" w:ascii="方正楷体_GBK" w:hAnsi="方正楷体_GBK" w:eastAsia="方正楷体_GBK" w:cs="方正楷体_GBK"/>
          <w:szCs w:val="32"/>
          <w:lang w:val="en-US" w:eastAsia="zh-CN"/>
        </w:rPr>
        <w:t>（二）处理意见</w:t>
      </w:r>
      <w:bookmarkEnd w:id="77"/>
      <w:bookmarkEnd w:id="78"/>
    </w:p>
    <w:p w14:paraId="5EAC3E27">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在本次事故调查中，未发现中梁山街道、区商务委及相关监管人员存在履职不到位的问题。</w:t>
      </w:r>
    </w:p>
    <w:p w14:paraId="1E207D62">
      <w:pPr>
        <w:spacing w:line="600" w:lineRule="exact"/>
        <w:ind w:firstLine="632" w:firstLineChars="200"/>
        <w:outlineLvl w:val="0"/>
        <w:rPr>
          <w:rFonts w:hint="eastAsia" w:ascii="方正黑体_GBK" w:hAnsi="方正黑体_GBK" w:eastAsia="方正黑体_GBK" w:cs="方正黑体_GBK"/>
          <w:szCs w:val="32"/>
          <w:lang w:val="en-US" w:eastAsia="zh-CN"/>
        </w:rPr>
      </w:pPr>
      <w:bookmarkStart w:id="79" w:name="_Toc7980"/>
      <w:bookmarkStart w:id="80" w:name="_Toc1440260193"/>
      <w:bookmarkStart w:id="81" w:name="_Toc19865"/>
      <w:bookmarkStart w:id="82" w:name="_Toc30253"/>
      <w:bookmarkStart w:id="83" w:name="_Toc11704"/>
      <w:r>
        <w:rPr>
          <w:rFonts w:hint="eastAsia" w:ascii="方正黑体_GBK" w:hAnsi="方正黑体_GBK" w:eastAsia="方正黑体_GBK" w:cs="方正黑体_GBK"/>
          <w:szCs w:val="32"/>
          <w:lang w:val="en-US" w:eastAsia="zh-CN"/>
        </w:rPr>
        <w:t>五、对有关责任人员和责任单位的处理建议</w:t>
      </w:r>
      <w:bookmarkEnd w:id="79"/>
      <w:bookmarkEnd w:id="80"/>
      <w:bookmarkEnd w:id="81"/>
      <w:bookmarkEnd w:id="82"/>
      <w:bookmarkEnd w:id="83"/>
    </w:p>
    <w:p w14:paraId="58DD0163">
      <w:pPr>
        <w:spacing w:line="600" w:lineRule="exact"/>
        <w:ind w:firstLine="632" w:firstLineChars="200"/>
        <w:outlineLvl w:val="1"/>
        <w:rPr>
          <w:rFonts w:hint="eastAsia" w:ascii="方正楷体_GBK" w:hAnsi="方正楷体_GBK" w:eastAsia="方正楷体_GBK" w:cs="方正楷体_GBK"/>
          <w:szCs w:val="32"/>
          <w:lang w:val="en-US" w:eastAsia="zh-CN"/>
        </w:rPr>
      </w:pPr>
      <w:bookmarkStart w:id="84" w:name="_Toc15675"/>
      <w:bookmarkStart w:id="85" w:name="_Toc7551"/>
      <w:bookmarkStart w:id="86" w:name="_Toc23626"/>
      <w:bookmarkStart w:id="87" w:name="_Toc250609426"/>
      <w:bookmarkStart w:id="88" w:name="_Toc12663"/>
      <w:r>
        <w:rPr>
          <w:rFonts w:hint="eastAsia" w:ascii="方正楷体_GBK" w:hAnsi="方正楷体_GBK" w:eastAsia="方正楷体_GBK" w:cs="方正楷体_GBK"/>
          <w:szCs w:val="32"/>
          <w:lang w:val="en-US" w:eastAsia="zh-CN"/>
        </w:rPr>
        <w:t>（一）建议给予行政处罚的单位和人员</w:t>
      </w:r>
      <w:bookmarkEnd w:id="84"/>
      <w:bookmarkEnd w:id="85"/>
    </w:p>
    <w:p w14:paraId="248D7C9C">
      <w:pPr>
        <w:spacing w:line="600" w:lineRule="exact"/>
        <w:ind w:left="12" w:firstLine="620" w:firstLineChars="196"/>
        <w:rPr>
          <w:rFonts w:hint="eastAsia" w:ascii="Times New Roman" w:hAnsi="Times New Roman" w:cs="Times New Roman"/>
          <w:szCs w:val="32"/>
          <w:lang w:val="en-US" w:eastAsia="zh-CN"/>
        </w:rPr>
      </w:pPr>
      <w:r>
        <w:rPr>
          <w:rFonts w:hint="default" w:ascii="Times New Roman" w:hAnsi="Times New Roman" w:cs="Times New Roman"/>
          <w:szCs w:val="32"/>
          <w:lang w:val="en-US" w:eastAsia="zh-CN"/>
        </w:rPr>
        <w:t>1.</w:t>
      </w:r>
      <w:r>
        <w:rPr>
          <w:rFonts w:hint="eastAsia" w:ascii="Times New Roman" w:hAnsi="Times New Roman" w:cs="Times New Roman"/>
          <w:szCs w:val="32"/>
          <w:lang w:val="en-US" w:eastAsia="zh-CN"/>
        </w:rPr>
        <w:t>兴雅硕公司，未履行法定义务，其行为违反了《中华人民共和国安全生产法》第四十</w:t>
      </w:r>
      <w:r>
        <w:rPr>
          <w:rFonts w:hint="eastAsia" w:ascii="Times New Roman" w:hAnsi="Times New Roman" w:cs="Times New Roman"/>
          <w:color w:val="auto"/>
          <w:szCs w:val="32"/>
          <w:lang w:val="en-US" w:eastAsia="zh-CN"/>
        </w:rPr>
        <w:t>一条第二款</w:t>
      </w:r>
      <w:r>
        <w:rPr>
          <w:rFonts w:hint="default" w:ascii="Times New Roman" w:hAnsi="Times New Roman" w:cs="Times New Roman"/>
          <w:szCs w:val="32"/>
          <w:vertAlign w:val="superscript"/>
          <w:lang w:val="en-US" w:eastAsia="zh-CN"/>
        </w:rPr>
        <w:t>[</w:t>
      </w:r>
      <w:r>
        <w:rPr>
          <w:rFonts w:hint="default" w:ascii="Times New Roman" w:hAnsi="Times New Roman" w:cs="Times New Roman"/>
          <w:szCs w:val="32"/>
          <w:vertAlign w:val="superscript"/>
          <w:lang w:val="en-US" w:eastAsia="zh-CN"/>
        </w:rPr>
        <w:footnoteReference w:id="0"/>
      </w:r>
      <w:r>
        <w:rPr>
          <w:rFonts w:hint="default" w:ascii="Times New Roman" w:hAnsi="Times New Roman" w:cs="Times New Roman"/>
          <w:szCs w:val="32"/>
          <w:vertAlign w:val="superscript"/>
          <w:lang w:val="en-US" w:eastAsia="zh-CN"/>
        </w:rPr>
        <w:t>]</w:t>
      </w:r>
      <w:r>
        <w:rPr>
          <w:rFonts w:hint="eastAsia" w:ascii="Times New Roman" w:hAnsi="Times New Roman" w:cs="Times New Roman"/>
          <w:szCs w:val="32"/>
          <w:lang w:val="en-US" w:eastAsia="zh-CN"/>
        </w:rPr>
        <w:t>的规定，导致发生生产安全事故，对本次事故发生负有责任，建议由区应急管理局依法对兴雅硕公司实施行政处罚。</w:t>
      </w:r>
    </w:p>
    <w:p w14:paraId="1F8F194A">
      <w:pPr>
        <w:spacing w:line="600" w:lineRule="exact"/>
        <w:ind w:left="12" w:firstLine="620" w:firstLineChars="196"/>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2.胡*，兴雅硕公司法定代表人、总经理，未履行法定义务，其行为违反了《中华人民共和国安全生产法》第二十一条第五项</w:t>
      </w:r>
      <w:r>
        <w:rPr>
          <w:rFonts w:hint="default" w:ascii="Times New Roman" w:hAnsi="Times New Roman" w:cs="Times New Roman"/>
          <w:szCs w:val="32"/>
          <w:vertAlign w:val="superscript"/>
          <w:lang w:val="en-US" w:eastAsia="zh-CN"/>
        </w:rPr>
        <w:t>[</w:t>
      </w:r>
      <w:r>
        <w:rPr>
          <w:rFonts w:hint="default" w:ascii="Times New Roman" w:hAnsi="Times New Roman" w:cs="Times New Roman"/>
          <w:szCs w:val="32"/>
          <w:vertAlign w:val="superscript"/>
          <w:lang w:val="en-US" w:eastAsia="zh-CN"/>
        </w:rPr>
        <w:footnoteReference w:id="1"/>
      </w:r>
      <w:r>
        <w:rPr>
          <w:rFonts w:hint="default" w:ascii="Times New Roman" w:hAnsi="Times New Roman" w:cs="Times New Roman"/>
          <w:szCs w:val="32"/>
          <w:vertAlign w:val="superscript"/>
          <w:lang w:val="en-US" w:eastAsia="zh-CN"/>
        </w:rPr>
        <w:t>]</w:t>
      </w:r>
      <w:r>
        <w:rPr>
          <w:rFonts w:hint="eastAsia" w:ascii="Times New Roman" w:hAnsi="Times New Roman" w:cs="Times New Roman"/>
          <w:szCs w:val="32"/>
          <w:lang w:val="en-US" w:eastAsia="zh-CN"/>
        </w:rPr>
        <w:t>的规定，导致发生生产安全事故，对本次事故发生负有责任，建议由区应急管理局依法对胡*实施行政处罚。</w:t>
      </w:r>
    </w:p>
    <w:p w14:paraId="13DC03B7">
      <w:pPr>
        <w:spacing w:line="600" w:lineRule="exact"/>
        <w:ind w:firstLine="632" w:firstLineChars="200"/>
        <w:outlineLvl w:val="1"/>
        <w:rPr>
          <w:rFonts w:hint="eastAsia" w:ascii="方正楷体_GBK" w:hAnsi="方正楷体_GBK" w:eastAsia="方正楷体_GBK" w:cs="方正楷体_GBK"/>
          <w:szCs w:val="32"/>
          <w:lang w:val="en-US" w:eastAsia="zh-CN"/>
        </w:rPr>
      </w:pPr>
      <w:bookmarkStart w:id="89" w:name="_Toc28623"/>
      <w:bookmarkStart w:id="90" w:name="_Toc29193"/>
      <w:r>
        <w:rPr>
          <w:rFonts w:hint="eastAsia" w:ascii="方正楷体_GBK" w:hAnsi="方正楷体_GBK" w:eastAsia="方正楷体_GBK" w:cs="方正楷体_GBK"/>
          <w:szCs w:val="32"/>
          <w:lang w:val="en-US" w:eastAsia="zh-CN"/>
        </w:rPr>
        <w:t>（二）建议移送司法机关处理的人员</w:t>
      </w:r>
      <w:bookmarkEnd w:id="89"/>
      <w:bookmarkEnd w:id="90"/>
    </w:p>
    <w:p w14:paraId="68A4E118">
      <w:pPr>
        <w:spacing w:line="600" w:lineRule="exact"/>
        <w:ind w:left="12" w:firstLine="620" w:firstLineChars="196"/>
        <w:rPr>
          <w:szCs w:val="32"/>
        </w:rPr>
      </w:pPr>
      <w:r>
        <w:rPr>
          <w:rFonts w:hint="eastAsia" w:ascii="Times New Roman" w:hAnsi="Times New Roman" w:cs="Times New Roman"/>
          <w:szCs w:val="32"/>
          <w:lang w:val="en-US" w:eastAsia="zh-CN"/>
        </w:rPr>
        <w:t>刘*，兴雅硕公司</w:t>
      </w:r>
      <w:r>
        <w:rPr>
          <w:rFonts w:hint="eastAsia" w:ascii="Times New Roman" w:hAnsi="Times New Roman" w:cs="Times New Roman"/>
          <w:szCs w:val="32"/>
          <w:lang w:eastAsia="zh-CN"/>
        </w:rPr>
        <w:t>临时雇佣汽车起重机司机</w:t>
      </w:r>
      <w:r>
        <w:rPr>
          <w:rFonts w:hint="eastAsia" w:ascii="Times New Roman" w:hAnsi="Times New Roman" w:cs="Times New Roman"/>
          <w:szCs w:val="32"/>
          <w:lang w:val="en-US" w:eastAsia="zh-CN"/>
        </w:rPr>
        <w:t>，未履行法定义务，</w:t>
      </w:r>
      <w:r>
        <w:rPr>
          <w:rFonts w:hint="eastAsia"/>
          <w:szCs w:val="32"/>
        </w:rPr>
        <w:t>建议</w:t>
      </w:r>
      <w:r>
        <w:rPr>
          <w:rFonts w:hint="eastAsia" w:ascii="Times New Roman" w:hAnsi="Times New Roman" w:cs="Times New Roman"/>
          <w:szCs w:val="32"/>
          <w:lang w:val="en-US" w:eastAsia="zh-CN"/>
        </w:rPr>
        <w:t>由</w:t>
      </w:r>
      <w:r>
        <w:rPr>
          <w:rFonts w:hint="eastAsia"/>
          <w:szCs w:val="32"/>
        </w:rPr>
        <w:t>区公安分局依法对</w:t>
      </w:r>
      <w:r>
        <w:rPr>
          <w:rFonts w:hint="eastAsia"/>
          <w:szCs w:val="32"/>
          <w:lang w:eastAsia="zh-CN"/>
        </w:rPr>
        <w:t>刘*</w:t>
      </w:r>
      <w:r>
        <w:rPr>
          <w:rFonts w:hint="eastAsia"/>
          <w:szCs w:val="32"/>
        </w:rPr>
        <w:t>追</w:t>
      </w:r>
      <w:r>
        <w:rPr>
          <w:rFonts w:hint="eastAsia"/>
          <w:color w:val="auto"/>
          <w:szCs w:val="32"/>
        </w:rPr>
        <w:t>究</w:t>
      </w:r>
      <w:r>
        <w:rPr>
          <w:rFonts w:hint="eastAsia"/>
          <w:color w:val="auto"/>
          <w:szCs w:val="32"/>
          <w:lang w:eastAsia="zh-CN"/>
        </w:rPr>
        <w:t>相应</w:t>
      </w:r>
      <w:r>
        <w:rPr>
          <w:rFonts w:hint="eastAsia"/>
          <w:color w:val="auto"/>
          <w:szCs w:val="32"/>
        </w:rPr>
        <w:t>责任。</w:t>
      </w:r>
    </w:p>
    <w:bookmarkEnd w:id="86"/>
    <w:bookmarkEnd w:id="87"/>
    <w:bookmarkEnd w:id="88"/>
    <w:p w14:paraId="692C0BAD">
      <w:pPr>
        <w:spacing w:line="600" w:lineRule="exact"/>
        <w:ind w:firstLine="632" w:firstLineChars="200"/>
        <w:outlineLvl w:val="0"/>
        <w:rPr>
          <w:rFonts w:hint="default" w:ascii="方正黑体_GBK" w:hAnsi="方正黑体_GBK" w:eastAsia="方正黑体_GBK" w:cs="方正黑体_GBK"/>
          <w:szCs w:val="32"/>
          <w:lang w:val="en-US" w:eastAsia="zh-CN"/>
        </w:rPr>
      </w:pPr>
      <w:bookmarkStart w:id="91" w:name="_Toc13626"/>
      <w:bookmarkStart w:id="92" w:name="_Toc31504"/>
      <w:r>
        <w:rPr>
          <w:rFonts w:hint="eastAsia" w:ascii="方正黑体_GBK" w:hAnsi="方正黑体_GBK" w:eastAsia="方正黑体_GBK" w:cs="方正黑体_GBK"/>
          <w:szCs w:val="32"/>
          <w:lang w:val="en-US" w:eastAsia="zh-CN"/>
        </w:rPr>
        <w:t>六、事故整改和防范措施</w:t>
      </w:r>
      <w:bookmarkEnd w:id="91"/>
      <w:bookmarkEnd w:id="92"/>
    </w:p>
    <w:p w14:paraId="7122B7C7">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为避免和预防类似事故再次发生，从此次事故中深刻汲取血的教训，在今后的工作中，建议应从以下方面采取事故整改和防范措施：</w:t>
      </w:r>
    </w:p>
    <w:p w14:paraId="554A6E9D">
      <w:pPr>
        <w:spacing w:line="600" w:lineRule="exact"/>
        <w:ind w:firstLine="632" w:firstLineChars="200"/>
        <w:outlineLvl w:val="1"/>
        <w:rPr>
          <w:rFonts w:hint="eastAsia" w:ascii="方正楷体_GBK" w:hAnsi="方正楷体_GBK" w:eastAsia="方正楷体_GBK" w:cs="方正楷体_GBK"/>
          <w:szCs w:val="32"/>
          <w:lang w:val="en-US" w:eastAsia="zh-CN"/>
        </w:rPr>
      </w:pPr>
      <w:bookmarkStart w:id="93" w:name="_Toc25580"/>
      <w:r>
        <w:rPr>
          <w:rFonts w:hint="eastAsia" w:ascii="方正楷体_GBK" w:hAnsi="方正楷体_GBK" w:eastAsia="方正楷体_GBK" w:cs="方正楷体_GBK"/>
          <w:szCs w:val="32"/>
          <w:lang w:val="en-US" w:eastAsia="zh-CN"/>
        </w:rPr>
        <w:t>（一）兴雅硕公司</w:t>
      </w:r>
      <w:bookmarkEnd w:id="93"/>
    </w:p>
    <w:p w14:paraId="42D9F5E9">
      <w:pPr>
        <w:spacing w:line="600" w:lineRule="exact"/>
        <w:ind w:firstLine="632"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一是应汲取此次事故的教训，对公司进行一次深入的隐患排查，对发现的问题和安全隐患，立即落实整改。二是应加强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三是应建立健全并落实生产安全事故隐患排查治理制度，采取技术、管理措施，及时发现并消除事故隐患。四是应教育和督促从业人员严格执行本单位的安全生产规章制度和安全操作规程；并向从业人员如实告知作业场所和工作岗位存在的危险因素、防范措施以及事故应急措施。</w:t>
      </w:r>
    </w:p>
    <w:p w14:paraId="31B761BB">
      <w:pPr>
        <w:spacing w:line="600" w:lineRule="exact"/>
        <w:ind w:firstLine="632" w:firstLineChars="200"/>
        <w:outlineLvl w:val="1"/>
        <w:rPr>
          <w:rFonts w:hint="eastAsia" w:ascii="方正楷体_GBK" w:hAnsi="方正楷体_GBK" w:eastAsia="方正楷体_GBK" w:cs="方正楷体_GBK"/>
          <w:szCs w:val="32"/>
          <w:lang w:val="en-US" w:eastAsia="zh-CN"/>
        </w:rPr>
      </w:pPr>
      <w:bookmarkStart w:id="94" w:name="_Toc32508"/>
      <w:r>
        <w:rPr>
          <w:rFonts w:hint="eastAsia" w:ascii="方正楷体_GBK" w:hAnsi="方正楷体_GBK" w:eastAsia="方正楷体_GBK" w:cs="方正楷体_GBK"/>
          <w:szCs w:val="32"/>
          <w:lang w:val="en-US" w:eastAsia="zh-CN"/>
        </w:rPr>
        <w:t>（二）中梁山街道</w:t>
      </w:r>
      <w:bookmarkEnd w:id="94"/>
    </w:p>
    <w:p w14:paraId="4E1D50FB">
      <w:pPr>
        <w:spacing w:line="600" w:lineRule="exact"/>
        <w:ind w:firstLine="632" w:firstLineChars="200"/>
        <w:rPr>
          <w:rFonts w:hint="eastAsia" w:ascii="方正仿宋_GBK"/>
          <w:szCs w:val="32"/>
        </w:rPr>
      </w:pPr>
      <w:r>
        <w:rPr>
          <w:rFonts w:hint="eastAsia" w:ascii="方正仿宋_GBK"/>
          <w:szCs w:val="32"/>
        </w:rPr>
        <w:t>一是加强安全教育培训、宣传。组织召开安全工作会议，举办安全教育培训、宣传活动，加强对辖区生产经营单位的相关人员进行安全教育培训、宣传。二是加强属地监管检查。根据职责分工，按照分类分级监督管理的要求，科学制定属地安全生产年度监督检查计划，并按照年度监督检查计划进行监督检查，发现事故隐患，及时处理，落实属地监管责任。三是严格执法处罚。严格执法检查、执法处罚，加强对</w:t>
      </w:r>
      <w:r>
        <w:rPr>
          <w:rFonts w:hint="eastAsia"/>
          <w:szCs w:val="32"/>
        </w:rPr>
        <w:t>重点生产经营单位的</w:t>
      </w:r>
      <w:r>
        <w:rPr>
          <w:rFonts w:hint="eastAsia" w:ascii="方正仿宋_GBK"/>
          <w:szCs w:val="32"/>
        </w:rPr>
        <w:t>安全监管，查处（移交）安全生产违法行为（线索），督促企业落实安全隐患排查与治理，及时消除安全隐患，形成闭环管理。</w:t>
      </w:r>
    </w:p>
    <w:p w14:paraId="0859B610">
      <w:pPr>
        <w:spacing w:line="600" w:lineRule="exact"/>
        <w:ind w:firstLine="632" w:firstLineChars="200"/>
        <w:outlineLvl w:val="1"/>
        <w:rPr>
          <w:rFonts w:hint="eastAsia" w:ascii="方正楷体_GBK" w:hAnsi="方正楷体_GBK" w:eastAsia="方正楷体_GBK" w:cs="方正楷体_GBK"/>
          <w:szCs w:val="32"/>
          <w:lang w:val="en-US" w:eastAsia="zh-CN"/>
        </w:rPr>
      </w:pPr>
      <w:bookmarkStart w:id="95" w:name="_Toc18569"/>
      <w:r>
        <w:rPr>
          <w:rFonts w:hint="eastAsia" w:ascii="方正楷体_GBK" w:hAnsi="方正楷体_GBK" w:eastAsia="方正楷体_GBK" w:cs="方正楷体_GBK"/>
          <w:szCs w:val="32"/>
          <w:lang w:val="en-US" w:eastAsia="zh-CN"/>
        </w:rPr>
        <w:t>（三）区商务委</w:t>
      </w:r>
      <w:bookmarkEnd w:id="95"/>
    </w:p>
    <w:p w14:paraId="2E43B38C">
      <w:pPr>
        <w:spacing w:line="600" w:lineRule="exact"/>
        <w:ind w:firstLine="632" w:firstLineChars="200"/>
        <w:rPr>
          <w:rFonts w:hint="eastAsia" w:ascii="方正仿宋_GBK"/>
          <w:szCs w:val="32"/>
        </w:rPr>
      </w:pPr>
      <w:r>
        <w:rPr>
          <w:rFonts w:hint="eastAsia" w:ascii="方正仿宋_GBK"/>
          <w:szCs w:val="32"/>
        </w:rPr>
        <w:t>一是加强安全教育培训、宣传。组织召开安全工作会议，举办安全教育培训、宣传活动，加强对辖区所属监管行业生产经营单位的相关人员进行安全教育培训、宣传。二是加强行业监管检查。根据职责分工，按照分类分级监督管理的要求，科学制定行业安全生产年度监督检查计划，并按照年度监督检查计划进行监督检查，发现事故隐患，及时处理，落实行业监管责任。三是严格执法</w:t>
      </w:r>
      <w:r>
        <w:rPr>
          <w:rFonts w:hint="eastAsia" w:ascii="方正仿宋_GBK"/>
          <w:szCs w:val="32"/>
          <w:lang w:eastAsia="zh-CN"/>
        </w:rPr>
        <w:t>检查</w:t>
      </w:r>
      <w:r>
        <w:rPr>
          <w:rFonts w:hint="eastAsia" w:ascii="方正仿宋_GBK"/>
          <w:szCs w:val="32"/>
        </w:rPr>
        <w:t>。加强对</w:t>
      </w:r>
      <w:r>
        <w:rPr>
          <w:rFonts w:hint="eastAsia"/>
          <w:szCs w:val="32"/>
        </w:rPr>
        <w:t>重点生产经营单位的</w:t>
      </w:r>
      <w:r>
        <w:rPr>
          <w:rFonts w:hint="eastAsia" w:ascii="方正仿宋_GBK"/>
          <w:szCs w:val="32"/>
        </w:rPr>
        <w:t>安全监管，</w:t>
      </w:r>
      <w:r>
        <w:rPr>
          <w:rFonts w:hint="eastAsia" w:ascii="方正仿宋_GBK"/>
          <w:szCs w:val="32"/>
          <w:lang w:eastAsia="zh-CN"/>
        </w:rPr>
        <w:t>制止</w:t>
      </w:r>
      <w:r>
        <w:rPr>
          <w:rFonts w:hint="eastAsia" w:ascii="方正仿宋_GBK"/>
          <w:szCs w:val="32"/>
        </w:rPr>
        <w:t>（移交）安全生产违法行为（线索），督促企业落实安全隐患排查与治理，及时消除安全隐患，形成闭环管理。</w:t>
      </w:r>
    </w:p>
    <w:p w14:paraId="55AABF95">
      <w:pPr>
        <w:spacing w:line="600" w:lineRule="exact"/>
        <w:ind w:firstLine="632" w:firstLineChars="200"/>
        <w:rPr>
          <w:rFonts w:hint="eastAsia" w:ascii="方正仿宋_GBK" w:hAnsi="Times New Roman" w:cs="Times New Roman"/>
          <w:szCs w:val="32"/>
          <w:lang w:val="en-US" w:eastAsia="zh-CN"/>
        </w:rPr>
      </w:pPr>
    </w:p>
    <w:p w14:paraId="33FF3CBB">
      <w:pPr>
        <w:tabs>
          <w:tab w:val="left" w:pos="2880"/>
        </w:tabs>
        <w:spacing w:line="600" w:lineRule="exact"/>
        <w:ind w:left="632" w:hanging="632" w:hangingChars="200"/>
        <w:jc w:val="center"/>
        <w:rPr>
          <w:rFonts w:hint="eastAsia" w:ascii="方正仿宋_GBK"/>
          <w:color w:val="auto"/>
          <w:szCs w:val="32"/>
        </w:rPr>
      </w:pPr>
      <w:r>
        <w:rPr>
          <w:rFonts w:hint="eastAsia" w:ascii="方正仿宋_GBK"/>
          <w:color w:val="auto"/>
          <w:szCs w:val="32"/>
        </w:rPr>
        <w:t xml:space="preserve">              </w:t>
      </w:r>
      <w:r>
        <w:rPr>
          <w:rFonts w:hint="eastAsia" w:ascii="Times New Roman" w:hAnsi="Times New Roman" w:cs="Times New Roman"/>
          <w:szCs w:val="32"/>
          <w:lang w:val="en-US" w:eastAsia="zh-CN"/>
        </w:rPr>
        <w:t>九龙坡中梁山</w:t>
      </w:r>
      <w:r>
        <w:rPr>
          <w:rFonts w:hint="eastAsia" w:ascii="方正仿宋_GBK" w:hAnsi="Times New Roman" w:cs="Times New Roman"/>
          <w:color w:val="auto"/>
          <w:szCs w:val="32"/>
          <w:lang w:val="en-US" w:eastAsia="zh-CN"/>
        </w:rPr>
        <w:t>重庆兴雅硕再生资源回收有限公司</w:t>
      </w:r>
    </w:p>
    <w:p w14:paraId="18D30B38">
      <w:pPr>
        <w:tabs>
          <w:tab w:val="left" w:pos="2880"/>
        </w:tabs>
        <w:spacing w:line="600" w:lineRule="exact"/>
        <w:ind w:left="632" w:hanging="632" w:hangingChars="200"/>
        <w:jc w:val="center"/>
        <w:rPr>
          <w:rFonts w:hint="eastAsia" w:ascii="方正仿宋_GBK" w:eastAsia="方正仿宋_GBK"/>
          <w:color w:val="auto"/>
          <w:szCs w:val="32"/>
          <w:lang w:val="en-US" w:eastAsia="zh-CN"/>
        </w:rPr>
      </w:pPr>
      <w:r>
        <w:rPr>
          <w:rFonts w:ascii="方正仿宋_GBK"/>
          <w:color w:val="auto"/>
          <w:szCs w:val="32"/>
        </w:rPr>
        <w:t xml:space="preserve">             </w:t>
      </w:r>
      <w:r>
        <w:rPr>
          <w:rFonts w:hint="eastAsia" w:ascii="方正仿宋_GBK"/>
          <w:color w:val="auto"/>
          <w:szCs w:val="32"/>
          <w:lang w:val="en-US" w:eastAsia="zh-CN"/>
        </w:rPr>
        <w:t xml:space="preserve"> </w:t>
      </w:r>
      <w:r>
        <w:rPr>
          <w:rFonts w:hint="eastAsia" w:ascii="方正仿宋_GBK"/>
          <w:color w:val="auto"/>
          <w:szCs w:val="32"/>
        </w:rPr>
        <w:t>“</w:t>
      </w:r>
      <w:r>
        <w:rPr>
          <w:rFonts w:hint="eastAsia" w:eastAsia="方正小标宋_GBK" w:cs="仿宋_GB2312"/>
          <w:color w:val="auto"/>
          <w:kern w:val="0"/>
          <w:szCs w:val="32"/>
          <w:lang w:val="en-US" w:eastAsia="zh-CN"/>
        </w:rPr>
        <w:t>3</w:t>
      </w:r>
      <w:r>
        <w:rPr>
          <w:szCs w:val="32"/>
        </w:rPr>
        <w:t>·</w:t>
      </w:r>
      <w:r>
        <w:rPr>
          <w:rFonts w:hint="eastAsia"/>
          <w:szCs w:val="32"/>
          <w:lang w:val="en-US" w:eastAsia="zh-CN"/>
        </w:rPr>
        <w:t>20</w:t>
      </w:r>
      <w:r>
        <w:rPr>
          <w:rFonts w:hint="eastAsia" w:ascii="方正仿宋_GBK"/>
          <w:color w:val="auto"/>
          <w:szCs w:val="32"/>
        </w:rPr>
        <w:t>”</w:t>
      </w:r>
      <w:r>
        <w:rPr>
          <w:rFonts w:hint="eastAsia" w:ascii="方正仿宋_GBK"/>
          <w:color w:val="auto"/>
          <w:szCs w:val="32"/>
          <w:lang w:val="en-US" w:eastAsia="zh-CN"/>
        </w:rPr>
        <w:t>一般起重伤害事故</w:t>
      </w:r>
      <w:r>
        <w:rPr>
          <w:rFonts w:hint="eastAsia" w:ascii="方正仿宋_GBK"/>
          <w:color w:val="auto"/>
          <w:szCs w:val="32"/>
        </w:rPr>
        <w:t>调查组</w:t>
      </w:r>
    </w:p>
    <w:p w14:paraId="6FC31363">
      <w:pPr>
        <w:spacing w:line="560" w:lineRule="exact"/>
        <w:ind w:firstLine="632" w:firstLineChars="200"/>
        <w:rPr>
          <w:rFonts w:hint="eastAsia" w:ascii="方正仿宋_GBK" w:eastAsia="方正仿宋_GBK"/>
          <w:color w:val="auto"/>
          <w:sz w:val="32"/>
          <w:szCs w:val="32"/>
        </w:rPr>
      </w:pPr>
      <w:r>
        <w:rPr>
          <w:rFonts w:hint="eastAsia" w:ascii="Times New Roman" w:eastAsia="方正小标宋_GBK"/>
          <w:color w:val="auto"/>
          <w:sz w:val="32"/>
          <w:szCs w:val="32"/>
        </w:rPr>
        <w:t xml:space="preserve">                   </w:t>
      </w:r>
      <w:r>
        <w:rPr>
          <w:rFonts w:ascii="Times New Roman" w:eastAsia="方正小标宋_GBK"/>
          <w:color w:val="auto"/>
          <w:sz w:val="32"/>
          <w:szCs w:val="32"/>
        </w:rPr>
        <w:t xml:space="preserve">    </w:t>
      </w:r>
      <w:r>
        <w:rPr>
          <w:rFonts w:hint="eastAsia" w:ascii="Times New Roman" w:eastAsia="方正小标宋_GBK"/>
          <w:color w:val="auto"/>
          <w:sz w:val="32"/>
          <w:szCs w:val="32"/>
          <w:lang w:val="en-US" w:eastAsia="zh-CN"/>
        </w:rPr>
        <w:t xml:space="preserve"> </w:t>
      </w:r>
      <w:r>
        <w:rPr>
          <w:rFonts w:ascii="Times New Roman" w:eastAsia="方正小标宋_GBK"/>
          <w:color w:val="auto"/>
          <w:sz w:val="32"/>
          <w:szCs w:val="32"/>
        </w:rPr>
        <w:t>202</w:t>
      </w:r>
      <w:r>
        <w:rPr>
          <w:rFonts w:hint="eastAsia" w:ascii="Times New Roman" w:eastAsia="方正小标宋_GBK"/>
          <w:color w:val="auto"/>
          <w:sz w:val="32"/>
          <w:szCs w:val="32"/>
          <w:lang w:val="en-US" w:eastAsia="zh-CN"/>
        </w:rPr>
        <w:t>6</w:t>
      </w:r>
      <w:r>
        <w:rPr>
          <w:rFonts w:hint="eastAsia" w:ascii="方正仿宋_GBK" w:eastAsia="方正仿宋_GBK"/>
          <w:color w:val="auto"/>
          <w:sz w:val="32"/>
          <w:szCs w:val="32"/>
        </w:rPr>
        <w:t>年</w:t>
      </w:r>
      <w:r>
        <w:rPr>
          <w:rFonts w:hint="eastAsia" w:ascii="Times New Roman" w:eastAsia="方正小标宋_GBK"/>
          <w:color w:val="auto"/>
          <w:sz w:val="32"/>
          <w:szCs w:val="32"/>
          <w:lang w:val="en-US" w:eastAsia="zh-CN"/>
        </w:rPr>
        <w:t>7</w:t>
      </w:r>
      <w:r>
        <w:rPr>
          <w:rFonts w:hint="eastAsia" w:ascii="方正仿宋_GBK" w:eastAsia="方正仿宋_GBK"/>
          <w:color w:val="auto"/>
          <w:sz w:val="32"/>
          <w:szCs w:val="32"/>
        </w:rPr>
        <w:t>月</w:t>
      </w:r>
      <w:r>
        <w:rPr>
          <w:rFonts w:hint="eastAsia" w:ascii="Times New Roman" w:eastAsia="方正小标宋_GBK"/>
          <w:color w:val="auto"/>
          <w:sz w:val="32"/>
          <w:szCs w:val="32"/>
          <w:lang w:val="en-US" w:eastAsia="zh-CN"/>
        </w:rPr>
        <w:t>8</w:t>
      </w:r>
      <w:r>
        <w:rPr>
          <w:rFonts w:hint="eastAsia" w:ascii="方正仿宋_GBK" w:eastAsia="方正仿宋_GBK"/>
          <w:color w:val="auto"/>
          <w:sz w:val="32"/>
          <w:szCs w:val="32"/>
        </w:rPr>
        <w:t>日</w:t>
      </w:r>
    </w:p>
    <w:p w14:paraId="263407F7">
      <w:pPr>
        <w:spacing w:line="560" w:lineRule="exact"/>
        <w:ind w:firstLine="632" w:firstLineChars="200"/>
        <w:rPr>
          <w:rFonts w:hint="eastAsia" w:ascii="方正仿宋_GBK" w:eastAsia="方正仿宋_GBK"/>
          <w:color w:val="auto"/>
          <w:sz w:val="32"/>
          <w:szCs w:val="32"/>
        </w:rPr>
      </w:pPr>
    </w:p>
    <w:sectPr>
      <w:footerReference r:id="rId6" w:type="default"/>
      <w:footerReference r:id="rId7" w:type="even"/>
      <w:footnotePr>
        <w:pos w:val="beneathText"/>
        <w:numFmt w:val="decimal"/>
      </w:footnotePr>
      <w:pgSz w:w="11906" w:h="16838"/>
      <w:pgMar w:top="2098" w:right="1531" w:bottom="1985" w:left="1531" w:header="851" w:footer="1474" w:gutter="0"/>
      <w:pgNumType w:fmt="decimal" w:start="1"/>
      <w:cols w:space="72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10EC0">
    <w:pPr>
      <w:pStyle w:val="13"/>
      <w:wordWrap w:val="0"/>
      <w:ind w:firstLine="180" w:firstLineChars="100"/>
      <w:rPr>
        <w:rFonts w:hint="eastAsia" w:ascii="宋体" w:hAnsi="宋体" w:cs="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601FB">
    <w:pPr>
      <w:pStyle w:val="13"/>
      <w:wordWrap w:val="0"/>
      <w:ind w:right="320" w:rightChars="100"/>
      <w:jc w:val="right"/>
      <w:rPr>
        <w:rFonts w:hint="eastAsia" w:ascii="宋体" w:hAnsi="宋体" w:eastAsia="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019D4">
    <w:pPr>
      <w:pStyle w:val="13"/>
      <w:wordWrap w:val="0"/>
      <w:ind w:right="320" w:rightChars="100"/>
      <w:jc w:val="right"/>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FD19D4A">
                          <w:pPr>
                            <w:pStyle w:val="13"/>
                            <w:wordWrap w:val="0"/>
                            <w:ind w:right="320" w:rightChars="100"/>
                            <w:jc w:val="right"/>
                          </w:pPr>
                          <w:r>
                            <w:rPr>
                              <w:rFonts w:hint="eastAsia" w:ascii="宋体" w:hAnsi="宋体" w:eastAsia="宋体"/>
                              <w:sz w:val="28"/>
                              <w:szCs w:val="28"/>
                              <w:lang w:val="en-US" w:eastAsia="zh-CN"/>
                            </w:rPr>
                            <w:t xml:space="preserve">  </w:t>
                          </w:r>
                          <w:r>
                            <w:rPr>
                              <w:rFonts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ascii="宋体" w:hAnsi="宋体" w:eastAsia="宋体"/>
                              <w:sz w:val="28"/>
                              <w:szCs w:val="28"/>
                            </w:rPr>
                            <w:t xml:space="preserve"> —</w:t>
                          </w:r>
                        </w:p>
                      </w:txbxContent>
                    </wps:txbx>
                    <wps:bodyPr vert="horz" wrap="none" lIns="0" tIns="0" rIns="0" bIns="0" anchor="t" anchorCtr="0" upright="0">
                      <a:spAutoFit/>
                    </wps:bodyPr>
                  </wps:wsp>
                </a:graphicData>
              </a:graphic>
            </wp:anchor>
          </w:drawing>
        </mc:Choice>
        <mc:Fallback>
          <w:pict>
            <v:shape id="文本框 5122"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KraKt4QEAAMEDAAAOAAAA&#10;AAAAAAEAIAAAAB4BAABkcnMvZTJvRG9jLnhtbFBLBQYAAAAABgAGAFkBAABxBQAAAAA=&#10;">
              <v:fill on="f" focussize="0,0"/>
              <v:stroke on="f"/>
              <v:imagedata o:title=""/>
              <o:lock v:ext="edit" aspectratio="f"/>
              <v:textbox inset="0mm,0mm,0mm,0mm" style="mso-fit-shape-to-text:t;">
                <w:txbxContent>
                  <w:p w14:paraId="2FD19D4A">
                    <w:pPr>
                      <w:pStyle w:val="13"/>
                      <w:wordWrap w:val="0"/>
                      <w:ind w:right="320" w:rightChars="100"/>
                      <w:jc w:val="right"/>
                    </w:pPr>
                    <w:r>
                      <w:rPr>
                        <w:rFonts w:hint="eastAsia" w:ascii="宋体" w:hAnsi="宋体" w:eastAsia="宋体"/>
                        <w:sz w:val="28"/>
                        <w:szCs w:val="28"/>
                        <w:lang w:val="en-US" w:eastAsia="zh-CN"/>
                      </w:rPr>
                      <w:t xml:space="preserve">  </w:t>
                    </w:r>
                    <w:r>
                      <w:rPr>
                        <w:rFonts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ascii="宋体" w:hAnsi="宋体" w:eastAsia="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F699A">
    <w:pPr>
      <w:pStyle w:val="13"/>
      <w:ind w:left="320" w:leftChars="100"/>
      <w:rPr>
        <w:rFonts w:ascii="宋体" w:hAnsi="宋体" w:eastAsia="宋体"/>
        <w:sz w:val="28"/>
        <w:szCs w:val="28"/>
      </w:rPr>
    </w:pPr>
    <w:r>
      <w:rPr>
        <w:rFonts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ascii="宋体" w:hAnsi="宋体" w:eastAsia="宋体"/>
        <w:sz w:val="28"/>
        <w:szCs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443A9EC2">
      <w:pPr>
        <w:pStyle w:val="16"/>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rPr>
        <w:footnoteRef/>
      </w:r>
      <w:r>
        <w:rPr>
          <w:rFonts w:hint="default" w:ascii="Times New Roman" w:hAnsi="Times New Roman" w:cs="Times New Roman"/>
        </w:rPr>
        <w:t>]</w:t>
      </w:r>
      <w:r>
        <w:rPr>
          <w:rFonts w:hint="default" w:ascii="Times New Roman" w:hAnsi="Times New Roman" w:cs="Times New Roman"/>
          <w:szCs w:val="32"/>
        </w:rPr>
        <w:t>《中华人民共和国安全生产法》第四十</w:t>
      </w:r>
      <w:r>
        <w:rPr>
          <w:rFonts w:hint="eastAsia" w:ascii="Times New Roman" w:hAnsi="Times New Roman" w:cs="Times New Roman"/>
          <w:szCs w:val="32"/>
          <w:lang w:eastAsia="zh-CN"/>
        </w:rPr>
        <w:t>一</w:t>
      </w:r>
      <w:r>
        <w:rPr>
          <w:rFonts w:hint="default" w:ascii="Times New Roman" w:hAnsi="Times New Roman" w:cs="Times New Roman"/>
          <w:szCs w:val="32"/>
        </w:rPr>
        <w:t>条</w:t>
      </w:r>
      <w:r>
        <w:rPr>
          <w:rFonts w:hint="eastAsia" w:ascii="Times New Roman" w:hAnsi="Times New Roman" w:cs="Times New Roman"/>
          <w:szCs w:val="32"/>
          <w:lang w:eastAsia="zh-CN"/>
        </w:rPr>
        <w:t>第二款：</w:t>
      </w:r>
      <w:r>
        <w:rPr>
          <w:rFonts w:hint="eastAsia" w:ascii="Times New Roman" w:hAnsi="Times New Roman" w:cs="Times New Roman"/>
          <w:szCs w:val="32"/>
          <w:lang w:val="en-US" w:eastAsia="zh-CN"/>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footnote>
  <w:footnote w:id="1">
    <w:p w14:paraId="43776EEB">
      <w:pPr>
        <w:pStyle w:val="16"/>
        <w:rPr>
          <w:rFonts w:hint="default" w:ascii="Times New Roman" w:hAnsi="Times New Roman" w:eastAsia="方正仿宋_GBK" w:cs="Times New Roman"/>
          <w:szCs w:val="32"/>
          <w:lang w:eastAsia="zh-CN"/>
        </w:rPr>
      </w:pPr>
      <w:r>
        <w:rPr>
          <w:rFonts w:hint="default" w:ascii="Times New Roman" w:hAnsi="Times New Roman" w:cs="Times New Roman"/>
        </w:rPr>
        <w:t>[</w:t>
      </w:r>
      <w:r>
        <w:rPr>
          <w:rFonts w:hint="default" w:ascii="Times New Roman" w:hAnsi="Times New Roman" w:cs="Times New Roman"/>
        </w:rPr>
        <w:footnoteRef/>
      </w:r>
      <w:r>
        <w:rPr>
          <w:rFonts w:hint="default" w:ascii="Times New Roman" w:hAnsi="Times New Roman" w:cs="Times New Roman"/>
        </w:rPr>
        <w:t>]</w:t>
      </w:r>
      <w:r>
        <w:rPr>
          <w:rFonts w:hint="default" w:ascii="Times New Roman" w:hAnsi="Times New Roman" w:cs="Times New Roman"/>
          <w:szCs w:val="32"/>
        </w:rPr>
        <w:t>《中华人民共和国安全生产法》第二十一条第五项：生产经营单位的主要负责人对本单位安全生产工作负有下列职责:（五）组织建立并落实安全风险分级管控和隐患排查治理双重预防工作机制，督促、检查本单位的安全生产工作，及时消除生产安全事故隐患</w:t>
      </w:r>
      <w:r>
        <w:rPr>
          <w:rFonts w:hint="default" w:ascii="Times New Roman" w:hAnsi="Times New Roman" w:cs="Times New Roman"/>
          <w:szCs w:val="32"/>
          <w:lang w:eastAsia="zh-C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8"/>
  <w:drawingGridVerticalSpacing w:val="579"/>
  <w:displayHorizontalDrawingGridEvery w:val="1"/>
  <w:displayVerticalDrawingGridEvery w:val="1"/>
  <w:noPunctuationKerning w:val="1"/>
  <w:characterSpacingControl w:val="compressPunctuation"/>
  <w:doNotValidateAgainstSchema/>
  <w:doNotDemarcateInvalidXml/>
  <w:hdrShapeDefaults>
    <o:shapelayout v:ext="edit">
      <o:idmap v:ext="edit" data="3,4,5,6,7"/>
    </o:shapelayout>
  </w:hdrShapeDefaults>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wNzliMzVhNzVkM2U0Mjg2ZmE3ZDdmNTljZDJhZmIifQ=="/>
  </w:docVars>
  <w:rsids>
    <w:rsidRoot w:val="002626BC"/>
    <w:rsid w:val="00000821"/>
    <w:rsid w:val="00000F04"/>
    <w:rsid w:val="00003278"/>
    <w:rsid w:val="0000343F"/>
    <w:rsid w:val="000043CF"/>
    <w:rsid w:val="00005588"/>
    <w:rsid w:val="00006583"/>
    <w:rsid w:val="00010ABB"/>
    <w:rsid w:val="00012BDD"/>
    <w:rsid w:val="00015B07"/>
    <w:rsid w:val="00016516"/>
    <w:rsid w:val="00016BFC"/>
    <w:rsid w:val="00020DC9"/>
    <w:rsid w:val="00022437"/>
    <w:rsid w:val="00022A19"/>
    <w:rsid w:val="000238C9"/>
    <w:rsid w:val="000278FD"/>
    <w:rsid w:val="00030789"/>
    <w:rsid w:val="00031B3D"/>
    <w:rsid w:val="00032D06"/>
    <w:rsid w:val="00033AD4"/>
    <w:rsid w:val="00033CA2"/>
    <w:rsid w:val="00034D34"/>
    <w:rsid w:val="00034E84"/>
    <w:rsid w:val="0004003A"/>
    <w:rsid w:val="000406E6"/>
    <w:rsid w:val="0004091F"/>
    <w:rsid w:val="000425D3"/>
    <w:rsid w:val="000429BA"/>
    <w:rsid w:val="00042F4F"/>
    <w:rsid w:val="0004302A"/>
    <w:rsid w:val="00044025"/>
    <w:rsid w:val="000449CD"/>
    <w:rsid w:val="00045C7C"/>
    <w:rsid w:val="000509D4"/>
    <w:rsid w:val="00051285"/>
    <w:rsid w:val="0005259E"/>
    <w:rsid w:val="00053802"/>
    <w:rsid w:val="00054BD8"/>
    <w:rsid w:val="00054E35"/>
    <w:rsid w:val="000552CF"/>
    <w:rsid w:val="00056ABA"/>
    <w:rsid w:val="00056BCF"/>
    <w:rsid w:val="0006117F"/>
    <w:rsid w:val="00061203"/>
    <w:rsid w:val="000668DD"/>
    <w:rsid w:val="00066EB0"/>
    <w:rsid w:val="00067DEB"/>
    <w:rsid w:val="00071496"/>
    <w:rsid w:val="00071780"/>
    <w:rsid w:val="000721CF"/>
    <w:rsid w:val="00072518"/>
    <w:rsid w:val="00073406"/>
    <w:rsid w:val="000761D6"/>
    <w:rsid w:val="000808D7"/>
    <w:rsid w:val="00080CE5"/>
    <w:rsid w:val="00083CD5"/>
    <w:rsid w:val="000856AC"/>
    <w:rsid w:val="00086BAB"/>
    <w:rsid w:val="000870A2"/>
    <w:rsid w:val="00087783"/>
    <w:rsid w:val="000878A3"/>
    <w:rsid w:val="0009011B"/>
    <w:rsid w:val="00090B1F"/>
    <w:rsid w:val="00091671"/>
    <w:rsid w:val="000934F4"/>
    <w:rsid w:val="00093F3D"/>
    <w:rsid w:val="0009556B"/>
    <w:rsid w:val="00096B78"/>
    <w:rsid w:val="000A06EB"/>
    <w:rsid w:val="000A0F39"/>
    <w:rsid w:val="000A3674"/>
    <w:rsid w:val="000A4D3E"/>
    <w:rsid w:val="000A546B"/>
    <w:rsid w:val="000A5A4E"/>
    <w:rsid w:val="000A6FAB"/>
    <w:rsid w:val="000B26FD"/>
    <w:rsid w:val="000B5605"/>
    <w:rsid w:val="000B5CFF"/>
    <w:rsid w:val="000C1078"/>
    <w:rsid w:val="000C1B83"/>
    <w:rsid w:val="000C20AE"/>
    <w:rsid w:val="000C4C31"/>
    <w:rsid w:val="000C500B"/>
    <w:rsid w:val="000C5910"/>
    <w:rsid w:val="000C70A8"/>
    <w:rsid w:val="000C7367"/>
    <w:rsid w:val="000C7E1B"/>
    <w:rsid w:val="000D0013"/>
    <w:rsid w:val="000D02B4"/>
    <w:rsid w:val="000D2562"/>
    <w:rsid w:val="000D30BB"/>
    <w:rsid w:val="000D3FCA"/>
    <w:rsid w:val="000D4176"/>
    <w:rsid w:val="000D5C48"/>
    <w:rsid w:val="000D65DF"/>
    <w:rsid w:val="000E2183"/>
    <w:rsid w:val="000E293B"/>
    <w:rsid w:val="000E613D"/>
    <w:rsid w:val="000E6CF8"/>
    <w:rsid w:val="000E760B"/>
    <w:rsid w:val="000F1F48"/>
    <w:rsid w:val="000F4479"/>
    <w:rsid w:val="000F4C8D"/>
    <w:rsid w:val="000F51AC"/>
    <w:rsid w:val="000F58A3"/>
    <w:rsid w:val="000F628F"/>
    <w:rsid w:val="000F7CEA"/>
    <w:rsid w:val="0010139B"/>
    <w:rsid w:val="00101ADC"/>
    <w:rsid w:val="00101ECB"/>
    <w:rsid w:val="00102308"/>
    <w:rsid w:val="0010391D"/>
    <w:rsid w:val="00104CB3"/>
    <w:rsid w:val="00105197"/>
    <w:rsid w:val="00106B50"/>
    <w:rsid w:val="00107349"/>
    <w:rsid w:val="001073AF"/>
    <w:rsid w:val="00110565"/>
    <w:rsid w:val="0011149A"/>
    <w:rsid w:val="001118EC"/>
    <w:rsid w:val="00112488"/>
    <w:rsid w:val="001134B3"/>
    <w:rsid w:val="001170B0"/>
    <w:rsid w:val="00120660"/>
    <w:rsid w:val="00121AD7"/>
    <w:rsid w:val="00124AB8"/>
    <w:rsid w:val="00125438"/>
    <w:rsid w:val="00125F06"/>
    <w:rsid w:val="001265F6"/>
    <w:rsid w:val="00133005"/>
    <w:rsid w:val="0013345F"/>
    <w:rsid w:val="00133FC0"/>
    <w:rsid w:val="00141D01"/>
    <w:rsid w:val="00141D0C"/>
    <w:rsid w:val="00142450"/>
    <w:rsid w:val="001424E0"/>
    <w:rsid w:val="001425D7"/>
    <w:rsid w:val="00146EF6"/>
    <w:rsid w:val="0014732C"/>
    <w:rsid w:val="00150927"/>
    <w:rsid w:val="001532C5"/>
    <w:rsid w:val="00155CBF"/>
    <w:rsid w:val="00156394"/>
    <w:rsid w:val="001568F2"/>
    <w:rsid w:val="00156953"/>
    <w:rsid w:val="00156A7F"/>
    <w:rsid w:val="001607C0"/>
    <w:rsid w:val="0016369D"/>
    <w:rsid w:val="00163C0B"/>
    <w:rsid w:val="00164574"/>
    <w:rsid w:val="001666ED"/>
    <w:rsid w:val="00170025"/>
    <w:rsid w:val="0017385B"/>
    <w:rsid w:val="00175556"/>
    <w:rsid w:val="0017560B"/>
    <w:rsid w:val="00176297"/>
    <w:rsid w:val="001779B2"/>
    <w:rsid w:val="001811ED"/>
    <w:rsid w:val="001828C3"/>
    <w:rsid w:val="0018409F"/>
    <w:rsid w:val="0018593B"/>
    <w:rsid w:val="00185FB1"/>
    <w:rsid w:val="00187398"/>
    <w:rsid w:val="00191C49"/>
    <w:rsid w:val="001942FD"/>
    <w:rsid w:val="00194D3B"/>
    <w:rsid w:val="001954D4"/>
    <w:rsid w:val="00195A8B"/>
    <w:rsid w:val="0019680C"/>
    <w:rsid w:val="00196D09"/>
    <w:rsid w:val="001A6828"/>
    <w:rsid w:val="001A790D"/>
    <w:rsid w:val="001A7BF8"/>
    <w:rsid w:val="001B1DCF"/>
    <w:rsid w:val="001B284C"/>
    <w:rsid w:val="001B59E0"/>
    <w:rsid w:val="001B74CC"/>
    <w:rsid w:val="001C072B"/>
    <w:rsid w:val="001C1CB7"/>
    <w:rsid w:val="001C358A"/>
    <w:rsid w:val="001C405B"/>
    <w:rsid w:val="001C6051"/>
    <w:rsid w:val="001C680D"/>
    <w:rsid w:val="001C7733"/>
    <w:rsid w:val="001C7CF4"/>
    <w:rsid w:val="001D17CF"/>
    <w:rsid w:val="001D56CA"/>
    <w:rsid w:val="001D7098"/>
    <w:rsid w:val="001E0A22"/>
    <w:rsid w:val="001E3D3D"/>
    <w:rsid w:val="001F2B62"/>
    <w:rsid w:val="001F4525"/>
    <w:rsid w:val="001F51EE"/>
    <w:rsid w:val="001F67E9"/>
    <w:rsid w:val="001F6927"/>
    <w:rsid w:val="001F751F"/>
    <w:rsid w:val="002016EA"/>
    <w:rsid w:val="002030FA"/>
    <w:rsid w:val="0020574C"/>
    <w:rsid w:val="0021141B"/>
    <w:rsid w:val="0021182C"/>
    <w:rsid w:val="00215960"/>
    <w:rsid w:val="00220122"/>
    <w:rsid w:val="00221130"/>
    <w:rsid w:val="00222514"/>
    <w:rsid w:val="00223657"/>
    <w:rsid w:val="00230141"/>
    <w:rsid w:val="00231218"/>
    <w:rsid w:val="00231806"/>
    <w:rsid w:val="0023291B"/>
    <w:rsid w:val="0023428D"/>
    <w:rsid w:val="00237A42"/>
    <w:rsid w:val="00241C02"/>
    <w:rsid w:val="00245F93"/>
    <w:rsid w:val="0024637F"/>
    <w:rsid w:val="002466F8"/>
    <w:rsid w:val="00250BF8"/>
    <w:rsid w:val="002521A4"/>
    <w:rsid w:val="0025229C"/>
    <w:rsid w:val="00253CAF"/>
    <w:rsid w:val="002544A8"/>
    <w:rsid w:val="0025568B"/>
    <w:rsid w:val="0025679F"/>
    <w:rsid w:val="0026016B"/>
    <w:rsid w:val="00260E95"/>
    <w:rsid w:val="00261A28"/>
    <w:rsid w:val="00262226"/>
    <w:rsid w:val="002626BC"/>
    <w:rsid w:val="002636E6"/>
    <w:rsid w:val="0026483C"/>
    <w:rsid w:val="00265A95"/>
    <w:rsid w:val="002679F8"/>
    <w:rsid w:val="0027111E"/>
    <w:rsid w:val="00271B90"/>
    <w:rsid w:val="00273F15"/>
    <w:rsid w:val="002748F9"/>
    <w:rsid w:val="00274B1D"/>
    <w:rsid w:val="00274DA5"/>
    <w:rsid w:val="00275135"/>
    <w:rsid w:val="00275839"/>
    <w:rsid w:val="00276517"/>
    <w:rsid w:val="00276878"/>
    <w:rsid w:val="002773A1"/>
    <w:rsid w:val="00277C46"/>
    <w:rsid w:val="00284621"/>
    <w:rsid w:val="00284CB6"/>
    <w:rsid w:val="002934CD"/>
    <w:rsid w:val="00294451"/>
    <w:rsid w:val="00294912"/>
    <w:rsid w:val="00295223"/>
    <w:rsid w:val="00297B5A"/>
    <w:rsid w:val="00297D4D"/>
    <w:rsid w:val="002A004C"/>
    <w:rsid w:val="002A3BEE"/>
    <w:rsid w:val="002A40B0"/>
    <w:rsid w:val="002A4A2A"/>
    <w:rsid w:val="002A52FB"/>
    <w:rsid w:val="002A537F"/>
    <w:rsid w:val="002A6863"/>
    <w:rsid w:val="002B0444"/>
    <w:rsid w:val="002B0702"/>
    <w:rsid w:val="002B3A3F"/>
    <w:rsid w:val="002B3F0F"/>
    <w:rsid w:val="002B4762"/>
    <w:rsid w:val="002B691E"/>
    <w:rsid w:val="002C0D3D"/>
    <w:rsid w:val="002C1403"/>
    <w:rsid w:val="002C4160"/>
    <w:rsid w:val="002C4EBE"/>
    <w:rsid w:val="002C5DC1"/>
    <w:rsid w:val="002C7A0D"/>
    <w:rsid w:val="002C7F5D"/>
    <w:rsid w:val="002D0186"/>
    <w:rsid w:val="002D0EA0"/>
    <w:rsid w:val="002D2399"/>
    <w:rsid w:val="002D2A4E"/>
    <w:rsid w:val="002D48AF"/>
    <w:rsid w:val="002D6643"/>
    <w:rsid w:val="002E1C30"/>
    <w:rsid w:val="002E2A6B"/>
    <w:rsid w:val="002E35D9"/>
    <w:rsid w:val="002E5BCE"/>
    <w:rsid w:val="002E6B23"/>
    <w:rsid w:val="002F1CFA"/>
    <w:rsid w:val="002F3B00"/>
    <w:rsid w:val="002F785F"/>
    <w:rsid w:val="002F7F43"/>
    <w:rsid w:val="00302D82"/>
    <w:rsid w:val="00303A8A"/>
    <w:rsid w:val="00306748"/>
    <w:rsid w:val="003078CD"/>
    <w:rsid w:val="00311818"/>
    <w:rsid w:val="00311C2D"/>
    <w:rsid w:val="0031200A"/>
    <w:rsid w:val="00312BA5"/>
    <w:rsid w:val="0031520B"/>
    <w:rsid w:val="003154EC"/>
    <w:rsid w:val="003177DC"/>
    <w:rsid w:val="00320462"/>
    <w:rsid w:val="00322438"/>
    <w:rsid w:val="0032259C"/>
    <w:rsid w:val="00322EF1"/>
    <w:rsid w:val="00323F83"/>
    <w:rsid w:val="00324C90"/>
    <w:rsid w:val="00325FF2"/>
    <w:rsid w:val="0033119B"/>
    <w:rsid w:val="0033134D"/>
    <w:rsid w:val="00333C93"/>
    <w:rsid w:val="003348C8"/>
    <w:rsid w:val="00341844"/>
    <w:rsid w:val="00342511"/>
    <w:rsid w:val="00342903"/>
    <w:rsid w:val="003439F4"/>
    <w:rsid w:val="0034414C"/>
    <w:rsid w:val="00344FB0"/>
    <w:rsid w:val="00345FC6"/>
    <w:rsid w:val="0034678F"/>
    <w:rsid w:val="00346CB7"/>
    <w:rsid w:val="00347FC1"/>
    <w:rsid w:val="00356330"/>
    <w:rsid w:val="0036645C"/>
    <w:rsid w:val="003666BE"/>
    <w:rsid w:val="00367609"/>
    <w:rsid w:val="003679A4"/>
    <w:rsid w:val="0037140C"/>
    <w:rsid w:val="00372307"/>
    <w:rsid w:val="0037236A"/>
    <w:rsid w:val="003754FC"/>
    <w:rsid w:val="00375C0D"/>
    <w:rsid w:val="00377942"/>
    <w:rsid w:val="00381482"/>
    <w:rsid w:val="00381F1D"/>
    <w:rsid w:val="00382DEE"/>
    <w:rsid w:val="003859FF"/>
    <w:rsid w:val="00387567"/>
    <w:rsid w:val="00387C5D"/>
    <w:rsid w:val="00387F61"/>
    <w:rsid w:val="003971B3"/>
    <w:rsid w:val="003A0CBF"/>
    <w:rsid w:val="003A31F0"/>
    <w:rsid w:val="003A32D1"/>
    <w:rsid w:val="003A3C9E"/>
    <w:rsid w:val="003A469C"/>
    <w:rsid w:val="003A4F03"/>
    <w:rsid w:val="003A59E5"/>
    <w:rsid w:val="003B0805"/>
    <w:rsid w:val="003B0FA4"/>
    <w:rsid w:val="003B3339"/>
    <w:rsid w:val="003B42CB"/>
    <w:rsid w:val="003B54CF"/>
    <w:rsid w:val="003B78EB"/>
    <w:rsid w:val="003C054F"/>
    <w:rsid w:val="003C1F04"/>
    <w:rsid w:val="003C1F91"/>
    <w:rsid w:val="003C2122"/>
    <w:rsid w:val="003C302D"/>
    <w:rsid w:val="003C4B0B"/>
    <w:rsid w:val="003C53AC"/>
    <w:rsid w:val="003D217F"/>
    <w:rsid w:val="003D31AE"/>
    <w:rsid w:val="003D6DDF"/>
    <w:rsid w:val="003D72C9"/>
    <w:rsid w:val="003E28B1"/>
    <w:rsid w:val="003E29DD"/>
    <w:rsid w:val="003E2A08"/>
    <w:rsid w:val="003E2A31"/>
    <w:rsid w:val="003E3CCF"/>
    <w:rsid w:val="003E45DB"/>
    <w:rsid w:val="003E493B"/>
    <w:rsid w:val="003E7829"/>
    <w:rsid w:val="003F2F23"/>
    <w:rsid w:val="003F301B"/>
    <w:rsid w:val="003F30F8"/>
    <w:rsid w:val="003F778E"/>
    <w:rsid w:val="003F7A2C"/>
    <w:rsid w:val="00400502"/>
    <w:rsid w:val="004015B2"/>
    <w:rsid w:val="004022BE"/>
    <w:rsid w:val="00405739"/>
    <w:rsid w:val="00406737"/>
    <w:rsid w:val="00411046"/>
    <w:rsid w:val="004118FE"/>
    <w:rsid w:val="00412967"/>
    <w:rsid w:val="00414C04"/>
    <w:rsid w:val="004151AA"/>
    <w:rsid w:val="00415F2E"/>
    <w:rsid w:val="0041606F"/>
    <w:rsid w:val="00417EF4"/>
    <w:rsid w:val="0042019F"/>
    <w:rsid w:val="00424973"/>
    <w:rsid w:val="0042555B"/>
    <w:rsid w:val="00425B97"/>
    <w:rsid w:val="00426435"/>
    <w:rsid w:val="0042783A"/>
    <w:rsid w:val="00427F79"/>
    <w:rsid w:val="00432810"/>
    <w:rsid w:val="00435614"/>
    <w:rsid w:val="00435F88"/>
    <w:rsid w:val="00436BCA"/>
    <w:rsid w:val="00437825"/>
    <w:rsid w:val="0044345A"/>
    <w:rsid w:val="004436F6"/>
    <w:rsid w:val="0045175C"/>
    <w:rsid w:val="00451A7B"/>
    <w:rsid w:val="00451AFA"/>
    <w:rsid w:val="00456AE6"/>
    <w:rsid w:val="00456F8B"/>
    <w:rsid w:val="00457528"/>
    <w:rsid w:val="00457F4C"/>
    <w:rsid w:val="0046247A"/>
    <w:rsid w:val="0046375D"/>
    <w:rsid w:val="00463D3D"/>
    <w:rsid w:val="00464FF6"/>
    <w:rsid w:val="00471E82"/>
    <w:rsid w:val="004725C6"/>
    <w:rsid w:val="004740AF"/>
    <w:rsid w:val="00474A31"/>
    <w:rsid w:val="00475E2C"/>
    <w:rsid w:val="004761D0"/>
    <w:rsid w:val="00476AB8"/>
    <w:rsid w:val="00480091"/>
    <w:rsid w:val="0048009D"/>
    <w:rsid w:val="00480A5B"/>
    <w:rsid w:val="004817F1"/>
    <w:rsid w:val="00486A88"/>
    <w:rsid w:val="004906B4"/>
    <w:rsid w:val="00490E5D"/>
    <w:rsid w:val="00491343"/>
    <w:rsid w:val="00491E86"/>
    <w:rsid w:val="00491F7A"/>
    <w:rsid w:val="00492244"/>
    <w:rsid w:val="00493757"/>
    <w:rsid w:val="00494916"/>
    <w:rsid w:val="00494921"/>
    <w:rsid w:val="004A08D9"/>
    <w:rsid w:val="004A0AF9"/>
    <w:rsid w:val="004A203E"/>
    <w:rsid w:val="004A243E"/>
    <w:rsid w:val="004A2D5D"/>
    <w:rsid w:val="004A2F47"/>
    <w:rsid w:val="004A6A96"/>
    <w:rsid w:val="004A6E54"/>
    <w:rsid w:val="004A77F4"/>
    <w:rsid w:val="004A7E25"/>
    <w:rsid w:val="004B068F"/>
    <w:rsid w:val="004B38CB"/>
    <w:rsid w:val="004B4670"/>
    <w:rsid w:val="004B6117"/>
    <w:rsid w:val="004B6135"/>
    <w:rsid w:val="004B7B89"/>
    <w:rsid w:val="004C0DD5"/>
    <w:rsid w:val="004C476D"/>
    <w:rsid w:val="004C6157"/>
    <w:rsid w:val="004C6842"/>
    <w:rsid w:val="004C7197"/>
    <w:rsid w:val="004D38E9"/>
    <w:rsid w:val="004D4ACE"/>
    <w:rsid w:val="004D4CFD"/>
    <w:rsid w:val="004E1A25"/>
    <w:rsid w:val="004E5254"/>
    <w:rsid w:val="004F18FF"/>
    <w:rsid w:val="004F1BB5"/>
    <w:rsid w:val="004F1C71"/>
    <w:rsid w:val="004F231C"/>
    <w:rsid w:val="004F293F"/>
    <w:rsid w:val="00500339"/>
    <w:rsid w:val="005009EC"/>
    <w:rsid w:val="0050312A"/>
    <w:rsid w:val="00504B3A"/>
    <w:rsid w:val="005057F7"/>
    <w:rsid w:val="00505DDA"/>
    <w:rsid w:val="0050705B"/>
    <w:rsid w:val="0050722E"/>
    <w:rsid w:val="005103D5"/>
    <w:rsid w:val="00513BF2"/>
    <w:rsid w:val="0051601D"/>
    <w:rsid w:val="005160D9"/>
    <w:rsid w:val="00520DE8"/>
    <w:rsid w:val="0052361A"/>
    <w:rsid w:val="00524543"/>
    <w:rsid w:val="00525D2B"/>
    <w:rsid w:val="005303CE"/>
    <w:rsid w:val="00531855"/>
    <w:rsid w:val="00531A12"/>
    <w:rsid w:val="00533B8B"/>
    <w:rsid w:val="00534EEC"/>
    <w:rsid w:val="00537B1D"/>
    <w:rsid w:val="00540899"/>
    <w:rsid w:val="00542B1E"/>
    <w:rsid w:val="00543DA7"/>
    <w:rsid w:val="0054640E"/>
    <w:rsid w:val="00551068"/>
    <w:rsid w:val="005555D8"/>
    <w:rsid w:val="005563B6"/>
    <w:rsid w:val="00556A58"/>
    <w:rsid w:val="00556AEA"/>
    <w:rsid w:val="0055790A"/>
    <w:rsid w:val="0056046F"/>
    <w:rsid w:val="00561B04"/>
    <w:rsid w:val="0056237A"/>
    <w:rsid w:val="0056495B"/>
    <w:rsid w:val="005666A0"/>
    <w:rsid w:val="005705E5"/>
    <w:rsid w:val="00571A6E"/>
    <w:rsid w:val="00572801"/>
    <w:rsid w:val="00572862"/>
    <w:rsid w:val="00572D71"/>
    <w:rsid w:val="00573033"/>
    <w:rsid w:val="0057470C"/>
    <w:rsid w:val="00576A5A"/>
    <w:rsid w:val="0057763F"/>
    <w:rsid w:val="005829C3"/>
    <w:rsid w:val="00582BB5"/>
    <w:rsid w:val="00583CC4"/>
    <w:rsid w:val="00584209"/>
    <w:rsid w:val="00585420"/>
    <w:rsid w:val="00585CAD"/>
    <w:rsid w:val="00587C8C"/>
    <w:rsid w:val="005907A7"/>
    <w:rsid w:val="00593FDC"/>
    <w:rsid w:val="00595BA4"/>
    <w:rsid w:val="00595C9C"/>
    <w:rsid w:val="00596296"/>
    <w:rsid w:val="00596EC2"/>
    <w:rsid w:val="00597116"/>
    <w:rsid w:val="0059715D"/>
    <w:rsid w:val="005A0E5E"/>
    <w:rsid w:val="005A282D"/>
    <w:rsid w:val="005A4276"/>
    <w:rsid w:val="005A5A3B"/>
    <w:rsid w:val="005A6DA5"/>
    <w:rsid w:val="005A7E59"/>
    <w:rsid w:val="005B0088"/>
    <w:rsid w:val="005B2402"/>
    <w:rsid w:val="005B286A"/>
    <w:rsid w:val="005B2A9A"/>
    <w:rsid w:val="005B36A6"/>
    <w:rsid w:val="005B4320"/>
    <w:rsid w:val="005B6669"/>
    <w:rsid w:val="005B6AA5"/>
    <w:rsid w:val="005B6D1C"/>
    <w:rsid w:val="005B6E70"/>
    <w:rsid w:val="005B7A25"/>
    <w:rsid w:val="005C0933"/>
    <w:rsid w:val="005C131D"/>
    <w:rsid w:val="005C2FF6"/>
    <w:rsid w:val="005C3F2B"/>
    <w:rsid w:val="005C48D6"/>
    <w:rsid w:val="005C4BD7"/>
    <w:rsid w:val="005C6CDD"/>
    <w:rsid w:val="005C6F29"/>
    <w:rsid w:val="005D0B9A"/>
    <w:rsid w:val="005D10A9"/>
    <w:rsid w:val="005D2C91"/>
    <w:rsid w:val="005D3690"/>
    <w:rsid w:val="005D5176"/>
    <w:rsid w:val="005D5AE0"/>
    <w:rsid w:val="005D6873"/>
    <w:rsid w:val="005D6D68"/>
    <w:rsid w:val="005E0F93"/>
    <w:rsid w:val="005E24A0"/>
    <w:rsid w:val="005E39F2"/>
    <w:rsid w:val="005E4A33"/>
    <w:rsid w:val="005E6397"/>
    <w:rsid w:val="005E6CDA"/>
    <w:rsid w:val="005E7A02"/>
    <w:rsid w:val="005E7AD7"/>
    <w:rsid w:val="005F1EB9"/>
    <w:rsid w:val="005F3B56"/>
    <w:rsid w:val="005F3F0A"/>
    <w:rsid w:val="005F52B4"/>
    <w:rsid w:val="005F5304"/>
    <w:rsid w:val="005F538F"/>
    <w:rsid w:val="005F611F"/>
    <w:rsid w:val="00600546"/>
    <w:rsid w:val="00600B8A"/>
    <w:rsid w:val="006019C2"/>
    <w:rsid w:val="00604D30"/>
    <w:rsid w:val="00605094"/>
    <w:rsid w:val="00606032"/>
    <w:rsid w:val="00606254"/>
    <w:rsid w:val="00607C5D"/>
    <w:rsid w:val="00610695"/>
    <w:rsid w:val="00611BEA"/>
    <w:rsid w:val="00612C5F"/>
    <w:rsid w:val="0061495A"/>
    <w:rsid w:val="00614DA6"/>
    <w:rsid w:val="00616B73"/>
    <w:rsid w:val="00617519"/>
    <w:rsid w:val="00621F1A"/>
    <w:rsid w:val="00622E5E"/>
    <w:rsid w:val="006233DB"/>
    <w:rsid w:val="00626161"/>
    <w:rsid w:val="006269CF"/>
    <w:rsid w:val="006308F6"/>
    <w:rsid w:val="00630CAC"/>
    <w:rsid w:val="0064141B"/>
    <w:rsid w:val="00643060"/>
    <w:rsid w:val="00643A09"/>
    <w:rsid w:val="006443FA"/>
    <w:rsid w:val="006447C7"/>
    <w:rsid w:val="0064491F"/>
    <w:rsid w:val="00645919"/>
    <w:rsid w:val="00645F97"/>
    <w:rsid w:val="00646011"/>
    <w:rsid w:val="00646260"/>
    <w:rsid w:val="006524F0"/>
    <w:rsid w:val="00654F5A"/>
    <w:rsid w:val="006550D1"/>
    <w:rsid w:val="00660312"/>
    <w:rsid w:val="0066213E"/>
    <w:rsid w:val="00665D2E"/>
    <w:rsid w:val="006669BA"/>
    <w:rsid w:val="00667A78"/>
    <w:rsid w:val="00667CF7"/>
    <w:rsid w:val="00671BB0"/>
    <w:rsid w:val="0067429C"/>
    <w:rsid w:val="00675272"/>
    <w:rsid w:val="00675481"/>
    <w:rsid w:val="006755AB"/>
    <w:rsid w:val="00675D59"/>
    <w:rsid w:val="00676370"/>
    <w:rsid w:val="006775B5"/>
    <w:rsid w:val="00677894"/>
    <w:rsid w:val="00677E8E"/>
    <w:rsid w:val="0068066B"/>
    <w:rsid w:val="006810F6"/>
    <w:rsid w:val="00682801"/>
    <w:rsid w:val="006836A8"/>
    <w:rsid w:val="00685F91"/>
    <w:rsid w:val="00686AE8"/>
    <w:rsid w:val="00687029"/>
    <w:rsid w:val="006872B8"/>
    <w:rsid w:val="006878BE"/>
    <w:rsid w:val="0069151C"/>
    <w:rsid w:val="00691F4D"/>
    <w:rsid w:val="0069205C"/>
    <w:rsid w:val="006930FA"/>
    <w:rsid w:val="00695EB8"/>
    <w:rsid w:val="00696556"/>
    <w:rsid w:val="00696A50"/>
    <w:rsid w:val="00697085"/>
    <w:rsid w:val="006A0FD3"/>
    <w:rsid w:val="006A1A2E"/>
    <w:rsid w:val="006A3D37"/>
    <w:rsid w:val="006A5799"/>
    <w:rsid w:val="006A5C8E"/>
    <w:rsid w:val="006A65C7"/>
    <w:rsid w:val="006B1353"/>
    <w:rsid w:val="006B17F3"/>
    <w:rsid w:val="006B3A0F"/>
    <w:rsid w:val="006B517E"/>
    <w:rsid w:val="006B663C"/>
    <w:rsid w:val="006B66AC"/>
    <w:rsid w:val="006C1E94"/>
    <w:rsid w:val="006C2DAF"/>
    <w:rsid w:val="006C3448"/>
    <w:rsid w:val="006C6448"/>
    <w:rsid w:val="006C6CFC"/>
    <w:rsid w:val="006C74A2"/>
    <w:rsid w:val="006C7BE2"/>
    <w:rsid w:val="006D19CE"/>
    <w:rsid w:val="006D35E2"/>
    <w:rsid w:val="006D3790"/>
    <w:rsid w:val="006D52EC"/>
    <w:rsid w:val="006D6B83"/>
    <w:rsid w:val="006D719F"/>
    <w:rsid w:val="006D7AB3"/>
    <w:rsid w:val="006D7BA6"/>
    <w:rsid w:val="006E02B9"/>
    <w:rsid w:val="006E034B"/>
    <w:rsid w:val="006E0702"/>
    <w:rsid w:val="006E35C4"/>
    <w:rsid w:val="006E4C2B"/>
    <w:rsid w:val="006E5040"/>
    <w:rsid w:val="006E5C53"/>
    <w:rsid w:val="006E5C96"/>
    <w:rsid w:val="006F0052"/>
    <w:rsid w:val="006F1537"/>
    <w:rsid w:val="006F28C0"/>
    <w:rsid w:val="007002E5"/>
    <w:rsid w:val="00703B30"/>
    <w:rsid w:val="00703C8A"/>
    <w:rsid w:val="007049AF"/>
    <w:rsid w:val="00706BA2"/>
    <w:rsid w:val="00710083"/>
    <w:rsid w:val="00711FC8"/>
    <w:rsid w:val="00712AE3"/>
    <w:rsid w:val="007143F0"/>
    <w:rsid w:val="007146BB"/>
    <w:rsid w:val="00714740"/>
    <w:rsid w:val="00714869"/>
    <w:rsid w:val="0071659F"/>
    <w:rsid w:val="00716B75"/>
    <w:rsid w:val="00722366"/>
    <w:rsid w:val="00722476"/>
    <w:rsid w:val="00724AE8"/>
    <w:rsid w:val="00724B6B"/>
    <w:rsid w:val="00724BB5"/>
    <w:rsid w:val="00724FC1"/>
    <w:rsid w:val="00724FE1"/>
    <w:rsid w:val="00732769"/>
    <w:rsid w:val="007327C9"/>
    <w:rsid w:val="007344BD"/>
    <w:rsid w:val="0073546D"/>
    <w:rsid w:val="0073658A"/>
    <w:rsid w:val="00736F3E"/>
    <w:rsid w:val="00740F75"/>
    <w:rsid w:val="00744518"/>
    <w:rsid w:val="00744906"/>
    <w:rsid w:val="00746A2D"/>
    <w:rsid w:val="00747E6E"/>
    <w:rsid w:val="00750EA5"/>
    <w:rsid w:val="00752C34"/>
    <w:rsid w:val="00753299"/>
    <w:rsid w:val="00753BDE"/>
    <w:rsid w:val="00760165"/>
    <w:rsid w:val="00762C84"/>
    <w:rsid w:val="007705CF"/>
    <w:rsid w:val="00772F9B"/>
    <w:rsid w:val="0077419C"/>
    <w:rsid w:val="0077473F"/>
    <w:rsid w:val="0077514E"/>
    <w:rsid w:val="00775838"/>
    <w:rsid w:val="00776C5B"/>
    <w:rsid w:val="00777285"/>
    <w:rsid w:val="0077741B"/>
    <w:rsid w:val="0077775D"/>
    <w:rsid w:val="007817DA"/>
    <w:rsid w:val="007840A2"/>
    <w:rsid w:val="007846AF"/>
    <w:rsid w:val="007848F4"/>
    <w:rsid w:val="00785BDC"/>
    <w:rsid w:val="00785FF1"/>
    <w:rsid w:val="007868F1"/>
    <w:rsid w:val="00790EB8"/>
    <w:rsid w:val="00792266"/>
    <w:rsid w:val="007922B2"/>
    <w:rsid w:val="00794396"/>
    <w:rsid w:val="007948F2"/>
    <w:rsid w:val="007955DA"/>
    <w:rsid w:val="007A111D"/>
    <w:rsid w:val="007A368F"/>
    <w:rsid w:val="007A3AD2"/>
    <w:rsid w:val="007A53C0"/>
    <w:rsid w:val="007A63B3"/>
    <w:rsid w:val="007B158B"/>
    <w:rsid w:val="007B2819"/>
    <w:rsid w:val="007B37F4"/>
    <w:rsid w:val="007B40E1"/>
    <w:rsid w:val="007B4419"/>
    <w:rsid w:val="007B4B4E"/>
    <w:rsid w:val="007B6E75"/>
    <w:rsid w:val="007C0113"/>
    <w:rsid w:val="007C2499"/>
    <w:rsid w:val="007C43AD"/>
    <w:rsid w:val="007C555F"/>
    <w:rsid w:val="007C5A82"/>
    <w:rsid w:val="007C5DAE"/>
    <w:rsid w:val="007C7034"/>
    <w:rsid w:val="007D00A6"/>
    <w:rsid w:val="007D134A"/>
    <w:rsid w:val="007D28B6"/>
    <w:rsid w:val="007D53B3"/>
    <w:rsid w:val="007D6474"/>
    <w:rsid w:val="007D6ED3"/>
    <w:rsid w:val="007D76D2"/>
    <w:rsid w:val="007E142F"/>
    <w:rsid w:val="007E263D"/>
    <w:rsid w:val="007E35EB"/>
    <w:rsid w:val="007E37A4"/>
    <w:rsid w:val="007E447F"/>
    <w:rsid w:val="007E4AE5"/>
    <w:rsid w:val="007E5561"/>
    <w:rsid w:val="007E5B56"/>
    <w:rsid w:val="007E6071"/>
    <w:rsid w:val="007F08DD"/>
    <w:rsid w:val="007F0DCD"/>
    <w:rsid w:val="007F323B"/>
    <w:rsid w:val="007F4868"/>
    <w:rsid w:val="007F6889"/>
    <w:rsid w:val="0080297C"/>
    <w:rsid w:val="008058E8"/>
    <w:rsid w:val="00805D5A"/>
    <w:rsid w:val="008072E9"/>
    <w:rsid w:val="00811DA0"/>
    <w:rsid w:val="00811EFC"/>
    <w:rsid w:val="0081435C"/>
    <w:rsid w:val="0081470F"/>
    <w:rsid w:val="00822DD5"/>
    <w:rsid w:val="008243EB"/>
    <w:rsid w:val="00824B6B"/>
    <w:rsid w:val="00827007"/>
    <w:rsid w:val="008300F2"/>
    <w:rsid w:val="00832EC5"/>
    <w:rsid w:val="00834DCC"/>
    <w:rsid w:val="00840463"/>
    <w:rsid w:val="00841FE9"/>
    <w:rsid w:val="00842B4F"/>
    <w:rsid w:val="008445F9"/>
    <w:rsid w:val="008446CD"/>
    <w:rsid w:val="008465E2"/>
    <w:rsid w:val="00847C17"/>
    <w:rsid w:val="008501BC"/>
    <w:rsid w:val="008504F1"/>
    <w:rsid w:val="00850ACF"/>
    <w:rsid w:val="0085392D"/>
    <w:rsid w:val="008543BB"/>
    <w:rsid w:val="00854BFA"/>
    <w:rsid w:val="00857AC7"/>
    <w:rsid w:val="00861A2B"/>
    <w:rsid w:val="00862EBF"/>
    <w:rsid w:val="008631D5"/>
    <w:rsid w:val="008634CE"/>
    <w:rsid w:val="00864B3D"/>
    <w:rsid w:val="00865E77"/>
    <w:rsid w:val="008678EA"/>
    <w:rsid w:val="00867AA2"/>
    <w:rsid w:val="00871B54"/>
    <w:rsid w:val="00871E42"/>
    <w:rsid w:val="0087219A"/>
    <w:rsid w:val="0087219D"/>
    <w:rsid w:val="00873DD1"/>
    <w:rsid w:val="00877871"/>
    <w:rsid w:val="0088023E"/>
    <w:rsid w:val="00881CB7"/>
    <w:rsid w:val="00883198"/>
    <w:rsid w:val="00887869"/>
    <w:rsid w:val="0089015F"/>
    <w:rsid w:val="00892995"/>
    <w:rsid w:val="00892EDD"/>
    <w:rsid w:val="00894057"/>
    <w:rsid w:val="008947D1"/>
    <w:rsid w:val="0089502B"/>
    <w:rsid w:val="008965D7"/>
    <w:rsid w:val="00896810"/>
    <w:rsid w:val="00897F1B"/>
    <w:rsid w:val="008A102E"/>
    <w:rsid w:val="008A1D39"/>
    <w:rsid w:val="008A275E"/>
    <w:rsid w:val="008A2AF8"/>
    <w:rsid w:val="008A4D7A"/>
    <w:rsid w:val="008A579D"/>
    <w:rsid w:val="008A5D59"/>
    <w:rsid w:val="008A6487"/>
    <w:rsid w:val="008A7BDB"/>
    <w:rsid w:val="008B0530"/>
    <w:rsid w:val="008B10C1"/>
    <w:rsid w:val="008B1406"/>
    <w:rsid w:val="008B1655"/>
    <w:rsid w:val="008B21A0"/>
    <w:rsid w:val="008B2266"/>
    <w:rsid w:val="008B37D3"/>
    <w:rsid w:val="008B46A9"/>
    <w:rsid w:val="008B6AC4"/>
    <w:rsid w:val="008C1645"/>
    <w:rsid w:val="008C19D4"/>
    <w:rsid w:val="008C33BA"/>
    <w:rsid w:val="008C3B81"/>
    <w:rsid w:val="008C5800"/>
    <w:rsid w:val="008C6FAD"/>
    <w:rsid w:val="008C7F6C"/>
    <w:rsid w:val="008D2363"/>
    <w:rsid w:val="008D3B6C"/>
    <w:rsid w:val="008D3F10"/>
    <w:rsid w:val="008D4647"/>
    <w:rsid w:val="008D4D31"/>
    <w:rsid w:val="008D63A8"/>
    <w:rsid w:val="008E1831"/>
    <w:rsid w:val="008E335C"/>
    <w:rsid w:val="008E72B8"/>
    <w:rsid w:val="008F363E"/>
    <w:rsid w:val="008F42B1"/>
    <w:rsid w:val="008F6603"/>
    <w:rsid w:val="009002E2"/>
    <w:rsid w:val="00906786"/>
    <w:rsid w:val="00911E6A"/>
    <w:rsid w:val="009144C3"/>
    <w:rsid w:val="00915F45"/>
    <w:rsid w:val="00916D18"/>
    <w:rsid w:val="00921A2A"/>
    <w:rsid w:val="009228B6"/>
    <w:rsid w:val="00930253"/>
    <w:rsid w:val="00930FC8"/>
    <w:rsid w:val="00931D40"/>
    <w:rsid w:val="00933692"/>
    <w:rsid w:val="00940B0C"/>
    <w:rsid w:val="009455D1"/>
    <w:rsid w:val="009477BA"/>
    <w:rsid w:val="00952312"/>
    <w:rsid w:val="00952585"/>
    <w:rsid w:val="00954F68"/>
    <w:rsid w:val="00954F81"/>
    <w:rsid w:val="00955182"/>
    <w:rsid w:val="009561D1"/>
    <w:rsid w:val="00960877"/>
    <w:rsid w:val="00964526"/>
    <w:rsid w:val="00966B19"/>
    <w:rsid w:val="00967786"/>
    <w:rsid w:val="00970ED5"/>
    <w:rsid w:val="0097230A"/>
    <w:rsid w:val="00972AEE"/>
    <w:rsid w:val="0098250A"/>
    <w:rsid w:val="009864EA"/>
    <w:rsid w:val="0099079D"/>
    <w:rsid w:val="009909EE"/>
    <w:rsid w:val="00991D46"/>
    <w:rsid w:val="0099264C"/>
    <w:rsid w:val="00997EAE"/>
    <w:rsid w:val="009A0D10"/>
    <w:rsid w:val="009A1D3B"/>
    <w:rsid w:val="009A38FE"/>
    <w:rsid w:val="009A3F5B"/>
    <w:rsid w:val="009A4F17"/>
    <w:rsid w:val="009A7A6C"/>
    <w:rsid w:val="009B08CB"/>
    <w:rsid w:val="009B2B30"/>
    <w:rsid w:val="009B598A"/>
    <w:rsid w:val="009B6623"/>
    <w:rsid w:val="009B750E"/>
    <w:rsid w:val="009C0545"/>
    <w:rsid w:val="009C1AA7"/>
    <w:rsid w:val="009C5628"/>
    <w:rsid w:val="009C6423"/>
    <w:rsid w:val="009C7B48"/>
    <w:rsid w:val="009D1776"/>
    <w:rsid w:val="009D1788"/>
    <w:rsid w:val="009D1F21"/>
    <w:rsid w:val="009D39F7"/>
    <w:rsid w:val="009D4271"/>
    <w:rsid w:val="009D4809"/>
    <w:rsid w:val="009D5C45"/>
    <w:rsid w:val="009D670E"/>
    <w:rsid w:val="009D7E64"/>
    <w:rsid w:val="009E2549"/>
    <w:rsid w:val="009E30D4"/>
    <w:rsid w:val="009E375F"/>
    <w:rsid w:val="009E5C2C"/>
    <w:rsid w:val="009E6D40"/>
    <w:rsid w:val="009F0504"/>
    <w:rsid w:val="009F0C38"/>
    <w:rsid w:val="009F2D26"/>
    <w:rsid w:val="009F4169"/>
    <w:rsid w:val="009F44AD"/>
    <w:rsid w:val="009F5E04"/>
    <w:rsid w:val="009F5F7F"/>
    <w:rsid w:val="00A02017"/>
    <w:rsid w:val="00A029B8"/>
    <w:rsid w:val="00A031F1"/>
    <w:rsid w:val="00A04559"/>
    <w:rsid w:val="00A051C7"/>
    <w:rsid w:val="00A115CF"/>
    <w:rsid w:val="00A14318"/>
    <w:rsid w:val="00A14CB0"/>
    <w:rsid w:val="00A16D53"/>
    <w:rsid w:val="00A2105E"/>
    <w:rsid w:val="00A21378"/>
    <w:rsid w:val="00A24A67"/>
    <w:rsid w:val="00A24C64"/>
    <w:rsid w:val="00A24E4B"/>
    <w:rsid w:val="00A36707"/>
    <w:rsid w:val="00A36D04"/>
    <w:rsid w:val="00A40022"/>
    <w:rsid w:val="00A407EA"/>
    <w:rsid w:val="00A41BCF"/>
    <w:rsid w:val="00A42193"/>
    <w:rsid w:val="00A43861"/>
    <w:rsid w:val="00A43E48"/>
    <w:rsid w:val="00A4463D"/>
    <w:rsid w:val="00A447B0"/>
    <w:rsid w:val="00A50B4B"/>
    <w:rsid w:val="00A51821"/>
    <w:rsid w:val="00A54E2B"/>
    <w:rsid w:val="00A56A87"/>
    <w:rsid w:val="00A56D22"/>
    <w:rsid w:val="00A56FF9"/>
    <w:rsid w:val="00A577AC"/>
    <w:rsid w:val="00A618AE"/>
    <w:rsid w:val="00A62249"/>
    <w:rsid w:val="00A62750"/>
    <w:rsid w:val="00A62CE7"/>
    <w:rsid w:val="00A6367E"/>
    <w:rsid w:val="00A65806"/>
    <w:rsid w:val="00A66E5C"/>
    <w:rsid w:val="00A66FD7"/>
    <w:rsid w:val="00A717CF"/>
    <w:rsid w:val="00A739F1"/>
    <w:rsid w:val="00A76499"/>
    <w:rsid w:val="00A76E26"/>
    <w:rsid w:val="00A76FFA"/>
    <w:rsid w:val="00A77397"/>
    <w:rsid w:val="00A82E83"/>
    <w:rsid w:val="00A85BBA"/>
    <w:rsid w:val="00A86831"/>
    <w:rsid w:val="00A87829"/>
    <w:rsid w:val="00A90162"/>
    <w:rsid w:val="00A9188E"/>
    <w:rsid w:val="00A94DCD"/>
    <w:rsid w:val="00A966D9"/>
    <w:rsid w:val="00AA10BE"/>
    <w:rsid w:val="00AA2D15"/>
    <w:rsid w:val="00AA49ED"/>
    <w:rsid w:val="00AA6B06"/>
    <w:rsid w:val="00AA7B62"/>
    <w:rsid w:val="00AB094A"/>
    <w:rsid w:val="00AB122B"/>
    <w:rsid w:val="00AB1B25"/>
    <w:rsid w:val="00AB337D"/>
    <w:rsid w:val="00AB37AD"/>
    <w:rsid w:val="00AB5B16"/>
    <w:rsid w:val="00AB5D9C"/>
    <w:rsid w:val="00AB7967"/>
    <w:rsid w:val="00AB7CAD"/>
    <w:rsid w:val="00AC0932"/>
    <w:rsid w:val="00AC12BD"/>
    <w:rsid w:val="00AC5C18"/>
    <w:rsid w:val="00AD11BF"/>
    <w:rsid w:val="00AD1F37"/>
    <w:rsid w:val="00AD38E3"/>
    <w:rsid w:val="00AD4744"/>
    <w:rsid w:val="00AD4A6D"/>
    <w:rsid w:val="00AD775B"/>
    <w:rsid w:val="00AE02DE"/>
    <w:rsid w:val="00AE09D4"/>
    <w:rsid w:val="00AE0A30"/>
    <w:rsid w:val="00AE1383"/>
    <w:rsid w:val="00AE2A05"/>
    <w:rsid w:val="00AE3EC0"/>
    <w:rsid w:val="00AE79E8"/>
    <w:rsid w:val="00AE7E28"/>
    <w:rsid w:val="00AF01E1"/>
    <w:rsid w:val="00AF0AA9"/>
    <w:rsid w:val="00AF27DB"/>
    <w:rsid w:val="00AF43FD"/>
    <w:rsid w:val="00AF69C6"/>
    <w:rsid w:val="00AF7DDE"/>
    <w:rsid w:val="00B0052B"/>
    <w:rsid w:val="00B012EC"/>
    <w:rsid w:val="00B013EE"/>
    <w:rsid w:val="00B024DD"/>
    <w:rsid w:val="00B04B83"/>
    <w:rsid w:val="00B10B8B"/>
    <w:rsid w:val="00B150A9"/>
    <w:rsid w:val="00B174EB"/>
    <w:rsid w:val="00B1785D"/>
    <w:rsid w:val="00B20892"/>
    <w:rsid w:val="00B20949"/>
    <w:rsid w:val="00B21B30"/>
    <w:rsid w:val="00B23198"/>
    <w:rsid w:val="00B23827"/>
    <w:rsid w:val="00B238FF"/>
    <w:rsid w:val="00B2416B"/>
    <w:rsid w:val="00B2417D"/>
    <w:rsid w:val="00B24A2B"/>
    <w:rsid w:val="00B2664E"/>
    <w:rsid w:val="00B31FE1"/>
    <w:rsid w:val="00B32471"/>
    <w:rsid w:val="00B32A48"/>
    <w:rsid w:val="00B32E1A"/>
    <w:rsid w:val="00B34ED3"/>
    <w:rsid w:val="00B365CC"/>
    <w:rsid w:val="00B3694E"/>
    <w:rsid w:val="00B36CF4"/>
    <w:rsid w:val="00B405E8"/>
    <w:rsid w:val="00B4222B"/>
    <w:rsid w:val="00B43285"/>
    <w:rsid w:val="00B45C7C"/>
    <w:rsid w:val="00B46D92"/>
    <w:rsid w:val="00B46FED"/>
    <w:rsid w:val="00B47A42"/>
    <w:rsid w:val="00B47E52"/>
    <w:rsid w:val="00B5035A"/>
    <w:rsid w:val="00B51820"/>
    <w:rsid w:val="00B52D57"/>
    <w:rsid w:val="00B55D0A"/>
    <w:rsid w:val="00B573CC"/>
    <w:rsid w:val="00B6137D"/>
    <w:rsid w:val="00B614AF"/>
    <w:rsid w:val="00B65A82"/>
    <w:rsid w:val="00B66041"/>
    <w:rsid w:val="00B713D5"/>
    <w:rsid w:val="00B714BA"/>
    <w:rsid w:val="00B715EB"/>
    <w:rsid w:val="00B72D5D"/>
    <w:rsid w:val="00B75041"/>
    <w:rsid w:val="00B766F7"/>
    <w:rsid w:val="00B76FBE"/>
    <w:rsid w:val="00B8090E"/>
    <w:rsid w:val="00B81C02"/>
    <w:rsid w:val="00B825FB"/>
    <w:rsid w:val="00B83866"/>
    <w:rsid w:val="00B8495F"/>
    <w:rsid w:val="00B84B3A"/>
    <w:rsid w:val="00B84DC9"/>
    <w:rsid w:val="00B85440"/>
    <w:rsid w:val="00B86386"/>
    <w:rsid w:val="00B8687A"/>
    <w:rsid w:val="00B86E9A"/>
    <w:rsid w:val="00B870A0"/>
    <w:rsid w:val="00B901D7"/>
    <w:rsid w:val="00B9122F"/>
    <w:rsid w:val="00B91BB9"/>
    <w:rsid w:val="00B922AE"/>
    <w:rsid w:val="00B9280A"/>
    <w:rsid w:val="00B94620"/>
    <w:rsid w:val="00B9488A"/>
    <w:rsid w:val="00BA05E7"/>
    <w:rsid w:val="00BA0EEA"/>
    <w:rsid w:val="00BA1D7E"/>
    <w:rsid w:val="00BA21FD"/>
    <w:rsid w:val="00BA2617"/>
    <w:rsid w:val="00BA515F"/>
    <w:rsid w:val="00BA6835"/>
    <w:rsid w:val="00BA7872"/>
    <w:rsid w:val="00BB0BCB"/>
    <w:rsid w:val="00BB1E3E"/>
    <w:rsid w:val="00BB27CD"/>
    <w:rsid w:val="00BB3E6D"/>
    <w:rsid w:val="00BB6D84"/>
    <w:rsid w:val="00BB7514"/>
    <w:rsid w:val="00BC0334"/>
    <w:rsid w:val="00BC1847"/>
    <w:rsid w:val="00BC1CB3"/>
    <w:rsid w:val="00BC4B14"/>
    <w:rsid w:val="00BC55EA"/>
    <w:rsid w:val="00BC61A9"/>
    <w:rsid w:val="00BC66F7"/>
    <w:rsid w:val="00BC699B"/>
    <w:rsid w:val="00BC6BB1"/>
    <w:rsid w:val="00BC7381"/>
    <w:rsid w:val="00BD2C4E"/>
    <w:rsid w:val="00BD2D71"/>
    <w:rsid w:val="00BD3631"/>
    <w:rsid w:val="00BD3B7C"/>
    <w:rsid w:val="00BD3FD5"/>
    <w:rsid w:val="00BD4A3E"/>
    <w:rsid w:val="00BD5523"/>
    <w:rsid w:val="00BD6774"/>
    <w:rsid w:val="00BD7074"/>
    <w:rsid w:val="00BD752B"/>
    <w:rsid w:val="00BE138D"/>
    <w:rsid w:val="00BE3283"/>
    <w:rsid w:val="00BE7631"/>
    <w:rsid w:val="00BF1C05"/>
    <w:rsid w:val="00BF2789"/>
    <w:rsid w:val="00BF4417"/>
    <w:rsid w:val="00BF580B"/>
    <w:rsid w:val="00BF6619"/>
    <w:rsid w:val="00BF7687"/>
    <w:rsid w:val="00C013D0"/>
    <w:rsid w:val="00C01D8D"/>
    <w:rsid w:val="00C02198"/>
    <w:rsid w:val="00C04A44"/>
    <w:rsid w:val="00C06DCA"/>
    <w:rsid w:val="00C07412"/>
    <w:rsid w:val="00C10445"/>
    <w:rsid w:val="00C10A3C"/>
    <w:rsid w:val="00C13DF0"/>
    <w:rsid w:val="00C15181"/>
    <w:rsid w:val="00C1575D"/>
    <w:rsid w:val="00C16F45"/>
    <w:rsid w:val="00C20517"/>
    <w:rsid w:val="00C20E0A"/>
    <w:rsid w:val="00C218CF"/>
    <w:rsid w:val="00C222F9"/>
    <w:rsid w:val="00C23395"/>
    <w:rsid w:val="00C257A5"/>
    <w:rsid w:val="00C272FC"/>
    <w:rsid w:val="00C30E17"/>
    <w:rsid w:val="00C32343"/>
    <w:rsid w:val="00C361E8"/>
    <w:rsid w:val="00C44D0D"/>
    <w:rsid w:val="00C46B21"/>
    <w:rsid w:val="00C46E87"/>
    <w:rsid w:val="00C47343"/>
    <w:rsid w:val="00C5624D"/>
    <w:rsid w:val="00C60799"/>
    <w:rsid w:val="00C60DDA"/>
    <w:rsid w:val="00C62A60"/>
    <w:rsid w:val="00C64703"/>
    <w:rsid w:val="00C659E0"/>
    <w:rsid w:val="00C672A9"/>
    <w:rsid w:val="00C70A4E"/>
    <w:rsid w:val="00C725A5"/>
    <w:rsid w:val="00C72ADB"/>
    <w:rsid w:val="00C74B28"/>
    <w:rsid w:val="00C74B47"/>
    <w:rsid w:val="00C74E17"/>
    <w:rsid w:val="00C75E69"/>
    <w:rsid w:val="00C82DC1"/>
    <w:rsid w:val="00C8684A"/>
    <w:rsid w:val="00C86AF8"/>
    <w:rsid w:val="00C90D13"/>
    <w:rsid w:val="00C92454"/>
    <w:rsid w:val="00C92856"/>
    <w:rsid w:val="00C93996"/>
    <w:rsid w:val="00C95117"/>
    <w:rsid w:val="00C955F3"/>
    <w:rsid w:val="00C96CAA"/>
    <w:rsid w:val="00C97E34"/>
    <w:rsid w:val="00CA0914"/>
    <w:rsid w:val="00CA0EF2"/>
    <w:rsid w:val="00CA1E9D"/>
    <w:rsid w:val="00CA23B2"/>
    <w:rsid w:val="00CA5130"/>
    <w:rsid w:val="00CB176C"/>
    <w:rsid w:val="00CB1D57"/>
    <w:rsid w:val="00CB1F4C"/>
    <w:rsid w:val="00CB6D23"/>
    <w:rsid w:val="00CB72BF"/>
    <w:rsid w:val="00CB77A7"/>
    <w:rsid w:val="00CC08A6"/>
    <w:rsid w:val="00CC0A14"/>
    <w:rsid w:val="00CC3E84"/>
    <w:rsid w:val="00CC3E9B"/>
    <w:rsid w:val="00CC5973"/>
    <w:rsid w:val="00CD1949"/>
    <w:rsid w:val="00CD19D9"/>
    <w:rsid w:val="00CD2477"/>
    <w:rsid w:val="00CD32F5"/>
    <w:rsid w:val="00CD5227"/>
    <w:rsid w:val="00CD59E5"/>
    <w:rsid w:val="00CD6586"/>
    <w:rsid w:val="00CE042E"/>
    <w:rsid w:val="00CE1FC5"/>
    <w:rsid w:val="00CE33E7"/>
    <w:rsid w:val="00CE60F2"/>
    <w:rsid w:val="00CF1134"/>
    <w:rsid w:val="00CF187F"/>
    <w:rsid w:val="00CF2B7C"/>
    <w:rsid w:val="00D01448"/>
    <w:rsid w:val="00D05EB3"/>
    <w:rsid w:val="00D07F86"/>
    <w:rsid w:val="00D1173D"/>
    <w:rsid w:val="00D1368C"/>
    <w:rsid w:val="00D15C4A"/>
    <w:rsid w:val="00D16319"/>
    <w:rsid w:val="00D21C28"/>
    <w:rsid w:val="00D227A5"/>
    <w:rsid w:val="00D22F4E"/>
    <w:rsid w:val="00D2497D"/>
    <w:rsid w:val="00D25259"/>
    <w:rsid w:val="00D2669C"/>
    <w:rsid w:val="00D3181A"/>
    <w:rsid w:val="00D32B4E"/>
    <w:rsid w:val="00D336F3"/>
    <w:rsid w:val="00D33ED1"/>
    <w:rsid w:val="00D35657"/>
    <w:rsid w:val="00D35C54"/>
    <w:rsid w:val="00D41CBF"/>
    <w:rsid w:val="00D52037"/>
    <w:rsid w:val="00D520B2"/>
    <w:rsid w:val="00D53AD3"/>
    <w:rsid w:val="00D54B62"/>
    <w:rsid w:val="00D55E30"/>
    <w:rsid w:val="00D56C0A"/>
    <w:rsid w:val="00D60ABD"/>
    <w:rsid w:val="00D60BE7"/>
    <w:rsid w:val="00D60F35"/>
    <w:rsid w:val="00D61CC9"/>
    <w:rsid w:val="00D62518"/>
    <w:rsid w:val="00D63C08"/>
    <w:rsid w:val="00D644B4"/>
    <w:rsid w:val="00D6766A"/>
    <w:rsid w:val="00D72BAC"/>
    <w:rsid w:val="00D73017"/>
    <w:rsid w:val="00D740B2"/>
    <w:rsid w:val="00D7592B"/>
    <w:rsid w:val="00D7730F"/>
    <w:rsid w:val="00D779CF"/>
    <w:rsid w:val="00D80464"/>
    <w:rsid w:val="00D817F5"/>
    <w:rsid w:val="00D83159"/>
    <w:rsid w:val="00D8649B"/>
    <w:rsid w:val="00D86782"/>
    <w:rsid w:val="00D9028C"/>
    <w:rsid w:val="00D914D0"/>
    <w:rsid w:val="00D92D91"/>
    <w:rsid w:val="00D94D1F"/>
    <w:rsid w:val="00D96B36"/>
    <w:rsid w:val="00D978F0"/>
    <w:rsid w:val="00D9793C"/>
    <w:rsid w:val="00DA0F4B"/>
    <w:rsid w:val="00DA1E50"/>
    <w:rsid w:val="00DA3002"/>
    <w:rsid w:val="00DA4A5D"/>
    <w:rsid w:val="00DA6154"/>
    <w:rsid w:val="00DA777C"/>
    <w:rsid w:val="00DB1CFE"/>
    <w:rsid w:val="00DB2A0D"/>
    <w:rsid w:val="00DB4438"/>
    <w:rsid w:val="00DB5D41"/>
    <w:rsid w:val="00DB7CEA"/>
    <w:rsid w:val="00DC1E7D"/>
    <w:rsid w:val="00DC4ABD"/>
    <w:rsid w:val="00DC561E"/>
    <w:rsid w:val="00DC6E32"/>
    <w:rsid w:val="00DC7DE8"/>
    <w:rsid w:val="00DD0F16"/>
    <w:rsid w:val="00DD1018"/>
    <w:rsid w:val="00DD733A"/>
    <w:rsid w:val="00DD7596"/>
    <w:rsid w:val="00DD7779"/>
    <w:rsid w:val="00DD7FA3"/>
    <w:rsid w:val="00DE0E17"/>
    <w:rsid w:val="00DF0806"/>
    <w:rsid w:val="00DF1856"/>
    <w:rsid w:val="00DF1BCF"/>
    <w:rsid w:val="00DF21B3"/>
    <w:rsid w:val="00DF2842"/>
    <w:rsid w:val="00DF4241"/>
    <w:rsid w:val="00DF75C2"/>
    <w:rsid w:val="00DF79F0"/>
    <w:rsid w:val="00DF7E5F"/>
    <w:rsid w:val="00E00326"/>
    <w:rsid w:val="00E0098C"/>
    <w:rsid w:val="00E00B7B"/>
    <w:rsid w:val="00E018F6"/>
    <w:rsid w:val="00E03463"/>
    <w:rsid w:val="00E03F8F"/>
    <w:rsid w:val="00E04382"/>
    <w:rsid w:val="00E05692"/>
    <w:rsid w:val="00E13BF0"/>
    <w:rsid w:val="00E14E6E"/>
    <w:rsid w:val="00E16354"/>
    <w:rsid w:val="00E16C2C"/>
    <w:rsid w:val="00E17A4A"/>
    <w:rsid w:val="00E201CD"/>
    <w:rsid w:val="00E204B3"/>
    <w:rsid w:val="00E20638"/>
    <w:rsid w:val="00E20AF4"/>
    <w:rsid w:val="00E25454"/>
    <w:rsid w:val="00E268A9"/>
    <w:rsid w:val="00E273DA"/>
    <w:rsid w:val="00E27B8D"/>
    <w:rsid w:val="00E30FD2"/>
    <w:rsid w:val="00E34A10"/>
    <w:rsid w:val="00E40198"/>
    <w:rsid w:val="00E40596"/>
    <w:rsid w:val="00E41B97"/>
    <w:rsid w:val="00E44AEC"/>
    <w:rsid w:val="00E4511F"/>
    <w:rsid w:val="00E45F5D"/>
    <w:rsid w:val="00E46F40"/>
    <w:rsid w:val="00E505C7"/>
    <w:rsid w:val="00E511A5"/>
    <w:rsid w:val="00E53896"/>
    <w:rsid w:val="00E54DF6"/>
    <w:rsid w:val="00E56473"/>
    <w:rsid w:val="00E571EF"/>
    <w:rsid w:val="00E574A5"/>
    <w:rsid w:val="00E60073"/>
    <w:rsid w:val="00E60432"/>
    <w:rsid w:val="00E616C4"/>
    <w:rsid w:val="00E62611"/>
    <w:rsid w:val="00E62A49"/>
    <w:rsid w:val="00E6376A"/>
    <w:rsid w:val="00E638A3"/>
    <w:rsid w:val="00E652D9"/>
    <w:rsid w:val="00E72860"/>
    <w:rsid w:val="00E74C85"/>
    <w:rsid w:val="00E77EB3"/>
    <w:rsid w:val="00E80D3E"/>
    <w:rsid w:val="00E834E9"/>
    <w:rsid w:val="00E8510C"/>
    <w:rsid w:val="00E85702"/>
    <w:rsid w:val="00E86A7E"/>
    <w:rsid w:val="00E870E6"/>
    <w:rsid w:val="00E915A3"/>
    <w:rsid w:val="00E92F2E"/>
    <w:rsid w:val="00E940F7"/>
    <w:rsid w:val="00EA0328"/>
    <w:rsid w:val="00EA0C6A"/>
    <w:rsid w:val="00EA317D"/>
    <w:rsid w:val="00EA6375"/>
    <w:rsid w:val="00EA68D3"/>
    <w:rsid w:val="00EA7982"/>
    <w:rsid w:val="00EB0007"/>
    <w:rsid w:val="00EB025A"/>
    <w:rsid w:val="00EB1DAB"/>
    <w:rsid w:val="00EB300E"/>
    <w:rsid w:val="00EB39BA"/>
    <w:rsid w:val="00EB4933"/>
    <w:rsid w:val="00EB56AD"/>
    <w:rsid w:val="00EB6102"/>
    <w:rsid w:val="00EC1D94"/>
    <w:rsid w:val="00EC2217"/>
    <w:rsid w:val="00EC726C"/>
    <w:rsid w:val="00ED6523"/>
    <w:rsid w:val="00EE1B28"/>
    <w:rsid w:val="00EE2CAC"/>
    <w:rsid w:val="00EE3A94"/>
    <w:rsid w:val="00EE6E02"/>
    <w:rsid w:val="00EF21B6"/>
    <w:rsid w:val="00EF2381"/>
    <w:rsid w:val="00EF41A0"/>
    <w:rsid w:val="00EF571E"/>
    <w:rsid w:val="00EF62BD"/>
    <w:rsid w:val="00EF6F07"/>
    <w:rsid w:val="00F00C70"/>
    <w:rsid w:val="00F014EA"/>
    <w:rsid w:val="00F0291C"/>
    <w:rsid w:val="00F048BE"/>
    <w:rsid w:val="00F0562B"/>
    <w:rsid w:val="00F05651"/>
    <w:rsid w:val="00F10C7E"/>
    <w:rsid w:val="00F115C2"/>
    <w:rsid w:val="00F11F7E"/>
    <w:rsid w:val="00F12542"/>
    <w:rsid w:val="00F12614"/>
    <w:rsid w:val="00F1385E"/>
    <w:rsid w:val="00F139A6"/>
    <w:rsid w:val="00F141F9"/>
    <w:rsid w:val="00F142EF"/>
    <w:rsid w:val="00F2026C"/>
    <w:rsid w:val="00F24C10"/>
    <w:rsid w:val="00F25E8B"/>
    <w:rsid w:val="00F27526"/>
    <w:rsid w:val="00F41297"/>
    <w:rsid w:val="00F42869"/>
    <w:rsid w:val="00F43A60"/>
    <w:rsid w:val="00F44DFF"/>
    <w:rsid w:val="00F45857"/>
    <w:rsid w:val="00F46063"/>
    <w:rsid w:val="00F4737A"/>
    <w:rsid w:val="00F50BCC"/>
    <w:rsid w:val="00F51FBF"/>
    <w:rsid w:val="00F526EE"/>
    <w:rsid w:val="00F539D2"/>
    <w:rsid w:val="00F57435"/>
    <w:rsid w:val="00F61AA9"/>
    <w:rsid w:val="00F63B8D"/>
    <w:rsid w:val="00F63E45"/>
    <w:rsid w:val="00F641CA"/>
    <w:rsid w:val="00F6504B"/>
    <w:rsid w:val="00F65CBB"/>
    <w:rsid w:val="00F67E7F"/>
    <w:rsid w:val="00F7019F"/>
    <w:rsid w:val="00F71B06"/>
    <w:rsid w:val="00F73847"/>
    <w:rsid w:val="00F76395"/>
    <w:rsid w:val="00F76993"/>
    <w:rsid w:val="00F81224"/>
    <w:rsid w:val="00F826E1"/>
    <w:rsid w:val="00F82F57"/>
    <w:rsid w:val="00F848DF"/>
    <w:rsid w:val="00F84F82"/>
    <w:rsid w:val="00F86009"/>
    <w:rsid w:val="00F86E8E"/>
    <w:rsid w:val="00F870BB"/>
    <w:rsid w:val="00F87AB9"/>
    <w:rsid w:val="00F91A70"/>
    <w:rsid w:val="00F930B4"/>
    <w:rsid w:val="00F93449"/>
    <w:rsid w:val="00F9481A"/>
    <w:rsid w:val="00FA431F"/>
    <w:rsid w:val="00FA5205"/>
    <w:rsid w:val="00FA6BB5"/>
    <w:rsid w:val="00FA73BC"/>
    <w:rsid w:val="00FB19BF"/>
    <w:rsid w:val="00FB43D1"/>
    <w:rsid w:val="00FB4CC2"/>
    <w:rsid w:val="00FB6887"/>
    <w:rsid w:val="00FB6BA7"/>
    <w:rsid w:val="00FB7A63"/>
    <w:rsid w:val="00FB7B47"/>
    <w:rsid w:val="00FC0A45"/>
    <w:rsid w:val="00FC3497"/>
    <w:rsid w:val="00FC4F65"/>
    <w:rsid w:val="00FC5208"/>
    <w:rsid w:val="00FC58C4"/>
    <w:rsid w:val="00FC5B77"/>
    <w:rsid w:val="00FC5EA2"/>
    <w:rsid w:val="00FD18D7"/>
    <w:rsid w:val="00FD30BA"/>
    <w:rsid w:val="00FD4216"/>
    <w:rsid w:val="00FD433E"/>
    <w:rsid w:val="00FD46A1"/>
    <w:rsid w:val="00FD512D"/>
    <w:rsid w:val="00FD728D"/>
    <w:rsid w:val="00FD79A1"/>
    <w:rsid w:val="00FE0DF5"/>
    <w:rsid w:val="00FE1E48"/>
    <w:rsid w:val="00FF10E8"/>
    <w:rsid w:val="00FF1845"/>
    <w:rsid w:val="00FF4C0D"/>
    <w:rsid w:val="00FF6911"/>
    <w:rsid w:val="00FF6B37"/>
    <w:rsid w:val="00FF6FC1"/>
    <w:rsid w:val="00FF72FC"/>
    <w:rsid w:val="00FF7B87"/>
    <w:rsid w:val="016445C3"/>
    <w:rsid w:val="017B11E4"/>
    <w:rsid w:val="020E2058"/>
    <w:rsid w:val="02104022"/>
    <w:rsid w:val="022B3571"/>
    <w:rsid w:val="02450282"/>
    <w:rsid w:val="02A025E1"/>
    <w:rsid w:val="02E84657"/>
    <w:rsid w:val="02FC0E54"/>
    <w:rsid w:val="032F7B3A"/>
    <w:rsid w:val="039840D8"/>
    <w:rsid w:val="04C86418"/>
    <w:rsid w:val="04CB2483"/>
    <w:rsid w:val="051C683A"/>
    <w:rsid w:val="056F1060"/>
    <w:rsid w:val="0580389D"/>
    <w:rsid w:val="05812B41"/>
    <w:rsid w:val="05A20697"/>
    <w:rsid w:val="05F96B7B"/>
    <w:rsid w:val="06727064"/>
    <w:rsid w:val="0696086E"/>
    <w:rsid w:val="06AE5AD0"/>
    <w:rsid w:val="06F06D39"/>
    <w:rsid w:val="07B832B0"/>
    <w:rsid w:val="082779ED"/>
    <w:rsid w:val="083D3697"/>
    <w:rsid w:val="08CE42EF"/>
    <w:rsid w:val="094F4C39"/>
    <w:rsid w:val="095770CF"/>
    <w:rsid w:val="09C000DC"/>
    <w:rsid w:val="09CF6571"/>
    <w:rsid w:val="0A075D0B"/>
    <w:rsid w:val="0A2A19F9"/>
    <w:rsid w:val="0A4C39CC"/>
    <w:rsid w:val="0A560A40"/>
    <w:rsid w:val="0A5A6005"/>
    <w:rsid w:val="0A9517FE"/>
    <w:rsid w:val="0ADD65C8"/>
    <w:rsid w:val="0B5C3B3F"/>
    <w:rsid w:val="0B9E0AED"/>
    <w:rsid w:val="0BBA6DAD"/>
    <w:rsid w:val="0BEE04BB"/>
    <w:rsid w:val="0BF2461F"/>
    <w:rsid w:val="0BFC6504"/>
    <w:rsid w:val="0C1C796E"/>
    <w:rsid w:val="0C3923C8"/>
    <w:rsid w:val="0C596848"/>
    <w:rsid w:val="0CB25313"/>
    <w:rsid w:val="0CC218BB"/>
    <w:rsid w:val="0E0F562B"/>
    <w:rsid w:val="0F20786F"/>
    <w:rsid w:val="0F763C58"/>
    <w:rsid w:val="0F924FA1"/>
    <w:rsid w:val="0FA7589A"/>
    <w:rsid w:val="0FAE4E7B"/>
    <w:rsid w:val="0FDC5544"/>
    <w:rsid w:val="101A2306"/>
    <w:rsid w:val="104F11FD"/>
    <w:rsid w:val="108A0770"/>
    <w:rsid w:val="109158BE"/>
    <w:rsid w:val="11072A94"/>
    <w:rsid w:val="110C528E"/>
    <w:rsid w:val="1125116C"/>
    <w:rsid w:val="1168427D"/>
    <w:rsid w:val="11DF1D80"/>
    <w:rsid w:val="121D602C"/>
    <w:rsid w:val="12AB1C90"/>
    <w:rsid w:val="12AD3F61"/>
    <w:rsid w:val="12E82EF7"/>
    <w:rsid w:val="130875B0"/>
    <w:rsid w:val="140B4870"/>
    <w:rsid w:val="1457720D"/>
    <w:rsid w:val="152359C3"/>
    <w:rsid w:val="15A83398"/>
    <w:rsid w:val="15BC0BEA"/>
    <w:rsid w:val="16464B10"/>
    <w:rsid w:val="16734BDF"/>
    <w:rsid w:val="169F7650"/>
    <w:rsid w:val="17253C74"/>
    <w:rsid w:val="17577BA6"/>
    <w:rsid w:val="176401DE"/>
    <w:rsid w:val="177E5132"/>
    <w:rsid w:val="17854574"/>
    <w:rsid w:val="178A3AD0"/>
    <w:rsid w:val="1796247C"/>
    <w:rsid w:val="17C57205"/>
    <w:rsid w:val="17F3464E"/>
    <w:rsid w:val="17FD7A4D"/>
    <w:rsid w:val="180C0990"/>
    <w:rsid w:val="180C4E23"/>
    <w:rsid w:val="18422604"/>
    <w:rsid w:val="18860743"/>
    <w:rsid w:val="18A60DE5"/>
    <w:rsid w:val="18C4126B"/>
    <w:rsid w:val="18E9476E"/>
    <w:rsid w:val="1945415A"/>
    <w:rsid w:val="196A7006"/>
    <w:rsid w:val="19C65056"/>
    <w:rsid w:val="1A023DF9"/>
    <w:rsid w:val="1A7A7E33"/>
    <w:rsid w:val="1AC44733"/>
    <w:rsid w:val="1AE97737"/>
    <w:rsid w:val="1AEE25CF"/>
    <w:rsid w:val="1B4346C9"/>
    <w:rsid w:val="1B672DA1"/>
    <w:rsid w:val="1BE0181E"/>
    <w:rsid w:val="1BE3106F"/>
    <w:rsid w:val="1C4C05C3"/>
    <w:rsid w:val="1C746B04"/>
    <w:rsid w:val="1CB533A4"/>
    <w:rsid w:val="1CEA6916"/>
    <w:rsid w:val="1D2D0CD8"/>
    <w:rsid w:val="1D4666F2"/>
    <w:rsid w:val="1D5B1674"/>
    <w:rsid w:val="1DA43C94"/>
    <w:rsid w:val="1DB01DBE"/>
    <w:rsid w:val="1DC774CE"/>
    <w:rsid w:val="1DE91E38"/>
    <w:rsid w:val="1EA5065C"/>
    <w:rsid w:val="1ECB5101"/>
    <w:rsid w:val="1EDB1BA0"/>
    <w:rsid w:val="1F29007A"/>
    <w:rsid w:val="1FAA2283"/>
    <w:rsid w:val="1FD77AD6"/>
    <w:rsid w:val="206D6E31"/>
    <w:rsid w:val="20A0436C"/>
    <w:rsid w:val="210963B5"/>
    <w:rsid w:val="212B00D9"/>
    <w:rsid w:val="21470C8B"/>
    <w:rsid w:val="21486EDD"/>
    <w:rsid w:val="214967B1"/>
    <w:rsid w:val="21574B4C"/>
    <w:rsid w:val="21843C8D"/>
    <w:rsid w:val="22097CEF"/>
    <w:rsid w:val="222E3E1C"/>
    <w:rsid w:val="22647D95"/>
    <w:rsid w:val="2265761B"/>
    <w:rsid w:val="22A31EF1"/>
    <w:rsid w:val="22C37E78"/>
    <w:rsid w:val="22DD5403"/>
    <w:rsid w:val="233B3CC5"/>
    <w:rsid w:val="23531B69"/>
    <w:rsid w:val="236C6787"/>
    <w:rsid w:val="2375388E"/>
    <w:rsid w:val="238E494F"/>
    <w:rsid w:val="23CF42CD"/>
    <w:rsid w:val="23E10F23"/>
    <w:rsid w:val="23F24EDE"/>
    <w:rsid w:val="24E0567E"/>
    <w:rsid w:val="250057E6"/>
    <w:rsid w:val="253638B3"/>
    <w:rsid w:val="254E2E44"/>
    <w:rsid w:val="259D3570"/>
    <w:rsid w:val="25D77B02"/>
    <w:rsid w:val="260E4D33"/>
    <w:rsid w:val="26126405"/>
    <w:rsid w:val="265F25D3"/>
    <w:rsid w:val="26A10E3D"/>
    <w:rsid w:val="26A80AF7"/>
    <w:rsid w:val="27270A10"/>
    <w:rsid w:val="277D7AF1"/>
    <w:rsid w:val="27DF39CB"/>
    <w:rsid w:val="27E2170E"/>
    <w:rsid w:val="27EC6810"/>
    <w:rsid w:val="282F4953"/>
    <w:rsid w:val="283D6356"/>
    <w:rsid w:val="28603224"/>
    <w:rsid w:val="28616AD6"/>
    <w:rsid w:val="28AD1D1C"/>
    <w:rsid w:val="28B9421C"/>
    <w:rsid w:val="292A6EC8"/>
    <w:rsid w:val="2937299B"/>
    <w:rsid w:val="29575DEC"/>
    <w:rsid w:val="29650978"/>
    <w:rsid w:val="29954C89"/>
    <w:rsid w:val="299910E7"/>
    <w:rsid w:val="29CB06AB"/>
    <w:rsid w:val="29CE4A8D"/>
    <w:rsid w:val="2A1C6576"/>
    <w:rsid w:val="2A375D41"/>
    <w:rsid w:val="2A4B7B3A"/>
    <w:rsid w:val="2A8E3374"/>
    <w:rsid w:val="2AAD7DB1"/>
    <w:rsid w:val="2AFE7BD8"/>
    <w:rsid w:val="2B12230A"/>
    <w:rsid w:val="2B1610F7"/>
    <w:rsid w:val="2B18103A"/>
    <w:rsid w:val="2BCB7376"/>
    <w:rsid w:val="2BDA4BD6"/>
    <w:rsid w:val="2BFC342C"/>
    <w:rsid w:val="2C216BF0"/>
    <w:rsid w:val="2C351E0C"/>
    <w:rsid w:val="2C43539C"/>
    <w:rsid w:val="2C9254B0"/>
    <w:rsid w:val="2C9420BA"/>
    <w:rsid w:val="2C985B8A"/>
    <w:rsid w:val="2C9D0B2A"/>
    <w:rsid w:val="2CA930C1"/>
    <w:rsid w:val="2D050BF9"/>
    <w:rsid w:val="2D3227EF"/>
    <w:rsid w:val="2DB3434B"/>
    <w:rsid w:val="2DCF44E2"/>
    <w:rsid w:val="2DEA5B9A"/>
    <w:rsid w:val="2E033B7E"/>
    <w:rsid w:val="2E30387D"/>
    <w:rsid w:val="2E7A61FC"/>
    <w:rsid w:val="2ECD01B4"/>
    <w:rsid w:val="2EDE7FD4"/>
    <w:rsid w:val="2EED2E72"/>
    <w:rsid w:val="2EEE0998"/>
    <w:rsid w:val="2FAB0637"/>
    <w:rsid w:val="2FB10B8E"/>
    <w:rsid w:val="300B7369"/>
    <w:rsid w:val="3020051A"/>
    <w:rsid w:val="303D3985"/>
    <w:rsid w:val="3045283A"/>
    <w:rsid w:val="30776F24"/>
    <w:rsid w:val="307F3F9D"/>
    <w:rsid w:val="308E2433"/>
    <w:rsid w:val="309317F7"/>
    <w:rsid w:val="3096372B"/>
    <w:rsid w:val="31180B87"/>
    <w:rsid w:val="31286627"/>
    <w:rsid w:val="315C42DF"/>
    <w:rsid w:val="316867E0"/>
    <w:rsid w:val="319B669A"/>
    <w:rsid w:val="31DD7230"/>
    <w:rsid w:val="31EC5663"/>
    <w:rsid w:val="328D1832"/>
    <w:rsid w:val="32F169A3"/>
    <w:rsid w:val="33013232"/>
    <w:rsid w:val="33322D9C"/>
    <w:rsid w:val="33835B53"/>
    <w:rsid w:val="33A0452D"/>
    <w:rsid w:val="33AA1331"/>
    <w:rsid w:val="33FD3B57"/>
    <w:rsid w:val="345710AE"/>
    <w:rsid w:val="34697C61"/>
    <w:rsid w:val="346C65E7"/>
    <w:rsid w:val="34A873F3"/>
    <w:rsid w:val="34B14942"/>
    <w:rsid w:val="34E116D1"/>
    <w:rsid w:val="350478CF"/>
    <w:rsid w:val="35156C7E"/>
    <w:rsid w:val="35300FAC"/>
    <w:rsid w:val="353A269E"/>
    <w:rsid w:val="355E55B1"/>
    <w:rsid w:val="35A946F2"/>
    <w:rsid w:val="35DE3514"/>
    <w:rsid w:val="35F55D16"/>
    <w:rsid w:val="362869C3"/>
    <w:rsid w:val="363870C8"/>
    <w:rsid w:val="36BE25DA"/>
    <w:rsid w:val="376143FD"/>
    <w:rsid w:val="377834F5"/>
    <w:rsid w:val="37986D07"/>
    <w:rsid w:val="37DE2E68"/>
    <w:rsid w:val="38156C13"/>
    <w:rsid w:val="383A69FC"/>
    <w:rsid w:val="3896077B"/>
    <w:rsid w:val="38D806EF"/>
    <w:rsid w:val="38EA3AB1"/>
    <w:rsid w:val="391E6CA0"/>
    <w:rsid w:val="39386D6D"/>
    <w:rsid w:val="39681ABA"/>
    <w:rsid w:val="398D772B"/>
    <w:rsid w:val="3A0E5ACB"/>
    <w:rsid w:val="3A267238"/>
    <w:rsid w:val="3A9F595F"/>
    <w:rsid w:val="3ACD028A"/>
    <w:rsid w:val="3B0276ED"/>
    <w:rsid w:val="3B103379"/>
    <w:rsid w:val="3B5E1F75"/>
    <w:rsid w:val="3B780621"/>
    <w:rsid w:val="3B9B172A"/>
    <w:rsid w:val="3BB05869"/>
    <w:rsid w:val="3BC21C9A"/>
    <w:rsid w:val="3BCE402B"/>
    <w:rsid w:val="3C0F7055"/>
    <w:rsid w:val="3C51554A"/>
    <w:rsid w:val="3C592A4B"/>
    <w:rsid w:val="3CCA034E"/>
    <w:rsid w:val="3D597903"/>
    <w:rsid w:val="3D842FAC"/>
    <w:rsid w:val="3D9F17DB"/>
    <w:rsid w:val="3DE2791A"/>
    <w:rsid w:val="3E5C2986"/>
    <w:rsid w:val="3E7013C9"/>
    <w:rsid w:val="3E91487A"/>
    <w:rsid w:val="3EB6242B"/>
    <w:rsid w:val="3EBD1F8F"/>
    <w:rsid w:val="3ECD2A68"/>
    <w:rsid w:val="3ECF60F0"/>
    <w:rsid w:val="3F04252D"/>
    <w:rsid w:val="3F2F1C77"/>
    <w:rsid w:val="3F5118C3"/>
    <w:rsid w:val="3F6F51DD"/>
    <w:rsid w:val="3F892443"/>
    <w:rsid w:val="3F9133A5"/>
    <w:rsid w:val="3FA330D9"/>
    <w:rsid w:val="3FB801E2"/>
    <w:rsid w:val="3FBB6F9C"/>
    <w:rsid w:val="3FEB51AC"/>
    <w:rsid w:val="3FF04570"/>
    <w:rsid w:val="406A6685"/>
    <w:rsid w:val="40C3495E"/>
    <w:rsid w:val="40CD1EFF"/>
    <w:rsid w:val="40E02AF3"/>
    <w:rsid w:val="40F55A3B"/>
    <w:rsid w:val="41140732"/>
    <w:rsid w:val="41C95D78"/>
    <w:rsid w:val="41EA3C17"/>
    <w:rsid w:val="41F8770C"/>
    <w:rsid w:val="41FC67E0"/>
    <w:rsid w:val="41FE7487"/>
    <w:rsid w:val="426C2F73"/>
    <w:rsid w:val="42776E6A"/>
    <w:rsid w:val="42823479"/>
    <w:rsid w:val="428B24DE"/>
    <w:rsid w:val="42A81132"/>
    <w:rsid w:val="42E12D48"/>
    <w:rsid w:val="42E615A0"/>
    <w:rsid w:val="431C742A"/>
    <w:rsid w:val="43216562"/>
    <w:rsid w:val="43394D02"/>
    <w:rsid w:val="436332AB"/>
    <w:rsid w:val="43900BE6"/>
    <w:rsid w:val="441253AE"/>
    <w:rsid w:val="443A5DE4"/>
    <w:rsid w:val="446855CD"/>
    <w:rsid w:val="4478766D"/>
    <w:rsid w:val="44BC0EC5"/>
    <w:rsid w:val="45622B78"/>
    <w:rsid w:val="45E32481"/>
    <w:rsid w:val="46165616"/>
    <w:rsid w:val="46362EF9"/>
    <w:rsid w:val="464253F9"/>
    <w:rsid w:val="465F4EBD"/>
    <w:rsid w:val="46A402FE"/>
    <w:rsid w:val="46D56036"/>
    <w:rsid w:val="46F1025A"/>
    <w:rsid w:val="46FF153C"/>
    <w:rsid w:val="472B2331"/>
    <w:rsid w:val="47372A84"/>
    <w:rsid w:val="473B4A6F"/>
    <w:rsid w:val="4760647F"/>
    <w:rsid w:val="47797D89"/>
    <w:rsid w:val="47C1335D"/>
    <w:rsid w:val="47EF4992"/>
    <w:rsid w:val="47EF6394"/>
    <w:rsid w:val="480212E4"/>
    <w:rsid w:val="48073BC3"/>
    <w:rsid w:val="481728B6"/>
    <w:rsid w:val="48311BC9"/>
    <w:rsid w:val="484F14ED"/>
    <w:rsid w:val="489A151D"/>
    <w:rsid w:val="48CC02D4"/>
    <w:rsid w:val="48D83DF3"/>
    <w:rsid w:val="48F901C4"/>
    <w:rsid w:val="48FB5D34"/>
    <w:rsid w:val="49E4714A"/>
    <w:rsid w:val="49E9252C"/>
    <w:rsid w:val="4A074420"/>
    <w:rsid w:val="4A0F5F3A"/>
    <w:rsid w:val="4A3639D9"/>
    <w:rsid w:val="4A395D1C"/>
    <w:rsid w:val="4A3B288C"/>
    <w:rsid w:val="4A5B1392"/>
    <w:rsid w:val="4A777BC1"/>
    <w:rsid w:val="4A920BD0"/>
    <w:rsid w:val="4B2A63DE"/>
    <w:rsid w:val="4B50301A"/>
    <w:rsid w:val="4B582341"/>
    <w:rsid w:val="4B5B6513"/>
    <w:rsid w:val="4B683B54"/>
    <w:rsid w:val="4B771FE9"/>
    <w:rsid w:val="4B96350F"/>
    <w:rsid w:val="4C395099"/>
    <w:rsid w:val="4C7379C1"/>
    <w:rsid w:val="4C825AA7"/>
    <w:rsid w:val="4D21045F"/>
    <w:rsid w:val="4D2E492A"/>
    <w:rsid w:val="4D3D7B26"/>
    <w:rsid w:val="4D5912DA"/>
    <w:rsid w:val="4D697710"/>
    <w:rsid w:val="4D73233C"/>
    <w:rsid w:val="4D73771A"/>
    <w:rsid w:val="4DE04112"/>
    <w:rsid w:val="4DF27705"/>
    <w:rsid w:val="4EB946C7"/>
    <w:rsid w:val="4ED83369"/>
    <w:rsid w:val="4F6F07B4"/>
    <w:rsid w:val="4F9E4C29"/>
    <w:rsid w:val="4FBF22EB"/>
    <w:rsid w:val="4FE66B34"/>
    <w:rsid w:val="504B2837"/>
    <w:rsid w:val="508B5BEF"/>
    <w:rsid w:val="50CA7151"/>
    <w:rsid w:val="513A7953"/>
    <w:rsid w:val="51422751"/>
    <w:rsid w:val="51621046"/>
    <w:rsid w:val="516F6A85"/>
    <w:rsid w:val="517859A4"/>
    <w:rsid w:val="51962FDC"/>
    <w:rsid w:val="519F1952"/>
    <w:rsid w:val="51A54E31"/>
    <w:rsid w:val="51AA02F7"/>
    <w:rsid w:val="51EC2CCC"/>
    <w:rsid w:val="523C53F3"/>
    <w:rsid w:val="525766EF"/>
    <w:rsid w:val="526F377B"/>
    <w:rsid w:val="528D20F2"/>
    <w:rsid w:val="52911BE2"/>
    <w:rsid w:val="52C6513D"/>
    <w:rsid w:val="52CA50F4"/>
    <w:rsid w:val="52E72A8D"/>
    <w:rsid w:val="53476745"/>
    <w:rsid w:val="534F55FA"/>
    <w:rsid w:val="536270DB"/>
    <w:rsid w:val="539B439B"/>
    <w:rsid w:val="53BB2462"/>
    <w:rsid w:val="53BD7E1B"/>
    <w:rsid w:val="53FD26AC"/>
    <w:rsid w:val="5418600B"/>
    <w:rsid w:val="541D1254"/>
    <w:rsid w:val="54224ABC"/>
    <w:rsid w:val="54770964"/>
    <w:rsid w:val="54843F60"/>
    <w:rsid w:val="54952DC1"/>
    <w:rsid w:val="5540005A"/>
    <w:rsid w:val="55545149"/>
    <w:rsid w:val="566E02B3"/>
    <w:rsid w:val="5689497F"/>
    <w:rsid w:val="56AD7719"/>
    <w:rsid w:val="56EA6C97"/>
    <w:rsid w:val="56ED7603"/>
    <w:rsid w:val="57002A4B"/>
    <w:rsid w:val="57021609"/>
    <w:rsid w:val="57292E2D"/>
    <w:rsid w:val="57805D82"/>
    <w:rsid w:val="57DE1640"/>
    <w:rsid w:val="57FA3401"/>
    <w:rsid w:val="57FF3B26"/>
    <w:rsid w:val="58F84874"/>
    <w:rsid w:val="59A87812"/>
    <w:rsid w:val="59C67F57"/>
    <w:rsid w:val="5A006365"/>
    <w:rsid w:val="5A13112F"/>
    <w:rsid w:val="5A3966BC"/>
    <w:rsid w:val="5A8E53B8"/>
    <w:rsid w:val="5A956D8F"/>
    <w:rsid w:val="5AB1340E"/>
    <w:rsid w:val="5AC468CD"/>
    <w:rsid w:val="5B01542B"/>
    <w:rsid w:val="5B0B353C"/>
    <w:rsid w:val="5B3A037C"/>
    <w:rsid w:val="5B3E042E"/>
    <w:rsid w:val="5B707604"/>
    <w:rsid w:val="5BF1724E"/>
    <w:rsid w:val="5C013209"/>
    <w:rsid w:val="5C23529C"/>
    <w:rsid w:val="5C4E3702"/>
    <w:rsid w:val="5C5123E2"/>
    <w:rsid w:val="5CCC1A69"/>
    <w:rsid w:val="5CCF269C"/>
    <w:rsid w:val="5CD8040E"/>
    <w:rsid w:val="5CDC1CAC"/>
    <w:rsid w:val="5CE809FE"/>
    <w:rsid w:val="5CE861E2"/>
    <w:rsid w:val="5D257EE6"/>
    <w:rsid w:val="5D3C6BEF"/>
    <w:rsid w:val="5D5B08F6"/>
    <w:rsid w:val="5D5C1AD5"/>
    <w:rsid w:val="5D6B41A8"/>
    <w:rsid w:val="5D755C5D"/>
    <w:rsid w:val="5DAD06AE"/>
    <w:rsid w:val="5E0C67DF"/>
    <w:rsid w:val="5EE57886"/>
    <w:rsid w:val="5F155135"/>
    <w:rsid w:val="5F3C4C84"/>
    <w:rsid w:val="5F42133D"/>
    <w:rsid w:val="5F4E4DF8"/>
    <w:rsid w:val="5F640D8F"/>
    <w:rsid w:val="5F8605F5"/>
    <w:rsid w:val="5F916087"/>
    <w:rsid w:val="5FD90725"/>
    <w:rsid w:val="5FF87482"/>
    <w:rsid w:val="600E59C0"/>
    <w:rsid w:val="602816AC"/>
    <w:rsid w:val="60365B77"/>
    <w:rsid w:val="60367925"/>
    <w:rsid w:val="60430591"/>
    <w:rsid w:val="60FF065F"/>
    <w:rsid w:val="610761F5"/>
    <w:rsid w:val="61333E65"/>
    <w:rsid w:val="61462CED"/>
    <w:rsid w:val="614E5143"/>
    <w:rsid w:val="6192502F"/>
    <w:rsid w:val="61BE1EB5"/>
    <w:rsid w:val="61C94AD0"/>
    <w:rsid w:val="61FC694D"/>
    <w:rsid w:val="632B573B"/>
    <w:rsid w:val="63351D5F"/>
    <w:rsid w:val="63564074"/>
    <w:rsid w:val="63B55CD4"/>
    <w:rsid w:val="64B527F0"/>
    <w:rsid w:val="64D67929"/>
    <w:rsid w:val="64DD0CB7"/>
    <w:rsid w:val="64E83C78"/>
    <w:rsid w:val="64F61D79"/>
    <w:rsid w:val="6527763D"/>
    <w:rsid w:val="65D521FE"/>
    <w:rsid w:val="65DA1535"/>
    <w:rsid w:val="66042274"/>
    <w:rsid w:val="66161A06"/>
    <w:rsid w:val="66202FCC"/>
    <w:rsid w:val="663D12E2"/>
    <w:rsid w:val="665A33F4"/>
    <w:rsid w:val="665C74B3"/>
    <w:rsid w:val="66613283"/>
    <w:rsid w:val="66725EC9"/>
    <w:rsid w:val="668F6144"/>
    <w:rsid w:val="66A14141"/>
    <w:rsid w:val="66A17AC3"/>
    <w:rsid w:val="66B4528E"/>
    <w:rsid w:val="66C67529"/>
    <w:rsid w:val="66CD3B43"/>
    <w:rsid w:val="66DE2AC5"/>
    <w:rsid w:val="670B09F0"/>
    <w:rsid w:val="671E79A5"/>
    <w:rsid w:val="67254250"/>
    <w:rsid w:val="674C7894"/>
    <w:rsid w:val="67515005"/>
    <w:rsid w:val="675608AD"/>
    <w:rsid w:val="678C0773"/>
    <w:rsid w:val="67903975"/>
    <w:rsid w:val="683230C8"/>
    <w:rsid w:val="68D0099F"/>
    <w:rsid w:val="69584DB0"/>
    <w:rsid w:val="696F420B"/>
    <w:rsid w:val="6993635B"/>
    <w:rsid w:val="69E76134"/>
    <w:rsid w:val="69F34AD9"/>
    <w:rsid w:val="6A350C4E"/>
    <w:rsid w:val="6A3D7B02"/>
    <w:rsid w:val="6ADC22DA"/>
    <w:rsid w:val="6AFC176B"/>
    <w:rsid w:val="6B2667E8"/>
    <w:rsid w:val="6B625A72"/>
    <w:rsid w:val="6B6D68A6"/>
    <w:rsid w:val="6BA306B0"/>
    <w:rsid w:val="6C20148A"/>
    <w:rsid w:val="6C2E1DF8"/>
    <w:rsid w:val="6C506213"/>
    <w:rsid w:val="6C71322B"/>
    <w:rsid w:val="6C8B2DA7"/>
    <w:rsid w:val="6CA145F5"/>
    <w:rsid w:val="6CD52386"/>
    <w:rsid w:val="6CEC7EFA"/>
    <w:rsid w:val="6D251D1D"/>
    <w:rsid w:val="6D282CEC"/>
    <w:rsid w:val="6D4D4500"/>
    <w:rsid w:val="6DA5433C"/>
    <w:rsid w:val="6DCC0641"/>
    <w:rsid w:val="6E160D96"/>
    <w:rsid w:val="6E3556C0"/>
    <w:rsid w:val="6E3B16B8"/>
    <w:rsid w:val="6E5042A8"/>
    <w:rsid w:val="6E843F52"/>
    <w:rsid w:val="6ED70525"/>
    <w:rsid w:val="6ED8604B"/>
    <w:rsid w:val="6EFA06B8"/>
    <w:rsid w:val="6F6B6EC0"/>
    <w:rsid w:val="6F6C3BD3"/>
    <w:rsid w:val="6F7637EB"/>
    <w:rsid w:val="6F8B4C98"/>
    <w:rsid w:val="6F946416"/>
    <w:rsid w:val="6FA57EE4"/>
    <w:rsid w:val="6FB17C69"/>
    <w:rsid w:val="6FC759F8"/>
    <w:rsid w:val="6FCC6779"/>
    <w:rsid w:val="6FD902CD"/>
    <w:rsid w:val="6FDB2297"/>
    <w:rsid w:val="703C07EE"/>
    <w:rsid w:val="704E4817"/>
    <w:rsid w:val="704F09B5"/>
    <w:rsid w:val="707E0ACB"/>
    <w:rsid w:val="718B45BE"/>
    <w:rsid w:val="71EF3DD8"/>
    <w:rsid w:val="71EF5AD2"/>
    <w:rsid w:val="73665BBF"/>
    <w:rsid w:val="738A6D0B"/>
    <w:rsid w:val="73CE63DE"/>
    <w:rsid w:val="73EB1AA9"/>
    <w:rsid w:val="73F5204B"/>
    <w:rsid w:val="73FB2F08"/>
    <w:rsid w:val="74085625"/>
    <w:rsid w:val="741F2418"/>
    <w:rsid w:val="747B1953"/>
    <w:rsid w:val="74D86DA5"/>
    <w:rsid w:val="74E41BEE"/>
    <w:rsid w:val="74F1620C"/>
    <w:rsid w:val="74FF4332"/>
    <w:rsid w:val="7544443B"/>
    <w:rsid w:val="75722D56"/>
    <w:rsid w:val="75DC0BFA"/>
    <w:rsid w:val="763C2493"/>
    <w:rsid w:val="763C5112"/>
    <w:rsid w:val="763D5796"/>
    <w:rsid w:val="7657019E"/>
    <w:rsid w:val="765E0B01"/>
    <w:rsid w:val="767F74F6"/>
    <w:rsid w:val="76AE3444"/>
    <w:rsid w:val="773638FF"/>
    <w:rsid w:val="77493939"/>
    <w:rsid w:val="77B05DB7"/>
    <w:rsid w:val="77FE05A0"/>
    <w:rsid w:val="783C3AEF"/>
    <w:rsid w:val="78C673B0"/>
    <w:rsid w:val="78CD248D"/>
    <w:rsid w:val="78D12E41"/>
    <w:rsid w:val="792E168A"/>
    <w:rsid w:val="79BF124D"/>
    <w:rsid w:val="79C97604"/>
    <w:rsid w:val="79F306BC"/>
    <w:rsid w:val="7A327354"/>
    <w:rsid w:val="7A884DCA"/>
    <w:rsid w:val="7AD65ABA"/>
    <w:rsid w:val="7AFB1188"/>
    <w:rsid w:val="7B075A60"/>
    <w:rsid w:val="7B173291"/>
    <w:rsid w:val="7B6E3353"/>
    <w:rsid w:val="7B8008AE"/>
    <w:rsid w:val="7BA7127F"/>
    <w:rsid w:val="7BAC7174"/>
    <w:rsid w:val="7BBB5FF3"/>
    <w:rsid w:val="7BCE2CB0"/>
    <w:rsid w:val="7BFA3AA5"/>
    <w:rsid w:val="7C274566"/>
    <w:rsid w:val="7C480CB4"/>
    <w:rsid w:val="7C7970C0"/>
    <w:rsid w:val="7CCA791B"/>
    <w:rsid w:val="7CFC55FB"/>
    <w:rsid w:val="7D456FA2"/>
    <w:rsid w:val="7D9615AC"/>
    <w:rsid w:val="7D9F66B2"/>
    <w:rsid w:val="7E374B3D"/>
    <w:rsid w:val="7E516DA2"/>
    <w:rsid w:val="7E627AEA"/>
    <w:rsid w:val="7E8835EA"/>
    <w:rsid w:val="7EA16ECF"/>
    <w:rsid w:val="7EAC0EDE"/>
    <w:rsid w:val="7F266F66"/>
    <w:rsid w:val="7F45772D"/>
    <w:rsid w:val="7F7416C7"/>
    <w:rsid w:val="7FCE14D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kern w:val="44"/>
      <w:sz w:val="48"/>
      <w:szCs w:val="48"/>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23">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4">
    <w:name w:val="index 8"/>
    <w:basedOn w:val="1"/>
    <w:next w:val="1"/>
    <w:qFormat/>
    <w:uiPriority w:val="0"/>
    <w:pPr>
      <w:ind w:left="1400" w:leftChars="1400"/>
    </w:pPr>
    <w:rPr>
      <w:rFonts w:ascii="Calibri" w:hAnsi="Calibri" w:eastAsia="宋体" w:cs="Times New Roman"/>
      <w:sz w:val="33"/>
      <w:szCs w:val="22"/>
    </w:rPr>
  </w:style>
  <w:style w:type="paragraph" w:styleId="5">
    <w:name w:val="Normal Indent"/>
    <w:basedOn w:val="1"/>
    <w:next w:val="1"/>
    <w:unhideWhenUsed/>
    <w:qFormat/>
    <w:uiPriority w:val="99"/>
    <w:pPr>
      <w:ind w:firstLine="420" w:firstLineChars="200"/>
    </w:pPr>
    <w:rPr>
      <w:rFonts w:ascii="Calibri" w:hAnsi="Calibri"/>
      <w:szCs w:val="21"/>
    </w:rPr>
  </w:style>
  <w:style w:type="paragraph" w:styleId="6">
    <w:name w:val="Body Text"/>
    <w:basedOn w:val="1"/>
    <w:next w:val="7"/>
    <w:link w:val="29"/>
    <w:qFormat/>
    <w:uiPriority w:val="0"/>
    <w:pPr>
      <w:spacing w:after="120"/>
    </w:pPr>
    <w:rPr>
      <w:rFonts w:eastAsia="宋体"/>
      <w:sz w:val="21"/>
      <w:szCs w:val="22"/>
    </w:rPr>
  </w:style>
  <w:style w:type="paragraph" w:styleId="7">
    <w:name w:val="Subtitle"/>
    <w:basedOn w:val="1"/>
    <w:next w:val="1"/>
    <w:qFormat/>
    <w:uiPriority w:val="11"/>
    <w:pPr>
      <w:jc w:val="center"/>
    </w:pPr>
    <w:rPr>
      <w:rFonts w:ascii="等线 Light" w:hAnsi="等线 Light" w:eastAsia="等线 Light"/>
      <w:color w:val="595959"/>
      <w:spacing w:val="15"/>
      <w:sz w:val="28"/>
      <w:szCs w:val="28"/>
    </w:rPr>
  </w:style>
  <w:style w:type="paragraph" w:styleId="8">
    <w:name w:val="Body Text Indent"/>
    <w:basedOn w:val="1"/>
    <w:next w:val="5"/>
    <w:link w:val="30"/>
    <w:qFormat/>
    <w:uiPriority w:val="0"/>
    <w:pPr>
      <w:spacing w:after="120"/>
      <w:ind w:left="420" w:leftChars="200"/>
    </w:pPr>
  </w:style>
  <w:style w:type="paragraph" w:styleId="9">
    <w:name w:val="Plain Text"/>
    <w:basedOn w:val="1"/>
    <w:next w:val="4"/>
    <w:qFormat/>
    <w:uiPriority w:val="0"/>
    <w:rPr>
      <w:rFonts w:ascii="宋体" w:hAnsi="Courier New" w:eastAsia="宋体"/>
      <w:snapToGrid w:val="0"/>
      <w:kern w:val="0"/>
      <w:sz w:val="21"/>
      <w:szCs w:val="21"/>
    </w:rPr>
  </w:style>
  <w:style w:type="paragraph" w:styleId="10">
    <w:name w:val="Date"/>
    <w:basedOn w:val="1"/>
    <w:next w:val="1"/>
    <w:qFormat/>
    <w:uiPriority w:val="0"/>
    <w:pPr>
      <w:ind w:left="100" w:leftChars="2500"/>
    </w:pPr>
  </w:style>
  <w:style w:type="paragraph" w:styleId="11">
    <w:name w:val="endnote text"/>
    <w:basedOn w:val="1"/>
    <w:link w:val="31"/>
    <w:qFormat/>
    <w:uiPriority w:val="0"/>
    <w:pPr>
      <w:snapToGrid w:val="0"/>
      <w:jc w:val="left"/>
    </w:pPr>
  </w:style>
  <w:style w:type="paragraph" w:styleId="12">
    <w:name w:val="Balloon Text"/>
    <w:basedOn w:val="1"/>
    <w:semiHidden/>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semiHidden/>
    <w:qFormat/>
    <w:uiPriority w:val="0"/>
  </w:style>
  <w:style w:type="paragraph" w:styleId="16">
    <w:name w:val="footnote text"/>
    <w:basedOn w:val="1"/>
    <w:link w:val="32"/>
    <w:qFormat/>
    <w:uiPriority w:val="0"/>
    <w:pPr>
      <w:snapToGrid w:val="0"/>
      <w:jc w:val="left"/>
    </w:pPr>
    <w:rPr>
      <w:sz w:val="18"/>
    </w:rPr>
  </w:style>
  <w:style w:type="paragraph" w:styleId="17">
    <w:name w:val="toc 2"/>
    <w:basedOn w:val="1"/>
    <w:next w:val="1"/>
    <w:unhideWhenUsed/>
    <w:qFormat/>
    <w:uiPriority w:val="39"/>
    <w:pPr>
      <w:ind w:left="420" w:leftChars="200"/>
    </w:p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Title"/>
    <w:basedOn w:val="1"/>
    <w:link w:val="33"/>
    <w:qFormat/>
    <w:uiPriority w:val="0"/>
    <w:pPr>
      <w:snapToGrid w:val="0"/>
      <w:jc w:val="center"/>
      <w:outlineLvl w:val="0"/>
    </w:pPr>
    <w:rPr>
      <w:rFonts w:ascii="方正小标宋_GBK" w:hAnsi="Arial" w:eastAsia="方正小标宋_GBK"/>
      <w:bCs/>
      <w:sz w:val="44"/>
      <w:szCs w:val="32"/>
    </w:rPr>
  </w:style>
  <w:style w:type="paragraph" w:styleId="20">
    <w:name w:val="Body Text First Indent"/>
    <w:basedOn w:val="6"/>
    <w:next w:val="21"/>
    <w:qFormat/>
    <w:uiPriority w:val="0"/>
    <w:pPr>
      <w:ind w:firstLine="420" w:firstLineChars="100"/>
    </w:pPr>
  </w:style>
  <w:style w:type="paragraph" w:styleId="21">
    <w:name w:val="Body Text First Indent 2"/>
    <w:basedOn w:val="8"/>
    <w:next w:val="20"/>
    <w:link w:val="34"/>
    <w:qFormat/>
    <w:uiPriority w:val="0"/>
    <w:pPr>
      <w:ind w:left="0" w:leftChars="0" w:firstLine="420"/>
    </w:pPr>
    <w:rPr>
      <w:rFonts w:ascii="仿宋_GB2312" w:hAnsi="Calibri" w:eastAsia="仿宋_GB2312" w:cs="仿宋_GB2312"/>
      <w:szCs w:val="32"/>
    </w:rPr>
  </w:style>
  <w:style w:type="character" w:styleId="24">
    <w:name w:val="Strong"/>
    <w:basedOn w:val="23"/>
    <w:qFormat/>
    <w:uiPriority w:val="22"/>
    <w:rPr>
      <w:b/>
      <w:bCs/>
    </w:rPr>
  </w:style>
  <w:style w:type="character" w:styleId="25">
    <w:name w:val="endnote reference"/>
    <w:uiPriority w:val="0"/>
    <w:rPr>
      <w:vertAlign w:val="superscript"/>
    </w:rPr>
  </w:style>
  <w:style w:type="character" w:styleId="26">
    <w:name w:val="page number"/>
    <w:qFormat/>
    <w:uiPriority w:val="0"/>
  </w:style>
  <w:style w:type="character" w:styleId="27">
    <w:name w:val="Hyperlink"/>
    <w:unhideWhenUsed/>
    <w:uiPriority w:val="99"/>
    <w:rPr>
      <w:color w:val="0000FF"/>
      <w:u w:val="single"/>
    </w:rPr>
  </w:style>
  <w:style w:type="character" w:styleId="28">
    <w:name w:val="footnote reference"/>
    <w:basedOn w:val="23"/>
    <w:qFormat/>
    <w:uiPriority w:val="0"/>
    <w:rPr>
      <w:szCs w:val="32"/>
      <w:vertAlign w:val="superscript"/>
    </w:rPr>
  </w:style>
  <w:style w:type="character" w:customStyle="1" w:styleId="29">
    <w:name w:val="正文文本 Char"/>
    <w:basedOn w:val="23"/>
    <w:link w:val="6"/>
    <w:uiPriority w:val="0"/>
    <w:rPr>
      <w:kern w:val="2"/>
      <w:sz w:val="21"/>
      <w:szCs w:val="22"/>
    </w:rPr>
  </w:style>
  <w:style w:type="character" w:customStyle="1" w:styleId="30">
    <w:name w:val="正文文本缩进 Char"/>
    <w:basedOn w:val="23"/>
    <w:link w:val="8"/>
    <w:uiPriority w:val="0"/>
    <w:rPr>
      <w:rFonts w:eastAsia="方正仿宋_GBK"/>
      <w:kern w:val="2"/>
      <w:sz w:val="32"/>
      <w:szCs w:val="24"/>
    </w:rPr>
  </w:style>
  <w:style w:type="character" w:customStyle="1" w:styleId="31">
    <w:name w:val="尾注文本 Char"/>
    <w:link w:val="11"/>
    <w:uiPriority w:val="0"/>
    <w:rPr>
      <w:rFonts w:eastAsia="方正仿宋_GBK"/>
      <w:kern w:val="2"/>
      <w:sz w:val="32"/>
      <w:szCs w:val="24"/>
    </w:rPr>
  </w:style>
  <w:style w:type="character" w:customStyle="1" w:styleId="32">
    <w:name w:val="脚注文本 Char"/>
    <w:link w:val="16"/>
    <w:uiPriority w:val="0"/>
    <w:rPr>
      <w:rFonts w:eastAsia="方正仿宋_GBK"/>
      <w:kern w:val="2"/>
      <w:sz w:val="18"/>
      <w:szCs w:val="24"/>
    </w:rPr>
  </w:style>
  <w:style w:type="character" w:customStyle="1" w:styleId="33">
    <w:name w:val="标题 Char"/>
    <w:link w:val="19"/>
    <w:qFormat/>
    <w:uiPriority w:val="0"/>
    <w:rPr>
      <w:rFonts w:ascii="方正小标宋_GBK" w:hAnsi="Arial" w:eastAsia="方正小标宋_GBK" w:cs="Arial"/>
      <w:bCs/>
      <w:kern w:val="2"/>
      <w:sz w:val="44"/>
      <w:szCs w:val="32"/>
    </w:rPr>
  </w:style>
  <w:style w:type="character" w:customStyle="1" w:styleId="34">
    <w:name w:val="正文首行缩进 2 Char"/>
    <w:basedOn w:val="30"/>
    <w:link w:val="21"/>
    <w:uiPriority w:val="0"/>
    <w:rPr>
      <w:rFonts w:ascii="仿宋_GB2312" w:hAnsi="Calibri" w:eastAsia="仿宋_GB2312" w:cs="仿宋_GB2312"/>
      <w:szCs w:val="32"/>
    </w:rPr>
  </w:style>
  <w:style w:type="paragraph" w:customStyle="1" w:styleId="35">
    <w:name w:val="Default"/>
    <w:basedOn w:val="9"/>
    <w:qFormat/>
    <w:uiPriority w:val="0"/>
    <w:pPr>
      <w:widowControl w:val="0"/>
      <w:autoSpaceDE w:val="0"/>
      <w:autoSpaceDN w:val="0"/>
      <w:adjustRightInd w:val="0"/>
    </w:pPr>
    <w:rPr>
      <w:rFonts w:ascii="仿宋_GB2312" w:eastAsia="仿宋_GB2312" w:cs="仿宋_GB2312"/>
      <w:color w:val="000000"/>
      <w:sz w:val="24"/>
      <w:szCs w:val="24"/>
      <w:lang w:val="en-US" w:eastAsia="zh-CN" w:bidi="ar-SA"/>
    </w:rPr>
  </w:style>
  <w:style w:type="paragraph" w:customStyle="1" w:styleId="36">
    <w:name w:val="p0"/>
    <w:basedOn w:val="1"/>
    <w:qFormat/>
    <w:uiPriority w:val="0"/>
    <w:pPr>
      <w:widowControl/>
    </w:pPr>
    <w:rPr>
      <w:kern w:val="0"/>
      <w:szCs w:val="21"/>
    </w:rPr>
  </w:style>
  <w:style w:type="paragraph" w:customStyle="1" w:styleId="37">
    <w:name w:val="龙洲湾正文"/>
    <w:basedOn w:val="1"/>
    <w:qFormat/>
    <w:uiPriority w:val="0"/>
    <w:pPr>
      <w:adjustRightInd w:val="0"/>
      <w:snapToGrid w:val="0"/>
      <w:spacing w:line="360" w:lineRule="auto"/>
      <w:ind w:firstLine="560" w:firstLineChars="200"/>
    </w:pPr>
    <w:rPr>
      <w:rFonts w:ascii="仿宋" w:hAnsi="仿宋" w:eastAsia="仿宋_GB2312"/>
      <w:sz w:val="28"/>
    </w:rPr>
  </w:style>
  <w:style w:type="paragraph" w:customStyle="1" w:styleId="38">
    <w:name w:val="Char"/>
    <w:basedOn w:val="1"/>
    <w:qFormat/>
    <w:uiPriority w:val="0"/>
    <w:pPr>
      <w:widowControl/>
      <w:spacing w:after="160" w:line="240" w:lineRule="exact"/>
      <w:jc w:val="left"/>
    </w:pPr>
    <w:rPr>
      <w:rFonts w:ascii="Verdana" w:hAnsi="Verdana" w:eastAsia="仿宋_GB2312" w:cs="Verdana"/>
      <w:kern w:val="0"/>
      <w:sz w:val="24"/>
      <w:szCs w:val="32"/>
      <w:lang w:eastAsia="en-US"/>
    </w:rPr>
  </w:style>
  <w:style w:type="character" w:customStyle="1" w:styleId="39">
    <w:name w:val="NormalCharacter"/>
    <w:qFormat/>
    <w:uiPriority w:val="0"/>
    <w:rPr>
      <w:kern w:val="2"/>
      <w:sz w:val="21"/>
      <w:szCs w:val="24"/>
      <w:lang w:val="en-US" w:eastAsia="zh-CN" w:bidi="ar-SA"/>
    </w:rPr>
  </w:style>
  <w:style w:type="paragraph" w:customStyle="1" w:styleId="40">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14</Pages>
  <Words>5216</Words>
  <Characters>5462</Characters>
  <Lines>35</Lines>
  <Paragraphs>10</Paragraphs>
  <TotalTime>4</TotalTime>
  <ScaleCrop>false</ScaleCrop>
  <LinksUpToDate>false</LinksUpToDate>
  <CharactersWithSpaces>5541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2022-04-14T07:11:00Z</dcterms:created>
  <dc:creator>Lenovo User</dc:creator>
  <cp:lastModifiedBy>!</cp:lastModifiedBy>
  <cp:lastPrinted>2026-07-03T01:40:00Z</cp:lastPrinted>
  <dcterms:modified xsi:type="dcterms:W3CDTF">2026-07-20T03:04:50Z</dcterms:modified>
  <dc:title>重庆市安全生产监督管理局</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673B3F15F04341CC8BE222F8A9D0CDBE_13</vt:lpwstr>
  </property>
  <property fmtid="{D5CDD505-2E9C-101B-9397-08002B2CF9AE}" pid="4" name="KSOTemplateDocerSaveRecord">
    <vt:lpwstr>eyJoZGlkIjoiYjRhMTNkZDNkNjRmYmQ2MzljYzhkODg5YzEzMGU5OTYiLCJ1c2VySWQiOiIxODUwMTE3MzU3In0=</vt:lpwstr>
  </property>
</Properties>
</file>