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73" w:rsidRDefault="006F5D73">
      <w:pPr>
        <w:jc w:val="center"/>
        <w:rPr>
          <w:szCs w:val="32"/>
        </w:rPr>
      </w:pPr>
      <w:bookmarkStart w:id="0" w:name="_GoBack"/>
      <w:bookmarkEnd w:id="0"/>
    </w:p>
    <w:p w:rsidR="000C0A8F" w:rsidRDefault="000C0A8F" w:rsidP="000C0A8F">
      <w:pPr>
        <w:rPr>
          <w:rFonts w:ascii="方正仿宋_GBK" w:eastAsia="方正仿宋_GBK" w:hAnsi="方正仿宋_GBK" w:cs="方正仿宋_GBK"/>
          <w:sz w:val="32"/>
          <w:szCs w:val="32"/>
        </w:rPr>
      </w:pPr>
    </w:p>
    <w:p w:rsidR="000C0A8F" w:rsidRDefault="000C0A8F" w:rsidP="000C0A8F">
      <w:pPr>
        <w:jc w:val="center"/>
        <w:rPr>
          <w:rFonts w:ascii="方正仿宋_GBK" w:eastAsia="方正仿宋_GBK" w:hAnsi="方正仿宋_GBK" w:cs="方正仿宋_GBK"/>
          <w:sz w:val="32"/>
          <w:szCs w:val="32"/>
        </w:rPr>
      </w:pPr>
    </w:p>
    <w:p w:rsidR="000C0A8F" w:rsidRDefault="000C0A8F" w:rsidP="000C0A8F">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重庆市九龙坡区人民政府办公室</w:t>
      </w:r>
    </w:p>
    <w:p w:rsidR="00E27B1D" w:rsidRDefault="000C0A8F" w:rsidP="00E27B1D">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关于</w:t>
      </w:r>
      <w:r w:rsidR="00E27B1D" w:rsidRPr="00E27B1D">
        <w:rPr>
          <w:rStyle w:val="a7"/>
          <w:rFonts w:ascii="方正小标宋_GBK" w:eastAsia="方正小标宋_GBK" w:hAnsi="方正小标宋_GBK" w:cs="方正小标宋_GBK" w:hint="eastAsia"/>
          <w:b w:val="0"/>
          <w:kern w:val="2"/>
          <w:sz w:val="44"/>
          <w:szCs w:val="44"/>
          <w:shd w:val="clear" w:color="auto" w:fill="FFFFFF"/>
        </w:rPr>
        <w:t>印发重庆市九龙坡区罚没物资管理</w:t>
      </w:r>
      <w:proofErr w:type="gramStart"/>
      <w:r w:rsidR="00E27B1D" w:rsidRPr="00E27B1D">
        <w:rPr>
          <w:rStyle w:val="a7"/>
          <w:rFonts w:ascii="方正小标宋_GBK" w:eastAsia="方正小标宋_GBK" w:hAnsi="方正小标宋_GBK" w:cs="方正小标宋_GBK" w:hint="eastAsia"/>
          <w:b w:val="0"/>
          <w:kern w:val="2"/>
          <w:sz w:val="44"/>
          <w:szCs w:val="44"/>
          <w:shd w:val="clear" w:color="auto" w:fill="FFFFFF"/>
        </w:rPr>
        <w:t>和</w:t>
      </w:r>
      <w:proofErr w:type="gramEnd"/>
    </w:p>
    <w:p w:rsidR="000C0A8F" w:rsidRDefault="00E27B1D" w:rsidP="00E27B1D">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E27B1D">
        <w:rPr>
          <w:rStyle w:val="a7"/>
          <w:rFonts w:ascii="方正小标宋_GBK" w:eastAsia="方正小标宋_GBK" w:hAnsi="方正小标宋_GBK" w:cs="方正小标宋_GBK" w:hint="eastAsia"/>
          <w:b w:val="0"/>
          <w:kern w:val="2"/>
          <w:sz w:val="44"/>
          <w:szCs w:val="44"/>
          <w:shd w:val="clear" w:color="auto" w:fill="FFFFFF"/>
        </w:rPr>
        <w:t>处置暂行办法</w:t>
      </w:r>
      <w:r w:rsidR="000C0A8F" w:rsidRPr="00384BBB">
        <w:rPr>
          <w:rStyle w:val="a7"/>
          <w:rFonts w:ascii="方正小标宋_GBK" w:eastAsia="方正小标宋_GBK" w:hAnsi="方正小标宋_GBK" w:cs="方正小标宋_GBK" w:hint="eastAsia"/>
          <w:b w:val="0"/>
          <w:kern w:val="2"/>
          <w:sz w:val="44"/>
          <w:szCs w:val="44"/>
          <w:shd w:val="clear" w:color="auto" w:fill="FFFFFF"/>
        </w:rPr>
        <w:t>的通知</w:t>
      </w:r>
    </w:p>
    <w:p w:rsidR="000C0A8F" w:rsidRDefault="000C0A8F" w:rsidP="000C0A8F">
      <w:pPr>
        <w:pStyle w:val="aa"/>
      </w:pPr>
      <w:r>
        <w:rPr>
          <w:rFonts w:ascii="方正仿宋_GBK" w:hint="eastAsia"/>
        </w:rPr>
        <w:t>九龙坡府</w:t>
      </w:r>
      <w:r w:rsidR="00E27B1D">
        <w:rPr>
          <w:rFonts w:ascii="方正仿宋_GBK" w:hint="eastAsia"/>
        </w:rPr>
        <w:t>办</w:t>
      </w:r>
      <w:r>
        <w:rPr>
          <w:rFonts w:ascii="方正仿宋_GBK" w:hint="eastAsia"/>
        </w:rPr>
        <w:t>发〔</w:t>
      </w:r>
      <w:r>
        <w:rPr>
          <w:rFonts w:hint="eastAsia"/>
        </w:rPr>
        <w:t>201</w:t>
      </w:r>
      <w:r w:rsidR="00777A40">
        <w:rPr>
          <w:rFonts w:hint="eastAsia"/>
        </w:rPr>
        <w:t>1</w:t>
      </w:r>
      <w:r>
        <w:rPr>
          <w:rFonts w:hint="eastAsia"/>
        </w:rPr>
        <w:t>〕</w:t>
      </w:r>
      <w:r w:rsidR="00777A40">
        <w:rPr>
          <w:rFonts w:hint="eastAsia"/>
        </w:rPr>
        <w:t>154</w:t>
      </w:r>
      <w:r>
        <w:rPr>
          <w:rFonts w:ascii="方正仿宋_GBK" w:hint="eastAsia"/>
        </w:rPr>
        <w:t>号</w:t>
      </w:r>
    </w:p>
    <w:p w:rsidR="000C0A8F" w:rsidRPr="00244344" w:rsidRDefault="000C0A8F" w:rsidP="000C0A8F">
      <w:pPr>
        <w:spacing w:line="600" w:lineRule="atLeast"/>
        <w:rPr>
          <w:rFonts w:ascii="Times New Roman" w:eastAsia="宋体" w:hAnsi="Times New Roman" w:cs="宋体"/>
          <w:sz w:val="44"/>
          <w:szCs w:val="44"/>
          <w:shd w:val="clear" w:color="auto" w:fill="FFFFFF"/>
        </w:rPr>
      </w:pPr>
    </w:p>
    <w:p w:rsidR="000C0A8F" w:rsidRPr="00244344" w:rsidRDefault="000C0A8F" w:rsidP="000C0A8F">
      <w:pPr>
        <w:spacing w:line="600" w:lineRule="exact"/>
        <w:rPr>
          <w:rFonts w:ascii="Times New Roman" w:eastAsia="方正仿宋_GBK" w:hAnsi="Times New Roman" w:cs="方正仿宋_GBK"/>
          <w:kern w:val="0"/>
          <w:sz w:val="32"/>
          <w:szCs w:val="32"/>
          <w:shd w:val="clear" w:color="auto" w:fill="FFFFFF"/>
        </w:rPr>
      </w:pPr>
      <w:r w:rsidRPr="00244344">
        <w:rPr>
          <w:rFonts w:ascii="Times New Roman" w:eastAsia="方正仿宋_GBK" w:hAnsi="Times New Roman" w:cs="方正仿宋_GBK" w:hint="eastAsia"/>
          <w:kern w:val="0"/>
          <w:sz w:val="32"/>
          <w:szCs w:val="32"/>
          <w:shd w:val="clear" w:color="auto" w:fill="FFFFFF"/>
        </w:rPr>
        <w:t>各镇人民政府、街道办事处，</w:t>
      </w:r>
      <w:r w:rsidR="00E27B1D">
        <w:rPr>
          <w:rFonts w:ascii="仿宋_GB2312" w:eastAsia="仿宋_GB2312" w:hAnsi="宋体" w:hint="eastAsia"/>
          <w:sz w:val="32"/>
          <w:szCs w:val="32"/>
        </w:rPr>
        <w:t>区政府各部门，高新区各部门</w:t>
      </w:r>
      <w:r w:rsidRPr="00244344">
        <w:rPr>
          <w:rFonts w:ascii="Times New Roman" w:eastAsia="方正仿宋_GBK" w:hAnsi="Times New Roman" w:cs="方正仿宋_GBK" w:hint="eastAsia"/>
          <w:kern w:val="0"/>
          <w:sz w:val="32"/>
          <w:szCs w:val="32"/>
          <w:shd w:val="clear" w:color="auto" w:fill="FFFFFF"/>
        </w:rPr>
        <w:t>：</w:t>
      </w:r>
    </w:p>
    <w:p w:rsidR="000C0A8F" w:rsidRDefault="00E27B1D" w:rsidP="00E27B1D">
      <w:pPr>
        <w:spacing w:line="600" w:lineRule="exact"/>
        <w:ind w:firstLineChars="200" w:firstLine="640"/>
      </w:pPr>
      <w:r w:rsidRPr="00E27B1D">
        <w:rPr>
          <w:rFonts w:ascii="Times New Roman" w:eastAsia="方正仿宋_GBK" w:hAnsi="Times New Roman" w:cs="Times New Roman" w:hint="eastAsia"/>
          <w:sz w:val="32"/>
          <w:szCs w:val="32"/>
        </w:rPr>
        <w:t>《重庆市九龙坡区罚没物资管理和处置暂行办法》已经区政府同意，现印发给你们，请遵照执行</w:t>
      </w:r>
      <w:r w:rsidR="000C0A8F">
        <w:rPr>
          <w:rFonts w:ascii="Times New Roman" w:eastAsia="方正仿宋_GBK" w:hAnsi="Times New Roman" w:cs="Times New Roman"/>
          <w:sz w:val="32"/>
          <w:szCs w:val="32"/>
        </w:rPr>
        <w:t>。</w:t>
      </w:r>
    </w:p>
    <w:p w:rsidR="000C0A8F" w:rsidRPr="00DA1BDA" w:rsidRDefault="000C0A8F" w:rsidP="000C0A8F">
      <w:pPr>
        <w:snapToGrid w:val="0"/>
        <w:spacing w:line="600" w:lineRule="exact"/>
        <w:ind w:firstLineChars="200" w:firstLine="640"/>
        <w:rPr>
          <w:rFonts w:ascii="Times New Roman" w:eastAsia="方正仿宋_GBK" w:hAnsi="Times New Roman"/>
          <w:sz w:val="32"/>
        </w:rPr>
      </w:pPr>
    </w:p>
    <w:p w:rsidR="000C0A8F" w:rsidRDefault="000C0A8F" w:rsidP="000C0A8F">
      <w:pPr>
        <w:spacing w:line="600" w:lineRule="exact"/>
        <w:ind w:firstLineChars="200" w:firstLine="420"/>
        <w:rPr>
          <w:rFonts w:ascii="Times New Roman" w:hAnsi="Times New Roman"/>
        </w:rPr>
      </w:pPr>
    </w:p>
    <w:p w:rsidR="000C0A8F" w:rsidRPr="00244344" w:rsidRDefault="000C0A8F" w:rsidP="000C0A8F">
      <w:pPr>
        <w:spacing w:line="600" w:lineRule="exact"/>
        <w:ind w:firstLineChars="200" w:firstLine="420"/>
        <w:rPr>
          <w:rFonts w:ascii="Times New Roman" w:hAnsi="Times New Roman"/>
        </w:rPr>
      </w:pPr>
    </w:p>
    <w:p w:rsidR="00E27B1D" w:rsidRDefault="00E27B1D" w:rsidP="00E27B1D">
      <w:pPr>
        <w:spacing w:line="600" w:lineRule="exact"/>
        <w:ind w:firstLineChars="1500" w:firstLine="4800"/>
        <w:rPr>
          <w:rFonts w:ascii="仿宋_GB2312" w:eastAsia="仿宋_GB2312"/>
          <w:sz w:val="32"/>
          <w:szCs w:val="32"/>
        </w:rPr>
      </w:pPr>
      <w:r>
        <w:rPr>
          <w:rFonts w:ascii="仿宋_GB2312" w:eastAsia="仿宋_GB2312" w:hint="eastAsia"/>
          <w:sz w:val="32"/>
          <w:szCs w:val="32"/>
        </w:rPr>
        <w:t>二〇一一年六月十六日</w:t>
      </w:r>
    </w:p>
    <w:p w:rsidR="000C0A8F" w:rsidRPr="00466F55" w:rsidRDefault="000C0A8F" w:rsidP="000C0A8F">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0C0A8F" w:rsidRDefault="000C0A8F" w:rsidP="000C0A8F">
      <w:pPr>
        <w:pStyle w:val="ab"/>
        <w:ind w:right="480"/>
      </w:pPr>
    </w:p>
    <w:p w:rsidR="000C0A8F" w:rsidRDefault="00E27B1D" w:rsidP="000C0A8F">
      <w:pPr>
        <w:spacing w:line="600" w:lineRule="exact"/>
        <w:jc w:val="center"/>
        <w:rPr>
          <w:rFonts w:ascii="Times New Roman" w:eastAsia="方正小标宋_GBK" w:hAnsi="Times New Roman" w:cs="方正小标宋_GBK"/>
          <w:kern w:val="0"/>
          <w:sz w:val="44"/>
          <w:szCs w:val="44"/>
          <w:shd w:val="clear" w:color="auto" w:fill="FFFFFF"/>
        </w:rPr>
      </w:pPr>
      <w:r w:rsidRPr="00E27B1D">
        <w:rPr>
          <w:rFonts w:ascii="Times New Roman" w:eastAsia="方正小标宋_GBK" w:hAnsi="Times New Roman" w:cs="方正小标宋_GBK" w:hint="eastAsia"/>
          <w:kern w:val="0"/>
          <w:sz w:val="44"/>
          <w:szCs w:val="44"/>
          <w:shd w:val="clear" w:color="auto" w:fill="FFFFFF"/>
        </w:rPr>
        <w:t>重庆市九龙坡区罚没物资管理和处置暂行办法</w:t>
      </w:r>
    </w:p>
    <w:p w:rsidR="000C0A8F" w:rsidRPr="00E27B1D" w:rsidRDefault="000C0A8F" w:rsidP="00E27B1D">
      <w:pPr>
        <w:spacing w:line="600" w:lineRule="exact"/>
        <w:jc w:val="center"/>
        <w:rPr>
          <w:rFonts w:ascii="Times New Roman" w:eastAsia="方正仿宋_GBK" w:hAnsi="Times New Roman" w:cs="方正仿宋_GBK"/>
          <w:kern w:val="0"/>
          <w:sz w:val="32"/>
          <w:szCs w:val="32"/>
          <w:shd w:val="clear" w:color="auto" w:fill="FFFFFF"/>
        </w:rPr>
      </w:pPr>
    </w:p>
    <w:p w:rsidR="00E27B1D" w:rsidRPr="00E27B1D" w:rsidRDefault="00E27B1D" w:rsidP="00E27B1D">
      <w:pPr>
        <w:spacing w:line="600" w:lineRule="exact"/>
        <w:ind w:firstLineChars="196" w:firstLine="627"/>
        <w:rPr>
          <w:rFonts w:ascii="Times New Roman" w:eastAsia="仿宋_GB2312" w:hAnsi="Times New Roman" w:cs="宋体"/>
          <w:b/>
          <w:bCs/>
          <w:color w:val="006599"/>
          <w:kern w:val="0"/>
          <w:sz w:val="32"/>
          <w:szCs w:val="32"/>
        </w:rPr>
      </w:pPr>
      <w:r w:rsidRPr="00E27B1D">
        <w:rPr>
          <w:rFonts w:ascii="Times New Roman" w:eastAsia="方正黑体_GBK" w:hAnsi="Times New Roman" w:cs="宋体" w:hint="eastAsia"/>
          <w:color w:val="000000"/>
          <w:kern w:val="0"/>
          <w:sz w:val="32"/>
          <w:szCs w:val="32"/>
        </w:rPr>
        <w:t>第一条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为加强和规范罚没物资管理和监督，防止国有资产流失，根据国家有关法律、法规和规定，结合我区实际制定本办法。</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第二条</w:t>
      </w:r>
      <w:r w:rsidRPr="00E27B1D">
        <w:rPr>
          <w:rFonts w:ascii="Times New Roman" w:eastAsia="黑体"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本办法适用于全区行政执法机关、司法机关以及法律、法规授权的其他组织（以下统称“执法机关”）罚没物资的管理和处置。</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第三条</w:t>
      </w:r>
      <w:r w:rsidRPr="00E27B1D">
        <w:rPr>
          <w:rFonts w:ascii="Times New Roman" w:eastAsia="黑体"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本办法所称罚没物资，是指执法机关依据法律、法规的规定查处没收的各种物资、不予返还的赃物。依法应当上缴国库的无主物资，依照罚没物资进行管理。</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第四条</w:t>
      </w:r>
      <w:r w:rsidRPr="00E27B1D">
        <w:rPr>
          <w:rFonts w:ascii="Times New Roman" w:eastAsia="黑体"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罚没物资属于国家所有，任何单位和个人不得以任何名义隐瞒、截留、挪用、调换、私分或擅自处理。</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第五条</w:t>
      </w:r>
      <w:r w:rsidRPr="00E27B1D">
        <w:rPr>
          <w:rFonts w:ascii="Times New Roman" w:eastAsia="黑体" w:hAnsi="Times New Roman" w:cs="宋体" w:hint="eastAsia"/>
          <w:color w:val="000000"/>
          <w:kern w:val="0"/>
          <w:sz w:val="32"/>
          <w:szCs w:val="32"/>
        </w:rPr>
        <w:t xml:space="preserve">  </w:t>
      </w:r>
      <w:r w:rsidRPr="00E27B1D">
        <w:rPr>
          <w:rFonts w:ascii="Times New Roman" w:eastAsia="仿宋_GB2312" w:hAnsi="Times New Roman" w:hint="eastAsia"/>
          <w:kern w:val="0"/>
          <w:sz w:val="32"/>
          <w:szCs w:val="32"/>
        </w:rPr>
        <w:t>区财政局是罚没物资管理和处置的主管机关，负责罚没物资的管理和接收，并委托拍卖行进行处置，各执法机关应根据本办法配合财政局做好罚没物资的管理和处置工作。</w:t>
      </w:r>
    </w:p>
    <w:p w:rsidR="00E27B1D" w:rsidRPr="00E27B1D" w:rsidRDefault="00E27B1D" w:rsidP="00E27B1D">
      <w:pPr>
        <w:spacing w:line="600" w:lineRule="exact"/>
        <w:ind w:firstLineChars="200" w:firstLine="640"/>
        <w:rPr>
          <w:rFonts w:ascii="Times New Roman" w:eastAsia="仿宋_GB2312" w:hAnsi="Times New Roman" w:cs="宋体"/>
          <w:color w:val="FF0000"/>
          <w:kern w:val="0"/>
          <w:sz w:val="32"/>
          <w:szCs w:val="32"/>
        </w:rPr>
      </w:pPr>
      <w:r w:rsidRPr="00E27B1D">
        <w:rPr>
          <w:rFonts w:ascii="Times New Roman" w:eastAsia="方正黑体_GBK" w:hAnsi="Times New Roman" w:cs="宋体" w:hint="eastAsia"/>
          <w:color w:val="000000"/>
          <w:kern w:val="0"/>
          <w:sz w:val="32"/>
          <w:szCs w:val="32"/>
        </w:rPr>
        <w:t>第六条</w:t>
      </w:r>
      <w:r w:rsidRPr="00E27B1D">
        <w:rPr>
          <w:rFonts w:ascii="Times New Roman" w:eastAsia="黑体"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执法机关在依法执行罚没物资处罚时，必须向执法对象开具由重庆市财政局印制的</w:t>
      </w:r>
      <w:r w:rsidRPr="00E27B1D">
        <w:rPr>
          <w:rFonts w:ascii="Times New Roman" w:eastAsia="仿宋_GB2312" w:hAnsi="Times New Roman" w:cs="宋体" w:hint="eastAsia"/>
          <w:kern w:val="0"/>
          <w:sz w:val="32"/>
          <w:szCs w:val="32"/>
        </w:rPr>
        <w:t>“重庆市收缴物品清单”专用票据。</w:t>
      </w:r>
      <w:r w:rsidRPr="00E27B1D">
        <w:rPr>
          <w:rFonts w:ascii="Times New Roman" w:eastAsia="仿宋_GB2312" w:hAnsi="Times New Roman" w:cs="宋体" w:hint="eastAsia"/>
          <w:color w:val="000000"/>
          <w:kern w:val="0"/>
          <w:sz w:val="32"/>
          <w:szCs w:val="32"/>
        </w:rPr>
        <w:t>使用上述票据必须注明罚没物资的名称、规格、数量、特征，</w:t>
      </w:r>
      <w:r w:rsidRPr="00E27B1D">
        <w:rPr>
          <w:rFonts w:ascii="Times New Roman" w:eastAsia="仿宋_GB2312" w:hAnsi="Times New Roman" w:cs="宋体" w:hint="eastAsia"/>
          <w:color w:val="000000"/>
          <w:kern w:val="0"/>
          <w:sz w:val="32"/>
          <w:szCs w:val="32"/>
        </w:rPr>
        <w:lastRenderedPageBreak/>
        <w:t>对未按规定使用罚没财物专用票据的，当事人有权拒绝，并向财政、审计、监察等部门举报。</w:t>
      </w:r>
    </w:p>
    <w:p w:rsidR="00E27B1D" w:rsidRPr="00E27B1D" w:rsidRDefault="00E27B1D" w:rsidP="00E27B1D">
      <w:pPr>
        <w:tabs>
          <w:tab w:val="left" w:pos="2082"/>
        </w:tabs>
        <w:spacing w:line="600" w:lineRule="exact"/>
        <w:ind w:firstLineChars="196" w:firstLine="627"/>
        <w:rPr>
          <w:rFonts w:ascii="Times New Roman" w:eastAsia="仿宋_GB2312" w:hAnsi="Times New Roman" w:cs="宋体"/>
          <w:kern w:val="0"/>
          <w:sz w:val="32"/>
          <w:szCs w:val="32"/>
        </w:rPr>
      </w:pPr>
      <w:r w:rsidRPr="00E27B1D">
        <w:rPr>
          <w:rFonts w:ascii="Times New Roman" w:eastAsia="方正黑体_GBK" w:hAnsi="Times New Roman" w:cs="宋体" w:hint="eastAsia"/>
          <w:color w:val="000000"/>
          <w:kern w:val="0"/>
          <w:sz w:val="32"/>
          <w:szCs w:val="32"/>
        </w:rPr>
        <w:t>第七条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执法机关应</w:t>
      </w:r>
      <w:r w:rsidRPr="00E27B1D">
        <w:rPr>
          <w:rFonts w:ascii="Times New Roman" w:eastAsia="仿宋_GB2312" w:hAnsi="Times New Roman" w:cs="宋体" w:hint="eastAsia"/>
          <w:kern w:val="0"/>
          <w:sz w:val="32"/>
          <w:szCs w:val="32"/>
        </w:rPr>
        <w:t>建立健全涉案财物保管制度。各办案单位应建立专门台账，</w:t>
      </w:r>
      <w:r w:rsidRPr="00E27B1D">
        <w:rPr>
          <w:rFonts w:ascii="Times New Roman" w:eastAsia="仿宋_GB2312" w:hAnsi="Times New Roman" w:cs="宋体" w:hint="eastAsia"/>
          <w:color w:val="000000"/>
          <w:kern w:val="0"/>
          <w:sz w:val="32"/>
          <w:szCs w:val="32"/>
        </w:rPr>
        <w:t>指定专人负责，应健全罚没物资</w:t>
      </w:r>
      <w:r w:rsidRPr="00E27B1D">
        <w:rPr>
          <w:rFonts w:ascii="Times New Roman" w:eastAsia="仿宋_GB2312" w:hAnsi="Times New Roman" w:hint="eastAsia"/>
          <w:sz w:val="32"/>
          <w:szCs w:val="32"/>
        </w:rPr>
        <w:t>的交接、</w:t>
      </w:r>
      <w:r w:rsidRPr="00E27B1D">
        <w:rPr>
          <w:rFonts w:ascii="Times New Roman" w:eastAsia="仿宋_GB2312" w:hAnsi="Times New Roman" w:cs="宋体" w:hint="eastAsia"/>
          <w:color w:val="000000"/>
          <w:kern w:val="0"/>
          <w:sz w:val="32"/>
          <w:szCs w:val="32"/>
        </w:rPr>
        <w:t>验收、</w:t>
      </w:r>
      <w:r w:rsidRPr="00E27B1D">
        <w:rPr>
          <w:rFonts w:ascii="Times New Roman" w:eastAsia="仿宋_GB2312" w:hAnsi="Times New Roman" w:hint="eastAsia"/>
          <w:sz w:val="32"/>
          <w:szCs w:val="32"/>
        </w:rPr>
        <w:t>登记、保管、对帐、报表等制度，</w:t>
      </w:r>
      <w:r w:rsidRPr="00E27B1D">
        <w:rPr>
          <w:rFonts w:ascii="Times New Roman" w:eastAsia="仿宋_GB2312" w:hAnsi="Times New Roman" w:cs="宋体" w:hint="eastAsia"/>
          <w:kern w:val="0"/>
          <w:sz w:val="32"/>
          <w:szCs w:val="32"/>
        </w:rPr>
        <w:t>严格管理，应</w:t>
      </w:r>
      <w:r w:rsidRPr="00E27B1D">
        <w:rPr>
          <w:rFonts w:ascii="Times New Roman" w:eastAsia="仿宋_GB2312" w:hAnsi="Times New Roman" w:cs="宋体" w:hint="eastAsia"/>
          <w:color w:val="000000"/>
          <w:kern w:val="0"/>
          <w:sz w:val="32"/>
          <w:szCs w:val="32"/>
        </w:rPr>
        <w:t>定期向区财政局报送罚没物资管理情况及相关报表。</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第八条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执法机关应在结案后</w:t>
      </w:r>
      <w:r w:rsidRPr="00E27B1D">
        <w:rPr>
          <w:rFonts w:ascii="Times New Roman" w:eastAsia="仿宋_GB2312" w:hAnsi="Times New Roman" w:cs="宋体" w:hint="eastAsia"/>
          <w:color w:val="000000"/>
          <w:kern w:val="0"/>
          <w:sz w:val="32"/>
          <w:szCs w:val="32"/>
        </w:rPr>
        <w:t>30</w:t>
      </w:r>
      <w:r w:rsidRPr="00E27B1D">
        <w:rPr>
          <w:rFonts w:ascii="Times New Roman" w:eastAsia="仿宋_GB2312" w:hAnsi="Times New Roman" w:cs="宋体" w:hint="eastAsia"/>
          <w:color w:val="000000"/>
          <w:kern w:val="0"/>
          <w:sz w:val="32"/>
          <w:szCs w:val="32"/>
        </w:rPr>
        <w:t>个工作日内，将《重庆市罚没物资、追回赃物和无证物资移交清单》（附件</w:t>
      </w:r>
      <w:r w:rsidRPr="00E27B1D">
        <w:rPr>
          <w:rFonts w:ascii="Times New Roman" w:eastAsia="仿宋_GB2312" w:hAnsi="Times New Roman" w:cs="宋体" w:hint="eastAsia"/>
          <w:color w:val="000000"/>
          <w:kern w:val="0"/>
          <w:sz w:val="32"/>
          <w:szCs w:val="32"/>
        </w:rPr>
        <w:t>1</w:t>
      </w:r>
      <w:r w:rsidRPr="00E27B1D">
        <w:rPr>
          <w:rFonts w:ascii="Times New Roman" w:eastAsia="仿宋_GB2312" w:hAnsi="Times New Roman" w:cs="宋体" w:hint="eastAsia"/>
          <w:color w:val="000000"/>
          <w:kern w:val="0"/>
          <w:sz w:val="32"/>
          <w:szCs w:val="32"/>
        </w:rPr>
        <w:t>）和收缴的罚没物资移交给区财政局，区财政局开具“重庆市九龙坡区财政局接收赃物收据”给执法机关。执法机关应将移交清册和收据存档，以便备查。</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第九条</w:t>
      </w:r>
      <w:r w:rsidRPr="00E27B1D">
        <w:rPr>
          <w:rFonts w:ascii="Times New Roman" w:eastAsia="黑体"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罚没物资根据其性质和用途，按照以下原则规定进行处置：</w:t>
      </w:r>
    </w:p>
    <w:p w:rsidR="00E27B1D" w:rsidRPr="00E27B1D" w:rsidRDefault="00E27B1D" w:rsidP="00E27B1D">
      <w:pPr>
        <w:spacing w:line="600" w:lineRule="exact"/>
        <w:ind w:firstLineChars="196" w:firstLine="627"/>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（一）属于自由流通的一般性物资，由区财政局按本办法有关规定委托重庆市联合产权交易所或拍卖公司采用公开竞价、变价等方式进行处理。</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（二）依法没收的建筑物等不动产，由区财政局按有关规定进行处理。</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（三）属于专管机关管理或专营机构经营的物资按下列方式处理：</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lastRenderedPageBreak/>
        <w:t>1.</w:t>
      </w:r>
      <w:r w:rsidRPr="00E27B1D">
        <w:rPr>
          <w:rFonts w:ascii="Times New Roman" w:eastAsia="仿宋_GB2312" w:hAnsi="Times New Roman" w:cs="宋体" w:hint="eastAsia"/>
          <w:color w:val="000000"/>
          <w:kern w:val="0"/>
          <w:sz w:val="32"/>
          <w:szCs w:val="32"/>
        </w:rPr>
        <w:t>外币、国库券、债券等有价证券，由执法机关会同区财政局</w:t>
      </w:r>
      <w:proofErr w:type="gramStart"/>
      <w:r w:rsidRPr="00E27B1D">
        <w:rPr>
          <w:rFonts w:ascii="Times New Roman" w:eastAsia="仿宋_GB2312" w:hAnsi="Times New Roman" w:cs="宋体" w:hint="eastAsia"/>
          <w:color w:val="000000"/>
          <w:kern w:val="0"/>
          <w:sz w:val="32"/>
          <w:szCs w:val="32"/>
        </w:rPr>
        <w:t>送金融</w:t>
      </w:r>
      <w:proofErr w:type="gramEnd"/>
      <w:r w:rsidRPr="00E27B1D">
        <w:rPr>
          <w:rFonts w:ascii="Times New Roman" w:eastAsia="仿宋_GB2312" w:hAnsi="Times New Roman" w:cs="宋体" w:hint="eastAsia"/>
          <w:color w:val="000000"/>
          <w:kern w:val="0"/>
          <w:sz w:val="32"/>
          <w:szCs w:val="32"/>
        </w:rPr>
        <w:t>机构或者证券经营机构予以兑现，变价款上缴国库。</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2.</w:t>
      </w:r>
      <w:r w:rsidRPr="00E27B1D">
        <w:rPr>
          <w:rFonts w:ascii="Times New Roman" w:eastAsia="仿宋_GB2312" w:hAnsi="Times New Roman" w:cs="宋体" w:hint="eastAsia"/>
          <w:color w:val="000000"/>
          <w:kern w:val="0"/>
          <w:sz w:val="32"/>
          <w:szCs w:val="32"/>
        </w:rPr>
        <w:t>文物一律无偿交由区文物行政管理部门按规定处理。按规定允许流通的，由区文物行政管理部门依法委托具有文物拍卖经营</w:t>
      </w:r>
      <w:proofErr w:type="gramStart"/>
      <w:r w:rsidRPr="00E27B1D">
        <w:rPr>
          <w:rFonts w:ascii="Times New Roman" w:eastAsia="仿宋_GB2312" w:hAnsi="Times New Roman" w:cs="宋体" w:hint="eastAsia"/>
          <w:color w:val="000000"/>
          <w:kern w:val="0"/>
          <w:sz w:val="32"/>
          <w:szCs w:val="32"/>
        </w:rPr>
        <w:t>资格权</w:t>
      </w:r>
      <w:proofErr w:type="gramEnd"/>
      <w:r w:rsidRPr="00E27B1D">
        <w:rPr>
          <w:rFonts w:ascii="Times New Roman" w:eastAsia="仿宋_GB2312" w:hAnsi="Times New Roman" w:cs="宋体" w:hint="eastAsia"/>
          <w:color w:val="000000"/>
          <w:kern w:val="0"/>
          <w:sz w:val="32"/>
          <w:szCs w:val="32"/>
        </w:rPr>
        <w:t>的拍卖行进行拍卖，所得收入全部上缴区国库。</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3.</w:t>
      </w:r>
      <w:r w:rsidRPr="00E27B1D">
        <w:rPr>
          <w:rFonts w:ascii="Times New Roman" w:eastAsia="仿宋_GB2312" w:hAnsi="Times New Roman" w:cs="宋体" w:hint="eastAsia"/>
          <w:color w:val="000000"/>
          <w:kern w:val="0"/>
          <w:sz w:val="32"/>
          <w:szCs w:val="32"/>
        </w:rPr>
        <w:t>危险物资、放射性物质、枪支、弹药或者弩、匕首等国家规定的管制器具、毒品与吸毒用具等，交区公安部门处理或销毁。</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4.</w:t>
      </w:r>
      <w:r w:rsidRPr="00E27B1D">
        <w:rPr>
          <w:rFonts w:ascii="Times New Roman" w:eastAsia="仿宋_GB2312" w:hAnsi="Times New Roman" w:cs="宋体" w:hint="eastAsia"/>
          <w:color w:val="000000"/>
          <w:kern w:val="0"/>
          <w:sz w:val="32"/>
          <w:szCs w:val="32"/>
        </w:rPr>
        <w:t>淫秽物资、盗版光盘、非法出版物等交由区公安、区文化广电新闻出版部门处理。</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5.</w:t>
      </w:r>
      <w:r w:rsidRPr="00E27B1D">
        <w:rPr>
          <w:rFonts w:ascii="Times New Roman" w:eastAsia="仿宋_GB2312" w:hAnsi="Times New Roman" w:cs="宋体" w:hint="eastAsia"/>
          <w:color w:val="000000"/>
          <w:kern w:val="0"/>
          <w:sz w:val="32"/>
          <w:szCs w:val="32"/>
        </w:rPr>
        <w:t>其他属于专管机关管理的物资（包括药品、动植物等），交有关部门按规定处理。</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（四）鲜活商品和其他不易长期保存物资，由执法机关及时处理，变价款上缴区国库。</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（五）对少量不易变现或经技术处理后仍有使用价值的罚没物资，由执法机关报经区财政局同意后，可捐助区社会福利机构处理。</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（六）无使用价值的伪劣商品或按有关规定应销毁的假冒伪劣物品，以及其他无保管价值的物品，由区财政局和主管单位认定后，由执法机关负责销毁，并在销毁后</w:t>
      </w:r>
      <w:r w:rsidRPr="00E27B1D">
        <w:rPr>
          <w:rFonts w:ascii="Times New Roman" w:eastAsia="仿宋_GB2312" w:hAnsi="Times New Roman" w:cs="宋体" w:hint="eastAsia"/>
          <w:color w:val="000000"/>
          <w:kern w:val="0"/>
          <w:sz w:val="32"/>
          <w:szCs w:val="32"/>
        </w:rPr>
        <w:t>15</w:t>
      </w:r>
      <w:r w:rsidRPr="00E27B1D">
        <w:rPr>
          <w:rFonts w:ascii="Times New Roman" w:eastAsia="仿宋_GB2312" w:hAnsi="Times New Roman" w:cs="宋体" w:hint="eastAsia"/>
          <w:color w:val="000000"/>
          <w:kern w:val="0"/>
          <w:sz w:val="32"/>
          <w:szCs w:val="32"/>
        </w:rPr>
        <w:t>个工作日内将销毁记录抄送财政局备案。</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lastRenderedPageBreak/>
        <w:t>（七）法律、法规另有规定的，按其规定处理。</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第十条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执法机关负责销毁罚没物资，应有两名以上行政执法人员参加，并制作销毁笔录，载明销毁的时间、地点、方式，销毁罚没物资的名称、种类、数量以及执行人。需拍照、摄像的，应当拍照、摄像存档。必要时可请公证机关现场公证，并将公证书归档。</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第十一条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需通过竞价方式处置的罚没物资，由区财政局委托重庆市联合产权交易所或拍卖机构统一办理。区财政局、重庆市联合产权交易所或拍卖机构根据相关执法机关报送的《重庆市罚没物资、追回赃物和无证物资移交清单》，在三方核对罚没物资的名称、种类和数量后办理交接手续。</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第十二条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罚没物资公开竞价前，由区财政局委托具有资质的评估机构对其进行价格评估，并编制竞价方案报区财政局核准，由区财政局向重庆市联合产权交易所或拍卖公司出具委托书同意其处置。</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第十三条</w:t>
      </w:r>
      <w:r w:rsidRPr="00E27B1D">
        <w:rPr>
          <w:rFonts w:ascii="Times New Roman" w:eastAsia="黑体"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公开竞价罚没物资的交易流程，按照公开拍卖的有关规定执行。除一般物资外，属于法律、法规规定应当专卖专营的，竞买人必须持有效的专卖、专营许可证明。</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第十四条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罚没物资在公开竞价过程中由于价格原因，未能达成交易需要调整底价的，由拍卖机构报区财政局重新研究确定</w:t>
      </w:r>
      <w:r w:rsidRPr="00E27B1D">
        <w:rPr>
          <w:rFonts w:ascii="Times New Roman" w:eastAsia="仿宋_GB2312" w:hAnsi="Times New Roman" w:cs="宋体" w:hint="eastAsia"/>
          <w:color w:val="000000"/>
          <w:kern w:val="0"/>
          <w:sz w:val="32"/>
          <w:szCs w:val="32"/>
        </w:rPr>
        <w:lastRenderedPageBreak/>
        <w:t>后实施。</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第十五条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罚没物资处置成交后，拍卖机构应当及时将处置结果报区财政局备案</w:t>
      </w:r>
      <w:proofErr w:type="gramStart"/>
      <w:r w:rsidRPr="00E27B1D">
        <w:rPr>
          <w:rFonts w:ascii="Times New Roman" w:eastAsia="仿宋_GB2312" w:hAnsi="Times New Roman" w:cs="宋体" w:hint="eastAsia"/>
          <w:color w:val="000000"/>
          <w:kern w:val="0"/>
          <w:sz w:val="32"/>
          <w:szCs w:val="32"/>
        </w:rPr>
        <w:t>并抄告相关</w:t>
      </w:r>
      <w:proofErr w:type="gramEnd"/>
      <w:r w:rsidRPr="00E27B1D">
        <w:rPr>
          <w:rFonts w:ascii="Times New Roman" w:eastAsia="仿宋_GB2312" w:hAnsi="Times New Roman" w:cs="宋体" w:hint="eastAsia"/>
          <w:color w:val="000000"/>
          <w:kern w:val="0"/>
          <w:sz w:val="32"/>
          <w:szCs w:val="32"/>
        </w:rPr>
        <w:t>执法机关。所得款项自处置之日起</w:t>
      </w:r>
      <w:r w:rsidRPr="00E27B1D">
        <w:rPr>
          <w:rFonts w:ascii="Times New Roman" w:eastAsia="仿宋_GB2312" w:hAnsi="Times New Roman" w:cs="宋体" w:hint="eastAsia"/>
          <w:color w:val="000000"/>
          <w:kern w:val="0"/>
          <w:sz w:val="32"/>
          <w:szCs w:val="32"/>
        </w:rPr>
        <w:t>10</w:t>
      </w:r>
      <w:r w:rsidRPr="00E27B1D">
        <w:rPr>
          <w:rFonts w:ascii="Times New Roman" w:eastAsia="仿宋_GB2312" w:hAnsi="Times New Roman" w:cs="宋体" w:hint="eastAsia"/>
          <w:color w:val="000000"/>
          <w:kern w:val="0"/>
          <w:sz w:val="32"/>
          <w:szCs w:val="32"/>
        </w:rPr>
        <w:t>日内，</w:t>
      </w:r>
      <w:r w:rsidRPr="00E27B1D">
        <w:rPr>
          <w:rFonts w:ascii="Times New Roman" w:eastAsia="仿宋_GB2312" w:hAnsi="Times New Roman" w:cs="宋体" w:hint="eastAsia"/>
          <w:kern w:val="0"/>
          <w:sz w:val="32"/>
          <w:szCs w:val="32"/>
        </w:rPr>
        <w:t>使用一般缴款书将资金全部</w:t>
      </w:r>
      <w:r w:rsidRPr="00E27B1D">
        <w:rPr>
          <w:rFonts w:ascii="Times New Roman" w:eastAsia="仿宋_GB2312" w:hAnsi="Times New Roman" w:cs="宋体" w:hint="eastAsia"/>
          <w:color w:val="000000"/>
          <w:kern w:val="0"/>
          <w:sz w:val="32"/>
          <w:szCs w:val="32"/>
        </w:rPr>
        <w:t>缴入区级国库。</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第十六条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依法处理的罚没物资，需要办理入户、过户、登记手续的，由拍卖机构协助有关部门按规定办理。</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第十七条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经行政复议、行政诉讼后改变或撤销行政处罚，按规定应将罚没物资返还当事人的，依照以下规定处理：</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（一）尚未上报区财政局的，由执法机关按有关规定直接予以退还；</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（二）已经上报区财政局，但尚未对罚没物资进行处置的，由</w:t>
      </w:r>
      <w:proofErr w:type="gramStart"/>
      <w:r w:rsidRPr="00E27B1D">
        <w:rPr>
          <w:rFonts w:ascii="Times New Roman" w:eastAsia="仿宋_GB2312" w:hAnsi="Times New Roman" w:cs="宋体" w:hint="eastAsia"/>
          <w:color w:val="000000"/>
          <w:kern w:val="0"/>
          <w:sz w:val="32"/>
          <w:szCs w:val="32"/>
        </w:rPr>
        <w:t>作出</w:t>
      </w:r>
      <w:proofErr w:type="gramEnd"/>
      <w:r w:rsidRPr="00E27B1D">
        <w:rPr>
          <w:rFonts w:ascii="Times New Roman" w:eastAsia="仿宋_GB2312" w:hAnsi="Times New Roman" w:cs="宋体" w:hint="eastAsia"/>
          <w:color w:val="000000"/>
          <w:kern w:val="0"/>
          <w:sz w:val="32"/>
          <w:szCs w:val="32"/>
        </w:rPr>
        <w:t>处罚决定的执法机关填写《重庆市九龙坡区罚没物资退还申请表》（附件</w:t>
      </w:r>
      <w:r w:rsidRPr="00E27B1D">
        <w:rPr>
          <w:rFonts w:ascii="Times New Roman" w:eastAsia="仿宋_GB2312" w:hAnsi="Times New Roman" w:cs="宋体" w:hint="eastAsia"/>
          <w:color w:val="000000"/>
          <w:kern w:val="0"/>
          <w:sz w:val="32"/>
          <w:szCs w:val="32"/>
        </w:rPr>
        <w:t>3</w:t>
      </w:r>
      <w:r w:rsidRPr="00E27B1D">
        <w:rPr>
          <w:rFonts w:ascii="Times New Roman" w:eastAsia="仿宋_GB2312" w:hAnsi="Times New Roman" w:cs="宋体" w:hint="eastAsia"/>
          <w:color w:val="000000"/>
          <w:kern w:val="0"/>
          <w:sz w:val="32"/>
          <w:szCs w:val="32"/>
        </w:rPr>
        <w:t>），经区财政局审核同意后予以退还；</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仿宋_GB2312" w:hAnsi="Times New Roman" w:cs="宋体" w:hint="eastAsia"/>
          <w:color w:val="000000"/>
          <w:kern w:val="0"/>
          <w:sz w:val="32"/>
          <w:szCs w:val="32"/>
        </w:rPr>
        <w:t>（三）罚没物资已作处置的，由</w:t>
      </w:r>
      <w:proofErr w:type="gramStart"/>
      <w:r w:rsidRPr="00E27B1D">
        <w:rPr>
          <w:rFonts w:ascii="Times New Roman" w:eastAsia="仿宋_GB2312" w:hAnsi="Times New Roman" w:cs="宋体" w:hint="eastAsia"/>
          <w:color w:val="000000"/>
          <w:kern w:val="0"/>
          <w:sz w:val="32"/>
          <w:szCs w:val="32"/>
        </w:rPr>
        <w:t>作出</w:t>
      </w:r>
      <w:proofErr w:type="gramEnd"/>
      <w:r w:rsidRPr="00E27B1D">
        <w:rPr>
          <w:rFonts w:ascii="Times New Roman" w:eastAsia="仿宋_GB2312" w:hAnsi="Times New Roman" w:cs="宋体" w:hint="eastAsia"/>
          <w:color w:val="000000"/>
          <w:kern w:val="0"/>
          <w:sz w:val="32"/>
          <w:szCs w:val="32"/>
        </w:rPr>
        <w:t>处罚决定的执法机关填写《重庆市九龙坡区罚没物资退还申请表》，经区财政局审核同意后出具收入退还书，按处置金额从国库退还资金。</w:t>
      </w:r>
    </w:p>
    <w:p w:rsidR="00E27B1D" w:rsidRPr="00E27B1D" w:rsidRDefault="00E27B1D" w:rsidP="00E27B1D">
      <w:pPr>
        <w:spacing w:line="600" w:lineRule="exact"/>
        <w:ind w:firstLineChars="200" w:firstLine="640"/>
        <w:rPr>
          <w:rFonts w:ascii="Times New Roman" w:eastAsia="仿宋_GB2312" w:hAnsi="Times New Roman" w:cs="宋体"/>
          <w:color w:val="FF00FF"/>
          <w:kern w:val="0"/>
          <w:sz w:val="32"/>
          <w:szCs w:val="32"/>
        </w:rPr>
      </w:pPr>
      <w:r w:rsidRPr="00E27B1D">
        <w:rPr>
          <w:rFonts w:ascii="Times New Roman" w:eastAsia="方正黑体_GBK" w:hAnsi="Times New Roman" w:cs="宋体" w:hint="eastAsia"/>
          <w:color w:val="000000"/>
          <w:kern w:val="0"/>
          <w:sz w:val="32"/>
          <w:szCs w:val="32"/>
        </w:rPr>
        <w:t>第十八条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执法机关管理与处置罚没物资的情况，由本单位纪检和财务部门进行日常监督。区财政局会同监察、审计等部门进行定期或不定期监督检查。</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第十九条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公民、法人和其他组织有权对执法机关、拍卖机</w:t>
      </w:r>
      <w:r w:rsidRPr="00E27B1D">
        <w:rPr>
          <w:rFonts w:ascii="Times New Roman" w:eastAsia="仿宋_GB2312" w:hAnsi="Times New Roman" w:cs="宋体" w:hint="eastAsia"/>
          <w:color w:val="000000"/>
          <w:kern w:val="0"/>
          <w:sz w:val="32"/>
          <w:szCs w:val="32"/>
        </w:rPr>
        <w:lastRenderedPageBreak/>
        <w:t>构、评估机构违反有关法律、法规的行为进行举报或投诉。区财政、监察、审计等部门应当及时受理、查处举报或投诉事项。</w:t>
      </w:r>
    </w:p>
    <w:p w:rsidR="00E27B1D" w:rsidRPr="00E27B1D" w:rsidRDefault="00E27B1D" w:rsidP="00E27B1D">
      <w:pPr>
        <w:spacing w:line="600" w:lineRule="exact"/>
        <w:ind w:firstLineChars="200" w:firstLine="640"/>
        <w:rPr>
          <w:rFonts w:ascii="Times New Roman" w:eastAsia="仿宋_GB2312" w:hAnsi="Times New Roman" w:cs="宋体"/>
          <w:color w:val="000000"/>
          <w:kern w:val="0"/>
          <w:sz w:val="32"/>
          <w:szCs w:val="32"/>
        </w:rPr>
      </w:pPr>
      <w:r w:rsidRPr="00E27B1D">
        <w:rPr>
          <w:rFonts w:ascii="Times New Roman" w:eastAsia="方正黑体_GBK" w:hAnsi="Times New Roman" w:cs="宋体" w:hint="eastAsia"/>
          <w:color w:val="000000"/>
          <w:kern w:val="0"/>
          <w:sz w:val="32"/>
          <w:szCs w:val="32"/>
        </w:rPr>
        <w:t>第二十条</w:t>
      </w:r>
      <w:r w:rsidRPr="00E27B1D">
        <w:rPr>
          <w:rFonts w:ascii="Times New Roman" w:eastAsia="仿宋_GB2312" w:hAnsi="Times New Roman" w:cs="宋体" w:hint="eastAsia"/>
          <w:color w:val="000000"/>
          <w:kern w:val="0"/>
          <w:sz w:val="32"/>
          <w:szCs w:val="32"/>
        </w:rPr>
        <w:t xml:space="preserve">  </w:t>
      </w:r>
      <w:r w:rsidRPr="00E27B1D">
        <w:rPr>
          <w:rFonts w:ascii="Times New Roman" w:eastAsia="仿宋_GB2312" w:hAnsi="Times New Roman" w:cs="宋体" w:hint="eastAsia"/>
          <w:color w:val="000000"/>
          <w:kern w:val="0"/>
          <w:sz w:val="32"/>
          <w:szCs w:val="32"/>
        </w:rPr>
        <w:t>对违反法律，法规和本办法规定的行为，依照国务院《财政违法行为处罚处分条例》和《违反行政事业性收费和罚没收入收支两条线管理规定行政处分暂行规定》，追究相关单位主管负责人和直接责任人的行政责任；情节严重构成犯罪的，移交司法机关依法处理。</w:t>
      </w:r>
    </w:p>
    <w:p w:rsidR="00E27B1D" w:rsidRPr="00E27B1D" w:rsidRDefault="00E27B1D" w:rsidP="00E27B1D">
      <w:pPr>
        <w:pStyle w:val="HTML"/>
        <w:widowControl w:val="0"/>
        <w:spacing w:line="600" w:lineRule="exact"/>
        <w:ind w:firstLine="630"/>
        <w:jc w:val="both"/>
        <w:rPr>
          <w:rFonts w:ascii="Times New Roman" w:eastAsia="仿宋_GB2312" w:hAnsi="Times New Roman"/>
          <w:sz w:val="32"/>
          <w:szCs w:val="32"/>
        </w:rPr>
      </w:pPr>
      <w:r w:rsidRPr="00E27B1D">
        <w:rPr>
          <w:rFonts w:ascii="Times New Roman" w:eastAsia="方正黑体_GBK" w:hAnsi="Times New Roman" w:hint="eastAsia"/>
          <w:color w:val="000000"/>
          <w:sz w:val="32"/>
          <w:szCs w:val="32"/>
        </w:rPr>
        <w:t>第二十一条</w:t>
      </w:r>
      <w:r w:rsidRPr="00E27B1D">
        <w:rPr>
          <w:rFonts w:ascii="Times New Roman" w:eastAsia="仿宋_GB2312" w:hAnsi="Times New Roman" w:hint="eastAsia"/>
          <w:sz w:val="32"/>
          <w:szCs w:val="32"/>
        </w:rPr>
        <w:t xml:space="preserve">  </w:t>
      </w:r>
      <w:r w:rsidRPr="00E27B1D">
        <w:rPr>
          <w:rFonts w:ascii="Times New Roman" w:eastAsia="仿宋_GB2312" w:hAnsi="Times New Roman" w:hint="eastAsia"/>
          <w:sz w:val="32"/>
          <w:szCs w:val="32"/>
        </w:rPr>
        <w:t>本办法由区财政局负责解释。</w:t>
      </w:r>
    </w:p>
    <w:p w:rsidR="000C0A8F" w:rsidRPr="00E27B1D" w:rsidRDefault="00E27B1D" w:rsidP="00E27B1D">
      <w:pPr>
        <w:spacing w:line="600" w:lineRule="exact"/>
        <w:ind w:firstLineChars="200" w:firstLine="640"/>
        <w:rPr>
          <w:rFonts w:ascii="Times New Roman" w:eastAsia="方正仿宋_GBK" w:hAnsi="Times New Roman" w:cs="Times New Roman"/>
          <w:sz w:val="32"/>
          <w:szCs w:val="32"/>
        </w:rPr>
      </w:pPr>
      <w:r w:rsidRPr="00E27B1D">
        <w:rPr>
          <w:rFonts w:ascii="Times New Roman" w:eastAsia="方正黑体_GBK" w:hAnsi="Times New Roman" w:cs="宋体" w:hint="eastAsia"/>
          <w:color w:val="000000"/>
          <w:kern w:val="0"/>
          <w:sz w:val="32"/>
          <w:szCs w:val="32"/>
        </w:rPr>
        <w:t>第二十二条</w:t>
      </w:r>
      <w:r w:rsidRPr="00E27B1D">
        <w:rPr>
          <w:rFonts w:ascii="Times New Roman" w:eastAsia="仿宋_GB2312" w:hAnsi="Times New Roman" w:hint="eastAsia"/>
          <w:sz w:val="32"/>
          <w:szCs w:val="32"/>
        </w:rPr>
        <w:t xml:space="preserve">  </w:t>
      </w:r>
      <w:r w:rsidRPr="00E27B1D">
        <w:rPr>
          <w:rFonts w:ascii="Times New Roman" w:eastAsia="仿宋_GB2312" w:hAnsi="Times New Roman" w:hint="eastAsia"/>
          <w:sz w:val="32"/>
          <w:szCs w:val="32"/>
        </w:rPr>
        <w:t>本办法自印发之日起执行</w:t>
      </w:r>
      <w:r w:rsidR="000C0A8F" w:rsidRPr="00E27B1D">
        <w:rPr>
          <w:rFonts w:ascii="Times New Roman" w:eastAsia="方正仿宋_GBK" w:hAnsi="Times New Roman" w:cs="Times New Roman"/>
          <w:sz w:val="32"/>
          <w:szCs w:val="32"/>
        </w:rPr>
        <w:t>。</w:t>
      </w:r>
    </w:p>
    <w:p w:rsidR="000C0A8F" w:rsidRPr="00E27B1D" w:rsidRDefault="000C0A8F" w:rsidP="00E27B1D">
      <w:pPr>
        <w:spacing w:line="600" w:lineRule="exact"/>
        <w:ind w:firstLineChars="200" w:firstLine="640"/>
        <w:rPr>
          <w:rFonts w:ascii="Times New Roman" w:eastAsia="方正仿宋_GBK" w:hAnsi="Times New Roman" w:cs="Times New Roman"/>
          <w:sz w:val="32"/>
          <w:szCs w:val="32"/>
        </w:rPr>
      </w:pPr>
    </w:p>
    <w:p w:rsidR="00E27B1D" w:rsidRDefault="000C0A8F" w:rsidP="00E27B1D">
      <w:pPr>
        <w:spacing w:line="560" w:lineRule="exact"/>
        <w:ind w:firstLineChars="200" w:firstLine="640"/>
        <w:rPr>
          <w:rFonts w:ascii="仿宋_GB2312" w:eastAsia="仿宋_GB2312" w:hAnsi="Verdana" w:cs="宋体"/>
          <w:color w:val="000000"/>
          <w:kern w:val="0"/>
          <w:sz w:val="32"/>
          <w:szCs w:val="32"/>
        </w:rPr>
      </w:pPr>
      <w:r w:rsidRPr="00DA1BDA">
        <w:rPr>
          <w:rFonts w:ascii="Times New Roman" w:eastAsia="方正仿宋_GBK" w:hAnsi="Times New Roman" w:cs="Times New Roman"/>
          <w:sz w:val="32"/>
          <w:szCs w:val="32"/>
        </w:rPr>
        <w:t>附</w:t>
      </w:r>
      <w:r w:rsidRPr="00DA1BDA">
        <w:rPr>
          <w:rFonts w:ascii="Times New Roman" w:eastAsia="方正仿宋_GBK" w:hAnsi="Times New Roman" w:cs="Times New Roman" w:hint="eastAsia"/>
          <w:sz w:val="32"/>
          <w:szCs w:val="32"/>
        </w:rPr>
        <w:t>件</w:t>
      </w:r>
      <w:r w:rsidRPr="00DA1BDA">
        <w:rPr>
          <w:rFonts w:ascii="Times New Roman" w:eastAsia="方正仿宋_GBK" w:hAnsi="Times New Roman" w:cs="Times New Roman"/>
          <w:sz w:val="32"/>
          <w:szCs w:val="32"/>
        </w:rPr>
        <w:t>：</w:t>
      </w:r>
      <w:r w:rsidR="00E27B1D">
        <w:rPr>
          <w:rFonts w:ascii="仿宋_GB2312" w:eastAsia="仿宋_GB2312" w:hAnsi="Verdana" w:cs="宋体" w:hint="eastAsia"/>
          <w:color w:val="000000"/>
          <w:kern w:val="0"/>
          <w:sz w:val="32"/>
          <w:szCs w:val="32"/>
        </w:rPr>
        <w:t>1.重庆市收缴物品清单</w:t>
      </w:r>
    </w:p>
    <w:p w:rsidR="00E27B1D" w:rsidRDefault="00E27B1D" w:rsidP="00E27B1D">
      <w:pPr>
        <w:spacing w:line="560" w:lineRule="exact"/>
        <w:ind w:leftChars="798" w:left="1676"/>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2.重庆市九龙坡区</w:t>
      </w:r>
      <w:r>
        <w:rPr>
          <w:rFonts w:ascii="仿宋_GB2312" w:eastAsia="仿宋_GB2312" w:hAnsi="Verdana" w:cs="宋体"/>
          <w:color w:val="000000"/>
          <w:kern w:val="0"/>
          <w:sz w:val="32"/>
          <w:szCs w:val="32"/>
        </w:rPr>
        <w:t>罚没物资</w:t>
      </w:r>
      <w:r>
        <w:rPr>
          <w:rFonts w:ascii="仿宋_GB2312" w:eastAsia="仿宋_GB2312" w:hAnsi="Verdana" w:cs="宋体" w:hint="eastAsia"/>
          <w:color w:val="000000"/>
          <w:kern w:val="0"/>
          <w:sz w:val="32"/>
          <w:szCs w:val="32"/>
        </w:rPr>
        <w:t>、追回赃物和无证物资</w:t>
      </w:r>
      <w:r>
        <w:rPr>
          <w:rFonts w:ascii="仿宋_GB2312" w:eastAsia="仿宋_GB2312" w:hAnsi="Verdana" w:cs="宋体"/>
          <w:color w:val="000000"/>
          <w:kern w:val="0"/>
          <w:sz w:val="32"/>
          <w:szCs w:val="32"/>
        </w:rPr>
        <w:t>移交清单</w:t>
      </w:r>
    </w:p>
    <w:p w:rsidR="00E27B1D" w:rsidRDefault="00E27B1D" w:rsidP="00E27B1D">
      <w:pPr>
        <w:spacing w:line="560" w:lineRule="exact"/>
        <w:ind w:leftChars="25" w:left="53"/>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 xml:space="preserve">          3.重庆市九龙坡区</w:t>
      </w:r>
      <w:r>
        <w:rPr>
          <w:rFonts w:ascii="仿宋_GB2312" w:eastAsia="仿宋_GB2312" w:hAnsi="Verdana" w:cs="宋体"/>
          <w:color w:val="000000"/>
          <w:kern w:val="0"/>
          <w:sz w:val="32"/>
          <w:szCs w:val="32"/>
        </w:rPr>
        <w:t>罚没物品退还申请表</w:t>
      </w:r>
    </w:p>
    <w:p w:rsidR="00E27B1D" w:rsidRDefault="00E27B1D">
      <w:pPr>
        <w:widowControl/>
        <w:jc w:val="left"/>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br w:type="page"/>
      </w:r>
    </w:p>
    <w:p w:rsidR="00E27B1D" w:rsidRPr="00E27B1D" w:rsidRDefault="00E27B1D" w:rsidP="00E27B1D">
      <w:pPr>
        <w:spacing w:line="400" w:lineRule="exact"/>
        <w:rPr>
          <w:rFonts w:ascii="方正黑体_GBK" w:eastAsia="方正黑体_GBK"/>
          <w:color w:val="000000"/>
          <w:szCs w:val="32"/>
        </w:rPr>
      </w:pPr>
      <w:r w:rsidRPr="00E27B1D">
        <w:rPr>
          <w:rFonts w:ascii="方正黑体_GBK" w:eastAsia="方正黑体_GBK" w:hint="eastAsia"/>
          <w:color w:val="000000"/>
          <w:sz w:val="32"/>
          <w:szCs w:val="32"/>
        </w:rPr>
        <w:lastRenderedPageBreak/>
        <w:t>附件1：</w:t>
      </w:r>
    </w:p>
    <w:p w:rsidR="00E27B1D" w:rsidRPr="00B460BA" w:rsidRDefault="00E27B1D" w:rsidP="00E27B1D">
      <w:pPr>
        <w:spacing w:line="600" w:lineRule="exact"/>
        <w:jc w:val="center"/>
        <w:rPr>
          <w:rFonts w:ascii="方正小标宋_GBK" w:eastAsia="方正小标宋_GBK" w:hAnsi="宋体" w:cs="宋体"/>
          <w:color w:val="000000"/>
          <w:kern w:val="0"/>
          <w:sz w:val="44"/>
          <w:szCs w:val="44"/>
        </w:rPr>
      </w:pPr>
      <w:r w:rsidRPr="00B460BA">
        <w:rPr>
          <w:rFonts w:ascii="方正小标宋_GBK" w:eastAsia="方正小标宋_GBK" w:hAnsi="宋体" w:cs="宋体" w:hint="eastAsia"/>
          <w:color w:val="000000"/>
          <w:kern w:val="0"/>
          <w:sz w:val="44"/>
          <w:szCs w:val="44"/>
        </w:rPr>
        <w:t>重庆市收缴物品清单</w:t>
      </w:r>
    </w:p>
    <w:p w:rsidR="00E27B1D" w:rsidRDefault="00E27B1D" w:rsidP="00E27B1D">
      <w:pPr>
        <w:spacing w:line="400" w:lineRule="exact"/>
        <w:jc w:val="center"/>
        <w:rPr>
          <w:rFonts w:ascii="宋体" w:hAnsi="宋体" w:cs="宋体"/>
          <w:b/>
          <w:color w:val="000000"/>
          <w:kern w:val="0"/>
          <w:sz w:val="44"/>
          <w:szCs w:val="44"/>
        </w:rPr>
      </w:pPr>
    </w:p>
    <w:p w:rsidR="00E27B1D" w:rsidRDefault="00E27B1D" w:rsidP="00E27B1D">
      <w:pPr>
        <w:spacing w:line="600" w:lineRule="exact"/>
        <w:jc w:val="left"/>
        <w:rPr>
          <w:rFonts w:ascii="宋体" w:hAnsi="宋体" w:cs="宋体"/>
          <w:b/>
          <w:color w:val="000000"/>
          <w:kern w:val="0"/>
          <w:sz w:val="44"/>
          <w:szCs w:val="44"/>
        </w:rPr>
      </w:pPr>
      <w:r>
        <w:rPr>
          <w:rFonts w:ascii="Verdana" w:hAnsi="Verdana" w:cs="宋体" w:hint="eastAsia"/>
          <w:color w:val="000000"/>
          <w:kern w:val="0"/>
          <w:sz w:val="28"/>
          <w:szCs w:val="28"/>
        </w:rPr>
        <w:t>办案单位：</w:t>
      </w:r>
      <w:r>
        <w:rPr>
          <w:rFonts w:ascii="Verdana" w:hAnsi="Verdana" w:cs="宋体" w:hint="eastAsia"/>
          <w:bCs/>
          <w:color w:val="000000"/>
          <w:kern w:val="0"/>
          <w:sz w:val="28"/>
          <w:szCs w:val="28"/>
        </w:rPr>
        <w:t xml:space="preserve">  </w:t>
      </w:r>
    </w:p>
    <w:tbl>
      <w:tblPr>
        <w:tblW w:w="9776" w:type="dxa"/>
        <w:tblInd w:w="-176" w:type="dxa"/>
        <w:tblLayout w:type="fixed"/>
        <w:tblLook w:val="0000" w:firstRow="0" w:lastRow="0" w:firstColumn="0" w:lastColumn="0" w:noHBand="0" w:noVBand="0"/>
      </w:tblPr>
      <w:tblGrid>
        <w:gridCol w:w="1080"/>
        <w:gridCol w:w="1440"/>
        <w:gridCol w:w="900"/>
        <w:gridCol w:w="1440"/>
        <w:gridCol w:w="1260"/>
        <w:gridCol w:w="900"/>
        <w:gridCol w:w="1440"/>
        <w:gridCol w:w="1080"/>
        <w:gridCol w:w="236"/>
      </w:tblGrid>
      <w:tr w:rsidR="00E27B1D" w:rsidTr="00E27B1D">
        <w:trPr>
          <w:gridAfter w:val="1"/>
          <w:wAfter w:w="236" w:type="dxa"/>
          <w:trHeight w:val="985"/>
        </w:trPr>
        <w:tc>
          <w:tcPr>
            <w:tcW w:w="9540" w:type="dxa"/>
            <w:gridSpan w:val="8"/>
            <w:tcBorders>
              <w:top w:val="single" w:sz="4" w:space="0" w:color="auto"/>
              <w:left w:val="single" w:sz="4" w:space="0" w:color="auto"/>
              <w:bottom w:val="single" w:sz="4" w:space="0" w:color="auto"/>
              <w:right w:val="single" w:sz="4" w:space="0" w:color="auto"/>
            </w:tcBorders>
            <w:vAlign w:val="center"/>
          </w:tcPr>
          <w:p w:rsidR="00E27B1D" w:rsidRDefault="00E27B1D" w:rsidP="005230D1">
            <w:pPr>
              <w:ind w:firstLineChars="200" w:firstLine="480"/>
              <w:jc w:val="left"/>
              <w:rPr>
                <w:rFonts w:ascii="宋体" w:hAnsi="宋体" w:cs="宋体"/>
                <w:kern w:val="0"/>
                <w:sz w:val="24"/>
              </w:rPr>
            </w:pPr>
            <w:r>
              <w:rPr>
                <w:rFonts w:ascii="宋体" w:hAnsi="宋体" w:cs="宋体" w:hint="eastAsia"/>
                <w:kern w:val="0"/>
                <w:sz w:val="24"/>
              </w:rPr>
              <w:t xml:space="preserve">根据                                              （收缴物品决定书文号）                        的决定，对下列物品予以收缴：　</w:t>
            </w:r>
          </w:p>
        </w:tc>
      </w:tr>
      <w:tr w:rsidR="00E27B1D" w:rsidTr="00E27B1D">
        <w:trPr>
          <w:gridAfter w:val="1"/>
          <w:wAfter w:w="236" w:type="dxa"/>
          <w:trHeight w:val="567"/>
        </w:trPr>
        <w:tc>
          <w:tcPr>
            <w:tcW w:w="1080" w:type="dxa"/>
            <w:tcBorders>
              <w:top w:val="single" w:sz="4" w:space="0" w:color="auto"/>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编号</w:t>
            </w:r>
          </w:p>
        </w:tc>
        <w:tc>
          <w:tcPr>
            <w:tcW w:w="2340" w:type="dxa"/>
            <w:gridSpan w:val="2"/>
            <w:tcBorders>
              <w:top w:val="single" w:sz="4" w:space="0" w:color="auto"/>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名称</w:t>
            </w:r>
          </w:p>
        </w:tc>
        <w:tc>
          <w:tcPr>
            <w:tcW w:w="2700" w:type="dxa"/>
            <w:gridSpan w:val="2"/>
            <w:tcBorders>
              <w:top w:val="single" w:sz="4" w:space="0" w:color="auto"/>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规格</w:t>
            </w:r>
          </w:p>
        </w:tc>
        <w:tc>
          <w:tcPr>
            <w:tcW w:w="900" w:type="dxa"/>
            <w:tcBorders>
              <w:top w:val="single" w:sz="4" w:space="0" w:color="auto"/>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数量</w:t>
            </w:r>
          </w:p>
        </w:tc>
        <w:tc>
          <w:tcPr>
            <w:tcW w:w="1440" w:type="dxa"/>
            <w:tcBorders>
              <w:top w:val="single" w:sz="4" w:space="0" w:color="auto"/>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特征</w:t>
            </w:r>
          </w:p>
        </w:tc>
        <w:tc>
          <w:tcPr>
            <w:tcW w:w="1080" w:type="dxa"/>
            <w:tcBorders>
              <w:top w:val="single" w:sz="4" w:space="0" w:color="auto"/>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备注</w:t>
            </w:r>
          </w:p>
        </w:tc>
      </w:tr>
      <w:tr w:rsidR="00E27B1D" w:rsidTr="00E27B1D">
        <w:trPr>
          <w:gridAfter w:val="1"/>
          <w:wAfter w:w="236" w:type="dxa"/>
          <w:trHeight w:val="567"/>
        </w:trPr>
        <w:tc>
          <w:tcPr>
            <w:tcW w:w="108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34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70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gridAfter w:val="1"/>
          <w:wAfter w:w="236" w:type="dxa"/>
          <w:trHeight w:val="567"/>
        </w:trPr>
        <w:tc>
          <w:tcPr>
            <w:tcW w:w="108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34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70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gridAfter w:val="1"/>
          <w:wAfter w:w="236" w:type="dxa"/>
          <w:trHeight w:val="567"/>
        </w:trPr>
        <w:tc>
          <w:tcPr>
            <w:tcW w:w="108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34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70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gridAfter w:val="1"/>
          <w:wAfter w:w="236" w:type="dxa"/>
          <w:trHeight w:val="567"/>
        </w:trPr>
        <w:tc>
          <w:tcPr>
            <w:tcW w:w="108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34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70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gridAfter w:val="1"/>
          <w:wAfter w:w="236" w:type="dxa"/>
          <w:trHeight w:val="567"/>
        </w:trPr>
        <w:tc>
          <w:tcPr>
            <w:tcW w:w="108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34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70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gridAfter w:val="1"/>
          <w:wAfter w:w="236" w:type="dxa"/>
          <w:trHeight w:val="567"/>
        </w:trPr>
        <w:tc>
          <w:tcPr>
            <w:tcW w:w="108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34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70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gridAfter w:val="1"/>
          <w:wAfter w:w="236" w:type="dxa"/>
          <w:trHeight w:val="567"/>
        </w:trPr>
        <w:tc>
          <w:tcPr>
            <w:tcW w:w="108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34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70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gridAfter w:val="1"/>
          <w:wAfter w:w="236" w:type="dxa"/>
          <w:trHeight w:val="567"/>
        </w:trPr>
        <w:tc>
          <w:tcPr>
            <w:tcW w:w="108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34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70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gridAfter w:val="1"/>
          <w:wAfter w:w="236" w:type="dxa"/>
          <w:trHeight w:val="567"/>
        </w:trPr>
        <w:tc>
          <w:tcPr>
            <w:tcW w:w="108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34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700" w:type="dxa"/>
            <w:gridSpan w:val="2"/>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gridAfter w:val="1"/>
          <w:wAfter w:w="236" w:type="dxa"/>
          <w:trHeight w:val="567"/>
        </w:trPr>
        <w:tc>
          <w:tcPr>
            <w:tcW w:w="108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币种</w:t>
            </w:r>
          </w:p>
        </w:tc>
        <w:tc>
          <w:tcPr>
            <w:tcW w:w="1440" w:type="dxa"/>
            <w:tcBorders>
              <w:top w:val="nil"/>
              <w:left w:val="nil"/>
              <w:bottom w:val="single" w:sz="4" w:space="0" w:color="auto"/>
              <w:right w:val="single" w:sz="4" w:space="0" w:color="auto"/>
            </w:tcBorders>
            <w:vAlign w:val="center"/>
          </w:tcPr>
          <w:p w:rsidR="00E27B1D" w:rsidRDefault="00E27B1D" w:rsidP="005230D1">
            <w:pPr>
              <w:jc w:val="left"/>
              <w:rPr>
                <w:rFonts w:ascii="宋体" w:hAnsi="宋体" w:cs="宋体"/>
                <w:kern w:val="0"/>
                <w:sz w:val="24"/>
              </w:rPr>
            </w:pPr>
            <w:r>
              <w:rPr>
                <w:rFonts w:ascii="宋体" w:hAnsi="宋体" w:cs="宋体" w:hint="eastAsia"/>
                <w:kern w:val="0"/>
                <w:sz w:val="24"/>
              </w:rPr>
              <w:t xml:space="preserve">　</w:t>
            </w:r>
          </w:p>
        </w:tc>
        <w:tc>
          <w:tcPr>
            <w:tcW w:w="90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大写</w:t>
            </w:r>
          </w:p>
        </w:tc>
        <w:tc>
          <w:tcPr>
            <w:tcW w:w="6120" w:type="dxa"/>
            <w:gridSpan w:val="5"/>
            <w:tcBorders>
              <w:top w:val="nil"/>
              <w:left w:val="nil"/>
              <w:bottom w:val="single" w:sz="4" w:space="0" w:color="auto"/>
              <w:right w:val="single" w:sz="4" w:space="0" w:color="auto"/>
            </w:tcBorders>
            <w:vAlign w:val="center"/>
          </w:tcPr>
          <w:p w:rsidR="00E27B1D" w:rsidRDefault="00E27B1D" w:rsidP="005230D1">
            <w:pPr>
              <w:jc w:val="left"/>
              <w:rPr>
                <w:rFonts w:ascii="宋体" w:hAnsi="宋体" w:cs="宋体"/>
                <w:kern w:val="0"/>
                <w:sz w:val="24"/>
              </w:rPr>
            </w:pPr>
            <w:r>
              <w:rPr>
                <w:rFonts w:ascii="宋体" w:hAnsi="宋体" w:cs="宋体" w:hint="eastAsia"/>
                <w:kern w:val="0"/>
                <w:sz w:val="24"/>
              </w:rPr>
              <w:t xml:space="preserve">　     </w:t>
            </w:r>
            <w:proofErr w:type="gramStart"/>
            <w:r>
              <w:rPr>
                <w:rFonts w:ascii="宋体" w:hAnsi="宋体" w:cs="宋体" w:hint="eastAsia"/>
                <w:kern w:val="0"/>
                <w:sz w:val="24"/>
              </w:rPr>
              <w:t>佰</w:t>
            </w:r>
            <w:proofErr w:type="gramEnd"/>
            <w:r>
              <w:rPr>
                <w:rFonts w:ascii="宋体" w:hAnsi="宋体" w:cs="宋体" w:hint="eastAsia"/>
                <w:kern w:val="0"/>
                <w:sz w:val="24"/>
              </w:rPr>
              <w:t xml:space="preserve">    拾    万    </w:t>
            </w:r>
            <w:proofErr w:type="gramStart"/>
            <w:r>
              <w:rPr>
                <w:rFonts w:ascii="宋体" w:hAnsi="宋体" w:cs="宋体" w:hint="eastAsia"/>
                <w:kern w:val="0"/>
                <w:sz w:val="24"/>
              </w:rPr>
              <w:t>仟</w:t>
            </w:r>
            <w:proofErr w:type="gramEnd"/>
            <w:r>
              <w:rPr>
                <w:rFonts w:ascii="宋体" w:hAnsi="宋体" w:cs="宋体" w:hint="eastAsia"/>
                <w:kern w:val="0"/>
                <w:sz w:val="24"/>
              </w:rPr>
              <w:t xml:space="preserve">    </w:t>
            </w:r>
            <w:proofErr w:type="gramStart"/>
            <w:r>
              <w:rPr>
                <w:rFonts w:ascii="宋体" w:hAnsi="宋体" w:cs="宋体" w:hint="eastAsia"/>
                <w:kern w:val="0"/>
                <w:sz w:val="24"/>
              </w:rPr>
              <w:t>佰</w:t>
            </w:r>
            <w:proofErr w:type="gramEnd"/>
            <w:r>
              <w:rPr>
                <w:rFonts w:ascii="宋体" w:hAnsi="宋体" w:cs="宋体" w:hint="eastAsia"/>
                <w:kern w:val="0"/>
                <w:sz w:val="24"/>
              </w:rPr>
              <w:t xml:space="preserve">     拾     元</w:t>
            </w:r>
          </w:p>
        </w:tc>
      </w:tr>
      <w:tr w:rsidR="00E27B1D" w:rsidTr="00E27B1D">
        <w:trPr>
          <w:trHeight w:val="285"/>
        </w:trPr>
        <w:tc>
          <w:tcPr>
            <w:tcW w:w="4860" w:type="dxa"/>
            <w:gridSpan w:val="4"/>
            <w:vMerge w:val="restart"/>
            <w:tcBorders>
              <w:top w:val="nil"/>
              <w:left w:val="single" w:sz="4" w:space="0" w:color="auto"/>
              <w:right w:val="single" w:sz="4" w:space="0" w:color="auto"/>
            </w:tcBorders>
            <w:vAlign w:val="center"/>
          </w:tcPr>
          <w:p w:rsidR="00E27B1D" w:rsidRDefault="00E27B1D" w:rsidP="005230D1">
            <w:pPr>
              <w:jc w:val="left"/>
              <w:rPr>
                <w:rFonts w:ascii="宋体" w:hAnsi="宋体" w:cs="宋体"/>
                <w:kern w:val="0"/>
                <w:sz w:val="24"/>
              </w:rPr>
            </w:pPr>
            <w:r>
              <w:rPr>
                <w:rFonts w:ascii="宋体" w:hAnsi="宋体" w:cs="宋体" w:hint="eastAsia"/>
                <w:kern w:val="0"/>
                <w:sz w:val="24"/>
              </w:rPr>
              <w:t>物品持有人（签名）：</w:t>
            </w:r>
          </w:p>
          <w:p w:rsidR="00E27B1D" w:rsidRDefault="00E27B1D" w:rsidP="005230D1">
            <w:pPr>
              <w:jc w:val="left"/>
              <w:rPr>
                <w:rFonts w:ascii="宋体" w:hAnsi="宋体" w:cs="宋体"/>
                <w:kern w:val="0"/>
                <w:sz w:val="24"/>
              </w:rPr>
            </w:pPr>
          </w:p>
          <w:p w:rsidR="00E27B1D" w:rsidRDefault="00E27B1D" w:rsidP="005230D1">
            <w:pPr>
              <w:jc w:val="left"/>
              <w:rPr>
                <w:rFonts w:ascii="宋体" w:hAnsi="宋体" w:cs="宋体"/>
                <w:kern w:val="0"/>
                <w:sz w:val="24"/>
              </w:rPr>
            </w:pPr>
          </w:p>
          <w:p w:rsidR="00E27B1D" w:rsidRDefault="00E27B1D" w:rsidP="005230D1">
            <w:pPr>
              <w:jc w:val="left"/>
              <w:rPr>
                <w:rFonts w:ascii="宋体" w:hAnsi="宋体" w:cs="宋体"/>
                <w:kern w:val="0"/>
                <w:sz w:val="24"/>
              </w:rPr>
            </w:pPr>
          </w:p>
          <w:p w:rsidR="00E27B1D" w:rsidRDefault="00E27B1D" w:rsidP="005230D1">
            <w:pPr>
              <w:jc w:val="left"/>
              <w:rPr>
                <w:rFonts w:ascii="宋体" w:hAnsi="宋体" w:cs="宋体"/>
                <w:kern w:val="0"/>
                <w:sz w:val="24"/>
              </w:rPr>
            </w:pPr>
          </w:p>
          <w:p w:rsidR="00E27B1D" w:rsidRDefault="00E27B1D" w:rsidP="005230D1">
            <w:pPr>
              <w:ind w:firstLineChars="1250" w:firstLine="3000"/>
              <w:jc w:val="left"/>
              <w:rPr>
                <w:rFonts w:ascii="宋体" w:hAnsi="宋体" w:cs="宋体"/>
                <w:kern w:val="0"/>
                <w:sz w:val="24"/>
              </w:rPr>
            </w:pPr>
            <w:r>
              <w:rPr>
                <w:rFonts w:ascii="宋体" w:hAnsi="宋体" w:cs="宋体" w:hint="eastAsia"/>
                <w:kern w:val="0"/>
                <w:sz w:val="24"/>
              </w:rPr>
              <w:t>年   月   日</w:t>
            </w:r>
          </w:p>
        </w:tc>
        <w:tc>
          <w:tcPr>
            <w:tcW w:w="4680" w:type="dxa"/>
            <w:gridSpan w:val="4"/>
            <w:vMerge w:val="restart"/>
            <w:tcBorders>
              <w:top w:val="nil"/>
              <w:left w:val="single" w:sz="4" w:space="0" w:color="auto"/>
              <w:right w:val="single" w:sz="4" w:space="0" w:color="auto"/>
            </w:tcBorders>
            <w:vAlign w:val="center"/>
          </w:tcPr>
          <w:p w:rsidR="00E27B1D" w:rsidRDefault="00E27B1D" w:rsidP="005230D1">
            <w:pPr>
              <w:jc w:val="left"/>
              <w:rPr>
                <w:rFonts w:ascii="宋体" w:hAnsi="宋体" w:cs="宋体"/>
                <w:kern w:val="0"/>
                <w:sz w:val="24"/>
              </w:rPr>
            </w:pPr>
            <w:r>
              <w:rPr>
                <w:rFonts w:ascii="宋体" w:hAnsi="宋体" w:cs="宋体" w:hint="eastAsia"/>
                <w:kern w:val="0"/>
                <w:sz w:val="24"/>
              </w:rPr>
              <w:t>承办人（签名）：</w:t>
            </w:r>
          </w:p>
          <w:p w:rsidR="00E27B1D" w:rsidRDefault="00E27B1D" w:rsidP="005230D1">
            <w:pPr>
              <w:jc w:val="left"/>
              <w:rPr>
                <w:rFonts w:ascii="宋体" w:hAnsi="宋体" w:cs="宋体"/>
                <w:kern w:val="0"/>
                <w:sz w:val="24"/>
              </w:rPr>
            </w:pPr>
          </w:p>
          <w:p w:rsidR="00E27B1D" w:rsidRDefault="00E27B1D" w:rsidP="005230D1">
            <w:pPr>
              <w:jc w:val="left"/>
              <w:rPr>
                <w:rFonts w:ascii="宋体" w:hAnsi="宋体" w:cs="宋体"/>
                <w:kern w:val="0"/>
                <w:sz w:val="24"/>
              </w:rPr>
            </w:pPr>
          </w:p>
          <w:p w:rsidR="00E27B1D" w:rsidRDefault="00E27B1D" w:rsidP="005230D1">
            <w:pPr>
              <w:jc w:val="left"/>
              <w:rPr>
                <w:rFonts w:ascii="宋体" w:hAnsi="宋体" w:cs="宋体"/>
                <w:kern w:val="0"/>
                <w:sz w:val="24"/>
              </w:rPr>
            </w:pPr>
          </w:p>
          <w:p w:rsidR="00E27B1D" w:rsidRDefault="00E27B1D" w:rsidP="005230D1">
            <w:pPr>
              <w:jc w:val="left"/>
              <w:rPr>
                <w:rFonts w:ascii="宋体" w:hAnsi="宋体" w:cs="宋体"/>
                <w:kern w:val="0"/>
                <w:sz w:val="24"/>
              </w:rPr>
            </w:pPr>
            <w:r>
              <w:rPr>
                <w:rFonts w:ascii="宋体" w:hAnsi="宋体" w:cs="宋体" w:hint="eastAsia"/>
                <w:kern w:val="0"/>
                <w:sz w:val="24"/>
              </w:rPr>
              <w:t xml:space="preserve">                    （执法机关印章）</w:t>
            </w:r>
          </w:p>
          <w:p w:rsidR="00E27B1D" w:rsidRDefault="00E27B1D" w:rsidP="005230D1">
            <w:pPr>
              <w:jc w:val="left"/>
              <w:rPr>
                <w:rFonts w:ascii="宋体" w:hAnsi="宋体" w:cs="宋体"/>
                <w:kern w:val="0"/>
                <w:sz w:val="24"/>
              </w:rPr>
            </w:pPr>
            <w:r>
              <w:rPr>
                <w:rFonts w:ascii="宋体" w:hAnsi="宋体" w:cs="宋体" w:hint="eastAsia"/>
                <w:kern w:val="0"/>
                <w:sz w:val="24"/>
              </w:rPr>
              <w:t xml:space="preserve">                        年   月   日</w:t>
            </w:r>
          </w:p>
        </w:tc>
        <w:tc>
          <w:tcPr>
            <w:tcW w:w="236" w:type="dxa"/>
            <w:tcBorders>
              <w:top w:val="nil"/>
              <w:left w:val="single" w:sz="4" w:space="0" w:color="auto"/>
              <w:bottom w:val="nil"/>
              <w:right w:val="nil"/>
            </w:tcBorders>
            <w:vAlign w:val="center"/>
          </w:tcPr>
          <w:p w:rsidR="00E27B1D" w:rsidRDefault="00E27B1D" w:rsidP="005230D1">
            <w:pPr>
              <w:jc w:val="left"/>
              <w:rPr>
                <w:rFonts w:ascii="宋体" w:hAnsi="宋体" w:cs="宋体"/>
                <w:kern w:val="0"/>
                <w:sz w:val="24"/>
              </w:rPr>
            </w:pPr>
          </w:p>
        </w:tc>
      </w:tr>
      <w:tr w:rsidR="00E27B1D" w:rsidTr="00E27B1D">
        <w:trPr>
          <w:trHeight w:val="285"/>
        </w:trPr>
        <w:tc>
          <w:tcPr>
            <w:tcW w:w="4860" w:type="dxa"/>
            <w:gridSpan w:val="4"/>
            <w:vMerge/>
            <w:tcBorders>
              <w:left w:val="single" w:sz="4" w:space="0" w:color="auto"/>
              <w:bottom w:val="single" w:sz="4" w:space="0" w:color="auto"/>
              <w:right w:val="single" w:sz="4" w:space="0" w:color="auto"/>
            </w:tcBorders>
            <w:vAlign w:val="center"/>
          </w:tcPr>
          <w:p w:rsidR="00E27B1D" w:rsidRDefault="00E27B1D" w:rsidP="005230D1">
            <w:pPr>
              <w:jc w:val="left"/>
              <w:rPr>
                <w:rFonts w:ascii="宋体" w:hAnsi="宋体" w:cs="宋体"/>
                <w:kern w:val="0"/>
                <w:sz w:val="24"/>
              </w:rPr>
            </w:pPr>
          </w:p>
        </w:tc>
        <w:tc>
          <w:tcPr>
            <w:tcW w:w="4680" w:type="dxa"/>
            <w:gridSpan w:val="4"/>
            <w:vMerge/>
            <w:tcBorders>
              <w:left w:val="single" w:sz="4" w:space="0" w:color="auto"/>
              <w:bottom w:val="single" w:sz="4" w:space="0" w:color="auto"/>
              <w:right w:val="single" w:sz="4" w:space="0" w:color="auto"/>
            </w:tcBorders>
            <w:vAlign w:val="center"/>
          </w:tcPr>
          <w:p w:rsidR="00E27B1D" w:rsidRDefault="00E27B1D" w:rsidP="005230D1">
            <w:pPr>
              <w:jc w:val="left"/>
              <w:rPr>
                <w:rFonts w:ascii="宋体" w:hAnsi="宋体" w:cs="宋体"/>
                <w:kern w:val="0"/>
                <w:sz w:val="24"/>
              </w:rPr>
            </w:pPr>
          </w:p>
        </w:tc>
        <w:tc>
          <w:tcPr>
            <w:tcW w:w="236" w:type="dxa"/>
            <w:tcBorders>
              <w:top w:val="nil"/>
              <w:left w:val="single" w:sz="4" w:space="0" w:color="auto"/>
              <w:bottom w:val="nil"/>
              <w:right w:val="nil"/>
            </w:tcBorders>
            <w:vAlign w:val="center"/>
          </w:tcPr>
          <w:p w:rsidR="00E27B1D" w:rsidRDefault="00E27B1D" w:rsidP="005230D1">
            <w:pPr>
              <w:jc w:val="left"/>
              <w:rPr>
                <w:rFonts w:ascii="宋体" w:hAnsi="宋体" w:cs="宋体"/>
                <w:kern w:val="0"/>
                <w:sz w:val="24"/>
              </w:rPr>
            </w:pPr>
          </w:p>
        </w:tc>
      </w:tr>
    </w:tbl>
    <w:p w:rsidR="00E27B1D" w:rsidRDefault="00E27B1D" w:rsidP="00E27B1D">
      <w:pPr>
        <w:spacing w:line="560" w:lineRule="exact"/>
        <w:ind w:leftChars="25" w:left="53"/>
        <w:rPr>
          <w:rFonts w:ascii="仿宋_GB2312" w:eastAsia="仿宋_GB2312" w:hAnsi="Verdana" w:cs="宋体"/>
          <w:color w:val="000000"/>
          <w:kern w:val="0"/>
          <w:sz w:val="32"/>
          <w:szCs w:val="32"/>
        </w:rPr>
      </w:pPr>
      <w:r>
        <w:rPr>
          <w:rFonts w:ascii="仿宋_GB2312" w:eastAsia="仿宋_GB2312"/>
          <w:color w:val="000000"/>
          <w:szCs w:val="32"/>
        </w:rPr>
        <w:br w:type="page"/>
      </w:r>
    </w:p>
    <w:p w:rsidR="00E27B1D" w:rsidRDefault="00E27B1D" w:rsidP="00E27B1D">
      <w:pPr>
        <w:spacing w:line="400" w:lineRule="exact"/>
        <w:rPr>
          <w:rFonts w:ascii="方正黑体_GBK" w:eastAsia="方正黑体_GBK"/>
          <w:color w:val="000000"/>
          <w:sz w:val="32"/>
          <w:szCs w:val="32"/>
        </w:rPr>
      </w:pPr>
      <w:r w:rsidRPr="00E27B1D">
        <w:rPr>
          <w:rFonts w:ascii="方正黑体_GBK" w:eastAsia="方正黑体_GBK" w:hint="eastAsia"/>
          <w:color w:val="000000"/>
          <w:sz w:val="32"/>
          <w:szCs w:val="32"/>
        </w:rPr>
        <w:lastRenderedPageBreak/>
        <w:t>附件2：</w:t>
      </w:r>
    </w:p>
    <w:p w:rsidR="00E27B1D" w:rsidRPr="00E27B1D" w:rsidRDefault="00E27B1D" w:rsidP="00E27B1D">
      <w:pPr>
        <w:spacing w:line="400" w:lineRule="exact"/>
        <w:rPr>
          <w:rFonts w:ascii="方正黑体_GBK" w:eastAsia="方正黑体_GBK"/>
          <w:color w:val="000000"/>
          <w:szCs w:val="32"/>
        </w:rPr>
      </w:pPr>
    </w:p>
    <w:p w:rsidR="00E27B1D" w:rsidRPr="00B460BA" w:rsidRDefault="00E27B1D" w:rsidP="00E27B1D">
      <w:pPr>
        <w:spacing w:line="600" w:lineRule="exact"/>
        <w:jc w:val="center"/>
        <w:rPr>
          <w:rFonts w:ascii="方正小标宋_GBK" w:eastAsia="方正小标宋_GBK" w:hAnsi="宋体" w:cs="宋体"/>
          <w:color w:val="000000"/>
          <w:kern w:val="0"/>
          <w:sz w:val="44"/>
          <w:szCs w:val="44"/>
        </w:rPr>
      </w:pPr>
      <w:r w:rsidRPr="00B460BA">
        <w:rPr>
          <w:rFonts w:ascii="方正小标宋_GBK" w:eastAsia="方正小标宋_GBK" w:hAnsi="宋体" w:cs="宋体" w:hint="eastAsia"/>
          <w:color w:val="000000"/>
          <w:kern w:val="0"/>
          <w:sz w:val="44"/>
          <w:szCs w:val="44"/>
        </w:rPr>
        <w:t xml:space="preserve">重庆市九龙坡区罚没物资、追回赃物和无证物资移交清单  </w:t>
      </w:r>
    </w:p>
    <w:p w:rsidR="00E27B1D" w:rsidRDefault="00E27B1D" w:rsidP="00E27B1D">
      <w:pPr>
        <w:spacing w:line="400" w:lineRule="exact"/>
        <w:jc w:val="center"/>
        <w:rPr>
          <w:rFonts w:ascii="宋体" w:hAnsi="宋体" w:cs="宋体"/>
          <w:b/>
          <w:color w:val="000000"/>
          <w:kern w:val="0"/>
          <w:sz w:val="44"/>
          <w:szCs w:val="44"/>
        </w:rPr>
      </w:pPr>
    </w:p>
    <w:p w:rsidR="00E27B1D" w:rsidRDefault="00E27B1D" w:rsidP="00E27B1D">
      <w:pPr>
        <w:spacing w:line="600" w:lineRule="exact"/>
        <w:rPr>
          <w:rFonts w:ascii="Verdana" w:hAnsi="Verdana" w:cs="宋体"/>
          <w:bCs/>
          <w:color w:val="000000"/>
          <w:kern w:val="0"/>
          <w:sz w:val="24"/>
        </w:rPr>
      </w:pPr>
      <w:r>
        <w:rPr>
          <w:rFonts w:ascii="Verdana" w:hAnsi="Verdana" w:cs="宋体" w:hint="eastAsia"/>
          <w:bCs/>
          <w:color w:val="000000"/>
          <w:kern w:val="0"/>
          <w:sz w:val="24"/>
        </w:rPr>
        <w:t>编制日期：</w:t>
      </w:r>
      <w:r>
        <w:rPr>
          <w:rFonts w:ascii="Verdana" w:hAnsi="Verdana" w:cs="宋体" w:hint="eastAsia"/>
          <w:bCs/>
          <w:color w:val="000000"/>
          <w:kern w:val="0"/>
          <w:sz w:val="24"/>
        </w:rPr>
        <w:t xml:space="preserve">    </w:t>
      </w:r>
      <w:r>
        <w:rPr>
          <w:rFonts w:ascii="Verdana" w:hAnsi="Verdana" w:cs="宋体" w:hint="eastAsia"/>
          <w:bCs/>
          <w:color w:val="000000"/>
          <w:kern w:val="0"/>
          <w:sz w:val="24"/>
        </w:rPr>
        <w:t>年</w:t>
      </w:r>
      <w:r>
        <w:rPr>
          <w:rFonts w:ascii="Verdana" w:hAnsi="Verdana" w:cs="宋体" w:hint="eastAsia"/>
          <w:bCs/>
          <w:color w:val="000000"/>
          <w:kern w:val="0"/>
          <w:sz w:val="24"/>
        </w:rPr>
        <w:t xml:space="preserve">  </w:t>
      </w:r>
      <w:r>
        <w:rPr>
          <w:rFonts w:ascii="Verdana" w:hAnsi="Verdana" w:cs="宋体" w:hint="eastAsia"/>
          <w:bCs/>
          <w:color w:val="000000"/>
          <w:kern w:val="0"/>
          <w:sz w:val="24"/>
        </w:rPr>
        <w:t>月</w:t>
      </w:r>
      <w:r>
        <w:rPr>
          <w:rFonts w:ascii="Verdana" w:hAnsi="Verdana" w:cs="宋体" w:hint="eastAsia"/>
          <w:bCs/>
          <w:color w:val="000000"/>
          <w:kern w:val="0"/>
          <w:sz w:val="24"/>
        </w:rPr>
        <w:t xml:space="preserve">  </w:t>
      </w:r>
      <w:r>
        <w:rPr>
          <w:rFonts w:ascii="Verdana" w:hAnsi="Verdana" w:cs="宋体" w:hint="eastAsia"/>
          <w:bCs/>
          <w:color w:val="000000"/>
          <w:kern w:val="0"/>
          <w:sz w:val="24"/>
        </w:rPr>
        <w:t>日</w:t>
      </w:r>
      <w:r>
        <w:rPr>
          <w:rFonts w:ascii="Verdana" w:hAnsi="Verdana" w:cs="宋体" w:hint="eastAsia"/>
          <w:bCs/>
          <w:color w:val="000000"/>
          <w:kern w:val="0"/>
          <w:sz w:val="24"/>
        </w:rPr>
        <w:t xml:space="preserve">                        </w:t>
      </w:r>
      <w:r>
        <w:rPr>
          <w:rFonts w:ascii="Verdana" w:hAnsi="Verdana" w:cs="宋体" w:hint="eastAsia"/>
          <w:bCs/>
          <w:color w:val="000000"/>
          <w:kern w:val="0"/>
          <w:sz w:val="24"/>
        </w:rPr>
        <w:t>接收日期：</w:t>
      </w:r>
      <w:r>
        <w:rPr>
          <w:rFonts w:ascii="Verdana" w:hAnsi="Verdana" w:cs="宋体" w:hint="eastAsia"/>
          <w:bCs/>
          <w:color w:val="000000"/>
          <w:kern w:val="0"/>
          <w:sz w:val="24"/>
        </w:rPr>
        <w:t xml:space="preserve">   </w:t>
      </w:r>
      <w:r>
        <w:rPr>
          <w:rFonts w:ascii="Verdana" w:hAnsi="Verdana" w:cs="宋体" w:hint="eastAsia"/>
          <w:bCs/>
          <w:color w:val="000000"/>
          <w:kern w:val="0"/>
          <w:sz w:val="24"/>
        </w:rPr>
        <w:t>年</w:t>
      </w:r>
      <w:r>
        <w:rPr>
          <w:rFonts w:ascii="Verdana" w:hAnsi="Verdana" w:cs="宋体" w:hint="eastAsia"/>
          <w:bCs/>
          <w:color w:val="000000"/>
          <w:kern w:val="0"/>
          <w:sz w:val="24"/>
        </w:rPr>
        <w:t xml:space="preserve">  </w:t>
      </w:r>
      <w:r>
        <w:rPr>
          <w:rFonts w:ascii="Verdana" w:hAnsi="Verdana" w:cs="宋体" w:hint="eastAsia"/>
          <w:bCs/>
          <w:color w:val="000000"/>
          <w:kern w:val="0"/>
          <w:sz w:val="24"/>
        </w:rPr>
        <w:t>月</w:t>
      </w:r>
      <w:r>
        <w:rPr>
          <w:rFonts w:ascii="Verdana" w:hAnsi="Verdana" w:cs="宋体" w:hint="eastAsia"/>
          <w:bCs/>
          <w:color w:val="000000"/>
          <w:kern w:val="0"/>
          <w:sz w:val="24"/>
        </w:rPr>
        <w:t xml:space="preserve">  </w:t>
      </w:r>
      <w:r>
        <w:rPr>
          <w:rFonts w:ascii="Verdana" w:hAnsi="Verdana" w:cs="宋体" w:hint="eastAsia"/>
          <w:bCs/>
          <w:color w:val="000000"/>
          <w:kern w:val="0"/>
          <w:sz w:val="24"/>
        </w:rPr>
        <w:t>日</w:t>
      </w:r>
    </w:p>
    <w:tbl>
      <w:tblPr>
        <w:tblW w:w="9040" w:type="dxa"/>
        <w:tblInd w:w="89" w:type="dxa"/>
        <w:tblLayout w:type="fixed"/>
        <w:tblLook w:val="0000" w:firstRow="0" w:lastRow="0" w:firstColumn="0" w:lastColumn="0" w:noHBand="0" w:noVBand="0"/>
      </w:tblPr>
      <w:tblGrid>
        <w:gridCol w:w="740"/>
        <w:gridCol w:w="2440"/>
        <w:gridCol w:w="1760"/>
        <w:gridCol w:w="1080"/>
        <w:gridCol w:w="860"/>
        <w:gridCol w:w="1080"/>
        <w:gridCol w:w="1080"/>
      </w:tblGrid>
      <w:tr w:rsidR="00E27B1D" w:rsidTr="00E27B1D">
        <w:trPr>
          <w:trHeight w:val="615"/>
        </w:trPr>
        <w:tc>
          <w:tcPr>
            <w:tcW w:w="740" w:type="dxa"/>
            <w:tcBorders>
              <w:top w:val="single" w:sz="4" w:space="0" w:color="auto"/>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序号</w:t>
            </w:r>
          </w:p>
        </w:tc>
        <w:tc>
          <w:tcPr>
            <w:tcW w:w="2440" w:type="dxa"/>
            <w:tcBorders>
              <w:top w:val="single" w:sz="4" w:space="0" w:color="auto"/>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物资名称</w:t>
            </w:r>
          </w:p>
        </w:tc>
        <w:tc>
          <w:tcPr>
            <w:tcW w:w="1760" w:type="dxa"/>
            <w:tcBorders>
              <w:top w:val="single" w:sz="4" w:space="0" w:color="auto"/>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规格特征</w:t>
            </w:r>
          </w:p>
        </w:tc>
        <w:tc>
          <w:tcPr>
            <w:tcW w:w="1080" w:type="dxa"/>
            <w:tcBorders>
              <w:top w:val="single" w:sz="4" w:space="0" w:color="auto"/>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成色</w:t>
            </w:r>
          </w:p>
        </w:tc>
        <w:tc>
          <w:tcPr>
            <w:tcW w:w="860" w:type="dxa"/>
            <w:tcBorders>
              <w:top w:val="single" w:sz="4" w:space="0" w:color="auto"/>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单位</w:t>
            </w:r>
          </w:p>
        </w:tc>
        <w:tc>
          <w:tcPr>
            <w:tcW w:w="1080" w:type="dxa"/>
            <w:tcBorders>
              <w:top w:val="single" w:sz="4" w:space="0" w:color="auto"/>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数量</w:t>
            </w:r>
          </w:p>
        </w:tc>
        <w:tc>
          <w:tcPr>
            <w:tcW w:w="1080" w:type="dxa"/>
            <w:tcBorders>
              <w:top w:val="single" w:sz="4" w:space="0" w:color="auto"/>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r>
              <w:rPr>
                <w:rFonts w:ascii="宋体" w:hAnsi="宋体" w:cs="宋体" w:hint="eastAsia"/>
                <w:kern w:val="0"/>
                <w:sz w:val="24"/>
              </w:rPr>
              <w:t>备注</w:t>
            </w: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567"/>
        </w:trPr>
        <w:tc>
          <w:tcPr>
            <w:tcW w:w="740" w:type="dxa"/>
            <w:tcBorders>
              <w:top w:val="nil"/>
              <w:left w:val="single" w:sz="4" w:space="0" w:color="auto"/>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244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7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86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27B1D" w:rsidRDefault="00E27B1D" w:rsidP="005230D1">
            <w:pPr>
              <w:jc w:val="center"/>
              <w:rPr>
                <w:rFonts w:ascii="宋体" w:hAnsi="宋体" w:cs="宋体"/>
                <w:kern w:val="0"/>
                <w:sz w:val="24"/>
              </w:rPr>
            </w:pPr>
          </w:p>
        </w:tc>
      </w:tr>
      <w:tr w:rsidR="00E27B1D" w:rsidTr="00E27B1D">
        <w:trPr>
          <w:trHeight w:val="285"/>
        </w:trPr>
        <w:tc>
          <w:tcPr>
            <w:tcW w:w="9040" w:type="dxa"/>
            <w:gridSpan w:val="7"/>
            <w:tcBorders>
              <w:top w:val="nil"/>
              <w:left w:val="nil"/>
              <w:bottom w:val="nil"/>
              <w:right w:val="nil"/>
            </w:tcBorders>
            <w:vAlign w:val="center"/>
          </w:tcPr>
          <w:p w:rsidR="00E27B1D" w:rsidRDefault="00E27B1D" w:rsidP="005230D1">
            <w:pPr>
              <w:jc w:val="left"/>
              <w:rPr>
                <w:rFonts w:ascii="宋体" w:hAnsi="宋体" w:cs="宋体"/>
                <w:kern w:val="0"/>
                <w:sz w:val="24"/>
              </w:rPr>
            </w:pPr>
            <w:r>
              <w:rPr>
                <w:rFonts w:ascii="宋体" w:hAnsi="宋体" w:cs="宋体" w:hint="eastAsia"/>
                <w:kern w:val="0"/>
                <w:sz w:val="24"/>
              </w:rPr>
              <w:t>注：本表一式四联，交物单位、拍卖机构、财政部门各留存一份，留底一份。</w:t>
            </w:r>
          </w:p>
        </w:tc>
      </w:tr>
      <w:tr w:rsidR="00E27B1D" w:rsidTr="00E27B1D">
        <w:trPr>
          <w:trHeight w:val="285"/>
        </w:trPr>
        <w:tc>
          <w:tcPr>
            <w:tcW w:w="3180" w:type="dxa"/>
            <w:gridSpan w:val="2"/>
            <w:tcBorders>
              <w:top w:val="nil"/>
              <w:left w:val="nil"/>
              <w:bottom w:val="nil"/>
              <w:right w:val="nil"/>
            </w:tcBorders>
            <w:vAlign w:val="center"/>
          </w:tcPr>
          <w:p w:rsidR="00E27B1D" w:rsidRDefault="00E27B1D" w:rsidP="005230D1">
            <w:pPr>
              <w:jc w:val="left"/>
              <w:rPr>
                <w:rFonts w:ascii="宋体" w:hAnsi="宋体" w:cs="宋体"/>
                <w:kern w:val="0"/>
                <w:sz w:val="24"/>
              </w:rPr>
            </w:pPr>
            <w:r>
              <w:rPr>
                <w:rFonts w:ascii="宋体" w:hAnsi="宋体" w:cs="宋体" w:hint="eastAsia"/>
                <w:kern w:val="0"/>
                <w:sz w:val="24"/>
              </w:rPr>
              <w:t>交物单位：</w:t>
            </w:r>
          </w:p>
        </w:tc>
        <w:tc>
          <w:tcPr>
            <w:tcW w:w="1760" w:type="dxa"/>
            <w:tcBorders>
              <w:top w:val="nil"/>
              <w:left w:val="nil"/>
              <w:bottom w:val="nil"/>
              <w:right w:val="nil"/>
            </w:tcBorders>
            <w:vAlign w:val="center"/>
          </w:tcPr>
          <w:p w:rsidR="00E27B1D" w:rsidRDefault="00E27B1D" w:rsidP="005230D1">
            <w:pPr>
              <w:jc w:val="left"/>
              <w:rPr>
                <w:rFonts w:ascii="宋体" w:hAnsi="宋体" w:cs="宋体"/>
                <w:kern w:val="0"/>
                <w:sz w:val="24"/>
              </w:rPr>
            </w:pPr>
            <w:r>
              <w:rPr>
                <w:rFonts w:ascii="宋体" w:hAnsi="宋体" w:cs="宋体" w:hint="eastAsia"/>
                <w:kern w:val="0"/>
                <w:sz w:val="24"/>
              </w:rPr>
              <w:t>拍卖机构：</w:t>
            </w:r>
          </w:p>
        </w:tc>
        <w:tc>
          <w:tcPr>
            <w:tcW w:w="1080" w:type="dxa"/>
            <w:tcBorders>
              <w:top w:val="nil"/>
              <w:left w:val="nil"/>
              <w:bottom w:val="nil"/>
              <w:right w:val="nil"/>
            </w:tcBorders>
            <w:vAlign w:val="center"/>
          </w:tcPr>
          <w:p w:rsidR="00E27B1D" w:rsidRDefault="00E27B1D" w:rsidP="005230D1">
            <w:pPr>
              <w:jc w:val="left"/>
              <w:rPr>
                <w:rFonts w:ascii="宋体" w:hAnsi="宋体" w:cs="宋体"/>
                <w:kern w:val="0"/>
                <w:sz w:val="24"/>
              </w:rPr>
            </w:pPr>
          </w:p>
        </w:tc>
        <w:tc>
          <w:tcPr>
            <w:tcW w:w="860" w:type="dxa"/>
            <w:tcBorders>
              <w:top w:val="nil"/>
              <w:left w:val="nil"/>
              <w:bottom w:val="nil"/>
              <w:right w:val="nil"/>
            </w:tcBorders>
            <w:vAlign w:val="center"/>
          </w:tcPr>
          <w:p w:rsidR="00E27B1D" w:rsidRDefault="00E27B1D" w:rsidP="005230D1">
            <w:pPr>
              <w:jc w:val="left"/>
              <w:rPr>
                <w:rFonts w:ascii="宋体" w:hAnsi="宋体" w:cs="宋体"/>
                <w:kern w:val="0"/>
                <w:sz w:val="24"/>
              </w:rPr>
            </w:pPr>
          </w:p>
        </w:tc>
        <w:tc>
          <w:tcPr>
            <w:tcW w:w="2160" w:type="dxa"/>
            <w:gridSpan w:val="2"/>
            <w:tcBorders>
              <w:top w:val="nil"/>
              <w:left w:val="nil"/>
              <w:bottom w:val="nil"/>
              <w:right w:val="nil"/>
            </w:tcBorders>
            <w:vAlign w:val="center"/>
          </w:tcPr>
          <w:p w:rsidR="00E27B1D" w:rsidRDefault="00E27B1D" w:rsidP="005230D1">
            <w:pPr>
              <w:jc w:val="left"/>
              <w:rPr>
                <w:rFonts w:ascii="宋体" w:hAnsi="宋体" w:cs="宋体"/>
                <w:kern w:val="0"/>
                <w:sz w:val="24"/>
              </w:rPr>
            </w:pPr>
            <w:r>
              <w:rPr>
                <w:rFonts w:ascii="宋体" w:hAnsi="宋体" w:cs="宋体" w:hint="eastAsia"/>
                <w:kern w:val="0"/>
                <w:sz w:val="24"/>
              </w:rPr>
              <w:t>财政部门：</w:t>
            </w:r>
          </w:p>
        </w:tc>
      </w:tr>
    </w:tbl>
    <w:p w:rsidR="00B460BA" w:rsidRDefault="00B460BA" w:rsidP="00E27B1D">
      <w:pPr>
        <w:spacing w:line="480" w:lineRule="exact"/>
        <w:rPr>
          <w:rFonts w:ascii="方正仿宋_GBK" w:eastAsia="方正仿宋_GBK" w:hAnsi="方正仿宋_GBK" w:cs="方正仿宋_GBK"/>
          <w:color w:val="000000"/>
          <w:sz w:val="31"/>
          <w:szCs w:val="31"/>
          <w:shd w:val="clear" w:color="auto" w:fill="FFFFFF"/>
        </w:rPr>
      </w:pPr>
    </w:p>
    <w:p w:rsidR="00B460BA" w:rsidRDefault="00B460BA" w:rsidP="00B460BA">
      <w:pPr>
        <w:spacing w:line="400" w:lineRule="exact"/>
        <w:rPr>
          <w:rFonts w:ascii="方正黑体_GBK" w:eastAsia="方正黑体_GBK"/>
          <w:color w:val="000000"/>
          <w:sz w:val="32"/>
          <w:szCs w:val="32"/>
        </w:rPr>
      </w:pPr>
      <w:r w:rsidRPr="00B460BA">
        <w:rPr>
          <w:rFonts w:ascii="方正黑体_GBK" w:eastAsia="方正黑体_GBK" w:hint="eastAsia"/>
          <w:color w:val="000000"/>
          <w:sz w:val="32"/>
          <w:szCs w:val="32"/>
        </w:rPr>
        <w:lastRenderedPageBreak/>
        <w:t>附件3：</w:t>
      </w:r>
    </w:p>
    <w:p w:rsidR="00B460BA" w:rsidRPr="00B460BA" w:rsidRDefault="00B460BA" w:rsidP="00B460BA">
      <w:pPr>
        <w:spacing w:line="400" w:lineRule="exact"/>
        <w:rPr>
          <w:rFonts w:ascii="方正黑体_GBK" w:eastAsia="方正黑体_GBK"/>
          <w:color w:val="000000"/>
          <w:szCs w:val="32"/>
        </w:rPr>
      </w:pPr>
    </w:p>
    <w:p w:rsidR="00B460BA" w:rsidRPr="00B460BA" w:rsidRDefault="00B460BA" w:rsidP="00B460BA">
      <w:pPr>
        <w:spacing w:line="600" w:lineRule="exact"/>
        <w:jc w:val="center"/>
        <w:rPr>
          <w:rFonts w:ascii="方正小标宋_GBK" w:eastAsia="方正小标宋_GBK" w:hAnsi="宋体" w:cs="宋体"/>
          <w:color w:val="000000"/>
          <w:kern w:val="0"/>
          <w:sz w:val="44"/>
          <w:szCs w:val="44"/>
        </w:rPr>
      </w:pPr>
      <w:r w:rsidRPr="00B460BA">
        <w:rPr>
          <w:rFonts w:ascii="方正小标宋_GBK" w:eastAsia="方正小标宋_GBK" w:hAnsi="宋体" w:cs="宋体" w:hint="eastAsia"/>
          <w:color w:val="000000"/>
          <w:kern w:val="0"/>
          <w:sz w:val="44"/>
          <w:szCs w:val="44"/>
        </w:rPr>
        <w:t>重庆市九龙坡区</w:t>
      </w:r>
      <w:r w:rsidRPr="00B460BA">
        <w:rPr>
          <w:rFonts w:ascii="方正小标宋_GBK" w:eastAsia="方正小标宋_GBK" w:hAnsi="宋体" w:cs="宋体"/>
          <w:color w:val="000000"/>
          <w:kern w:val="0"/>
          <w:sz w:val="44"/>
          <w:szCs w:val="44"/>
        </w:rPr>
        <w:t>罚没物品退还申请表</w:t>
      </w:r>
    </w:p>
    <w:p w:rsidR="00B460BA" w:rsidRDefault="00B460BA" w:rsidP="00B460BA">
      <w:pPr>
        <w:spacing w:line="400" w:lineRule="exact"/>
        <w:jc w:val="center"/>
        <w:rPr>
          <w:rFonts w:ascii="宋体" w:hAnsi="宋体" w:cs="宋体"/>
          <w:b/>
          <w:color w:val="000000"/>
          <w:kern w:val="0"/>
          <w:sz w:val="44"/>
          <w:szCs w:val="44"/>
        </w:rPr>
      </w:pPr>
    </w:p>
    <w:p w:rsidR="00B460BA" w:rsidRDefault="00B460BA" w:rsidP="00B460BA">
      <w:pPr>
        <w:spacing w:line="600" w:lineRule="exact"/>
        <w:rPr>
          <w:rFonts w:ascii="Verdana" w:hAnsi="Verdana" w:cs="宋体"/>
          <w:bCs/>
          <w:color w:val="000000"/>
          <w:kern w:val="0"/>
          <w:sz w:val="24"/>
        </w:rPr>
      </w:pPr>
      <w:r>
        <w:rPr>
          <w:rFonts w:ascii="Verdana" w:hAnsi="Verdana" w:cs="宋体"/>
          <w:bCs/>
          <w:color w:val="000000"/>
          <w:kern w:val="0"/>
          <w:sz w:val="24"/>
        </w:rPr>
        <w:t>编号：</w:t>
      </w:r>
      <w:r>
        <w:rPr>
          <w:rFonts w:ascii="Verdana" w:hAnsi="Verdana" w:cs="宋体" w:hint="eastAsia"/>
          <w:bCs/>
          <w:color w:val="000000"/>
          <w:kern w:val="0"/>
          <w:sz w:val="24"/>
        </w:rPr>
        <w:t xml:space="preserve">                                                          </w:t>
      </w:r>
      <w:r>
        <w:rPr>
          <w:rFonts w:ascii="Verdana" w:hAnsi="Verdana" w:cs="宋体"/>
          <w:bCs/>
          <w:color w:val="000000"/>
          <w:kern w:val="0"/>
          <w:sz w:val="24"/>
        </w:rPr>
        <w:t>年</w:t>
      </w:r>
      <w:r>
        <w:rPr>
          <w:rFonts w:ascii="Verdana" w:hAnsi="Verdana" w:cs="宋体"/>
          <w:bCs/>
          <w:color w:val="000000"/>
          <w:kern w:val="0"/>
          <w:sz w:val="24"/>
        </w:rPr>
        <w:t xml:space="preserve"> </w:t>
      </w:r>
      <w:r>
        <w:rPr>
          <w:rFonts w:ascii="Verdana" w:hAnsi="Verdana" w:cs="宋体" w:hint="eastAsia"/>
          <w:bCs/>
          <w:color w:val="000000"/>
          <w:kern w:val="0"/>
          <w:sz w:val="24"/>
        </w:rPr>
        <w:t xml:space="preserve"> </w:t>
      </w:r>
      <w:r>
        <w:rPr>
          <w:rFonts w:ascii="Verdana" w:hAnsi="Verdana" w:cs="宋体"/>
          <w:bCs/>
          <w:color w:val="000000"/>
          <w:kern w:val="0"/>
          <w:sz w:val="24"/>
        </w:rPr>
        <w:t>月</w:t>
      </w:r>
      <w:r>
        <w:rPr>
          <w:rFonts w:ascii="Verdana" w:hAnsi="Verdana" w:cs="宋体" w:hint="eastAsia"/>
          <w:bCs/>
          <w:color w:val="000000"/>
          <w:kern w:val="0"/>
          <w:sz w:val="24"/>
        </w:rPr>
        <w:t xml:space="preserve">  </w:t>
      </w:r>
      <w:r>
        <w:rPr>
          <w:rFonts w:ascii="Verdana" w:hAnsi="Verdana" w:cs="宋体"/>
          <w:bCs/>
          <w:color w:val="000000"/>
          <w:kern w:val="0"/>
          <w:sz w:val="24"/>
        </w:rPr>
        <w:t>日</w:t>
      </w:r>
    </w:p>
    <w:tbl>
      <w:tblPr>
        <w:tblW w:w="9048"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569"/>
        <w:gridCol w:w="1584"/>
        <w:gridCol w:w="175"/>
        <w:gridCol w:w="883"/>
        <w:gridCol w:w="1173"/>
        <w:gridCol w:w="992"/>
        <w:gridCol w:w="1672"/>
      </w:tblGrid>
      <w:tr w:rsidR="00B460BA" w:rsidTr="00B460BA">
        <w:trPr>
          <w:trHeight w:val="567"/>
          <w:tblCellSpacing w:w="0" w:type="dxa"/>
        </w:trPr>
        <w:tc>
          <w:tcPr>
            <w:tcW w:w="2569"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center"/>
              <w:rPr>
                <w:rFonts w:ascii="宋体" w:hAnsi="宋体" w:cs="宋体"/>
                <w:color w:val="000000"/>
                <w:kern w:val="0"/>
                <w:sz w:val="24"/>
              </w:rPr>
            </w:pPr>
            <w:r>
              <w:rPr>
                <w:rFonts w:ascii="宋体" w:hAnsi="宋体" w:cs="宋体"/>
                <w:color w:val="000000"/>
                <w:kern w:val="0"/>
                <w:sz w:val="24"/>
              </w:rPr>
              <w:t>申请单位</w:t>
            </w:r>
          </w:p>
        </w:tc>
        <w:tc>
          <w:tcPr>
            <w:tcW w:w="6479" w:type="dxa"/>
            <w:gridSpan w:val="6"/>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r>
      <w:tr w:rsidR="00B460BA" w:rsidTr="00B460BA">
        <w:trPr>
          <w:trHeight w:val="567"/>
          <w:tblCellSpacing w:w="0" w:type="dxa"/>
        </w:trPr>
        <w:tc>
          <w:tcPr>
            <w:tcW w:w="2569"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center"/>
              <w:rPr>
                <w:rFonts w:ascii="宋体" w:hAnsi="宋体" w:cs="宋体"/>
                <w:color w:val="000000"/>
                <w:kern w:val="0"/>
                <w:sz w:val="24"/>
              </w:rPr>
            </w:pPr>
            <w:r>
              <w:rPr>
                <w:rFonts w:ascii="宋体" w:hAnsi="宋体" w:cs="宋体"/>
                <w:color w:val="000000"/>
                <w:kern w:val="0"/>
                <w:sz w:val="24"/>
              </w:rPr>
              <w:t>原处罚决定 （附文件）</w:t>
            </w: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center"/>
              <w:rPr>
                <w:rFonts w:ascii="宋体" w:hAnsi="宋体" w:cs="宋体"/>
                <w:color w:val="000000"/>
                <w:kern w:val="0"/>
                <w:sz w:val="24"/>
              </w:rPr>
            </w:pPr>
            <w:r>
              <w:rPr>
                <w:rFonts w:ascii="宋体" w:hAnsi="宋体" w:cs="宋体"/>
                <w:color w:val="000000"/>
                <w:kern w:val="0"/>
                <w:sz w:val="24"/>
              </w:rPr>
              <w:t>退还依据（附文件）</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r>
      <w:tr w:rsidR="00B460BA" w:rsidTr="00B460BA">
        <w:trPr>
          <w:trHeight w:val="567"/>
          <w:tblCellSpacing w:w="0" w:type="dxa"/>
        </w:trPr>
        <w:tc>
          <w:tcPr>
            <w:tcW w:w="9048" w:type="dxa"/>
            <w:gridSpan w:val="7"/>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center"/>
              <w:rPr>
                <w:rFonts w:ascii="宋体" w:hAnsi="宋体" w:cs="宋体"/>
                <w:color w:val="000000"/>
                <w:kern w:val="0"/>
                <w:sz w:val="24"/>
              </w:rPr>
            </w:pPr>
            <w:r>
              <w:rPr>
                <w:rFonts w:ascii="宋体" w:hAnsi="宋体" w:cs="宋体"/>
                <w:color w:val="000000"/>
                <w:kern w:val="0"/>
                <w:sz w:val="24"/>
              </w:rPr>
              <w:t>申请退还物资清单</w:t>
            </w:r>
          </w:p>
        </w:tc>
      </w:tr>
      <w:tr w:rsidR="00B460BA" w:rsidTr="00B460BA">
        <w:trPr>
          <w:trHeight w:val="567"/>
          <w:tblCellSpacing w:w="0" w:type="dxa"/>
        </w:trPr>
        <w:tc>
          <w:tcPr>
            <w:tcW w:w="2569"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center"/>
              <w:rPr>
                <w:rFonts w:ascii="宋体" w:hAnsi="宋体" w:cs="宋体"/>
                <w:color w:val="000000"/>
                <w:kern w:val="0"/>
                <w:sz w:val="24"/>
              </w:rPr>
            </w:pPr>
            <w:r>
              <w:rPr>
                <w:rFonts w:ascii="宋体" w:hAnsi="宋体" w:cs="宋体"/>
                <w:color w:val="000000"/>
                <w:kern w:val="0"/>
                <w:sz w:val="24"/>
              </w:rPr>
              <w:t>物品名称</w:t>
            </w:r>
          </w:p>
        </w:tc>
        <w:tc>
          <w:tcPr>
            <w:tcW w:w="1584"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center"/>
              <w:rPr>
                <w:rFonts w:ascii="宋体" w:hAnsi="宋体" w:cs="宋体"/>
                <w:color w:val="000000"/>
                <w:kern w:val="0"/>
                <w:sz w:val="24"/>
              </w:rPr>
            </w:pPr>
            <w:r>
              <w:rPr>
                <w:rFonts w:ascii="宋体" w:hAnsi="宋体" w:cs="宋体"/>
                <w:color w:val="000000"/>
                <w:kern w:val="0"/>
                <w:sz w:val="24"/>
              </w:rPr>
              <w:t>规格型号</w:t>
            </w: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center"/>
              <w:rPr>
                <w:rFonts w:ascii="宋体" w:hAnsi="宋体" w:cs="宋体"/>
                <w:color w:val="000000"/>
                <w:kern w:val="0"/>
                <w:sz w:val="24"/>
              </w:rPr>
            </w:pPr>
            <w:r>
              <w:rPr>
                <w:rFonts w:ascii="宋体" w:hAnsi="宋体" w:cs="宋体"/>
                <w:color w:val="000000"/>
                <w:kern w:val="0"/>
                <w:sz w:val="24"/>
              </w:rPr>
              <w:t>数量</w:t>
            </w: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center"/>
              <w:rPr>
                <w:rFonts w:ascii="宋体" w:hAnsi="宋体" w:cs="宋体"/>
                <w:color w:val="000000"/>
                <w:kern w:val="0"/>
                <w:sz w:val="24"/>
              </w:rPr>
            </w:pPr>
            <w:r>
              <w:rPr>
                <w:rFonts w:ascii="宋体" w:hAnsi="宋体" w:cs="宋体"/>
                <w:color w:val="000000"/>
                <w:kern w:val="0"/>
                <w:sz w:val="24"/>
              </w:rPr>
              <w:t>处理情况</w:t>
            </w:r>
          </w:p>
        </w:tc>
        <w:tc>
          <w:tcPr>
            <w:tcW w:w="1672"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center"/>
              <w:rPr>
                <w:rFonts w:ascii="宋体" w:hAnsi="宋体" w:cs="宋体"/>
                <w:color w:val="000000"/>
                <w:kern w:val="0"/>
                <w:sz w:val="24"/>
              </w:rPr>
            </w:pPr>
            <w:r>
              <w:rPr>
                <w:rFonts w:ascii="宋体" w:hAnsi="宋体" w:cs="宋体"/>
                <w:color w:val="000000"/>
                <w:kern w:val="0"/>
                <w:sz w:val="24"/>
              </w:rPr>
              <w:t>备注</w:t>
            </w:r>
          </w:p>
        </w:tc>
      </w:tr>
      <w:tr w:rsidR="00B460BA" w:rsidTr="00B460BA">
        <w:trPr>
          <w:trHeight w:val="567"/>
          <w:tblCellSpacing w:w="0" w:type="dxa"/>
        </w:trPr>
        <w:tc>
          <w:tcPr>
            <w:tcW w:w="2569"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r>
      <w:tr w:rsidR="00B460BA" w:rsidTr="00B460BA">
        <w:trPr>
          <w:trHeight w:val="567"/>
          <w:tblCellSpacing w:w="0" w:type="dxa"/>
        </w:trPr>
        <w:tc>
          <w:tcPr>
            <w:tcW w:w="2569"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r>
      <w:tr w:rsidR="00B460BA" w:rsidTr="00B460BA">
        <w:trPr>
          <w:trHeight w:val="567"/>
          <w:tblCellSpacing w:w="0" w:type="dxa"/>
        </w:trPr>
        <w:tc>
          <w:tcPr>
            <w:tcW w:w="2569"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r>
      <w:tr w:rsidR="00B460BA" w:rsidTr="00B460BA">
        <w:trPr>
          <w:trHeight w:val="567"/>
          <w:tblCellSpacing w:w="0" w:type="dxa"/>
        </w:trPr>
        <w:tc>
          <w:tcPr>
            <w:tcW w:w="2569"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r>
      <w:tr w:rsidR="00B460BA" w:rsidTr="00B460BA">
        <w:trPr>
          <w:trHeight w:val="567"/>
          <w:tblCellSpacing w:w="0" w:type="dxa"/>
        </w:trPr>
        <w:tc>
          <w:tcPr>
            <w:tcW w:w="2569"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r>
      <w:tr w:rsidR="00B460BA" w:rsidTr="00B460BA">
        <w:trPr>
          <w:trHeight w:val="567"/>
          <w:tblCellSpacing w:w="0" w:type="dxa"/>
        </w:trPr>
        <w:tc>
          <w:tcPr>
            <w:tcW w:w="2569"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r>
      <w:tr w:rsidR="00B460BA" w:rsidTr="00B460BA">
        <w:trPr>
          <w:trHeight w:val="567"/>
          <w:tblCellSpacing w:w="0" w:type="dxa"/>
        </w:trPr>
        <w:tc>
          <w:tcPr>
            <w:tcW w:w="2569"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tc>
      </w:tr>
      <w:tr w:rsidR="00B460BA" w:rsidTr="00B460BA">
        <w:trPr>
          <w:trHeight w:val="567"/>
          <w:tblCellSpacing w:w="0" w:type="dxa"/>
        </w:trPr>
        <w:tc>
          <w:tcPr>
            <w:tcW w:w="9048" w:type="dxa"/>
            <w:gridSpan w:val="7"/>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center"/>
              <w:rPr>
                <w:rFonts w:ascii="宋体" w:hAnsi="宋体" w:cs="宋体"/>
                <w:color w:val="000000"/>
                <w:kern w:val="0"/>
                <w:sz w:val="24"/>
              </w:rPr>
            </w:pPr>
            <w:r>
              <w:rPr>
                <w:rFonts w:ascii="宋体" w:hAnsi="宋体" w:cs="宋体"/>
                <w:color w:val="000000"/>
                <w:kern w:val="0"/>
                <w:sz w:val="24"/>
              </w:rPr>
              <w:t>以下由财政部门填写</w:t>
            </w:r>
          </w:p>
        </w:tc>
      </w:tr>
      <w:tr w:rsidR="00B460BA" w:rsidTr="00B460BA">
        <w:trPr>
          <w:trHeight w:val="457"/>
          <w:tblCellSpacing w:w="0" w:type="dxa"/>
        </w:trPr>
        <w:tc>
          <w:tcPr>
            <w:tcW w:w="4153" w:type="dxa"/>
            <w:gridSpan w:val="2"/>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r>
              <w:rPr>
                <w:rFonts w:ascii="宋体" w:hAnsi="宋体" w:cs="宋体"/>
                <w:color w:val="000000"/>
                <w:kern w:val="0"/>
                <w:sz w:val="24"/>
              </w:rPr>
              <w:t>经办人意见：</w:t>
            </w:r>
          </w:p>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r>
              <w:rPr>
                <w:rFonts w:ascii="宋体" w:hAnsi="宋体" w:cs="宋体" w:hint="eastAsia"/>
                <w:color w:val="000000"/>
                <w:kern w:val="0"/>
                <w:sz w:val="24"/>
              </w:rPr>
              <w:t xml:space="preserve">                   年   月   日</w:t>
            </w:r>
          </w:p>
        </w:tc>
        <w:tc>
          <w:tcPr>
            <w:tcW w:w="4895" w:type="dxa"/>
            <w:gridSpan w:val="5"/>
            <w:tcBorders>
              <w:top w:val="single" w:sz="4" w:space="0" w:color="auto"/>
              <w:left w:val="single" w:sz="4" w:space="0" w:color="auto"/>
              <w:bottom w:val="single" w:sz="4" w:space="0" w:color="auto"/>
              <w:right w:val="single" w:sz="4" w:space="0" w:color="auto"/>
            </w:tcBorders>
            <w:vAlign w:val="center"/>
          </w:tcPr>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r>
              <w:rPr>
                <w:rFonts w:ascii="宋体" w:hAnsi="宋体" w:cs="宋体"/>
                <w:color w:val="000000"/>
                <w:kern w:val="0"/>
                <w:sz w:val="24"/>
              </w:rPr>
              <w:t>领导审批意见：</w:t>
            </w:r>
          </w:p>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p>
          <w:p w:rsidR="00B460BA" w:rsidRDefault="00B460BA" w:rsidP="005230D1">
            <w:pPr>
              <w:spacing w:line="300" w:lineRule="atLeast"/>
              <w:jc w:val="left"/>
              <w:rPr>
                <w:rFonts w:ascii="宋体" w:hAnsi="宋体" w:cs="宋体"/>
                <w:color w:val="000000"/>
                <w:kern w:val="0"/>
                <w:sz w:val="24"/>
              </w:rPr>
            </w:pPr>
            <w:r>
              <w:rPr>
                <w:rFonts w:ascii="宋体" w:hAnsi="宋体" w:cs="宋体" w:hint="eastAsia"/>
                <w:color w:val="000000"/>
                <w:kern w:val="0"/>
                <w:sz w:val="24"/>
              </w:rPr>
              <w:t xml:space="preserve">                          年   月   日</w:t>
            </w:r>
          </w:p>
        </w:tc>
      </w:tr>
    </w:tbl>
    <w:p w:rsidR="006F5D73" w:rsidRPr="00B460BA" w:rsidRDefault="006F5D73" w:rsidP="00E27B1D">
      <w:pPr>
        <w:spacing w:line="480" w:lineRule="exact"/>
        <w:rPr>
          <w:rFonts w:ascii="方正仿宋_GBK" w:eastAsia="方正仿宋_GBK" w:hAnsi="方正仿宋_GBK" w:cs="方正仿宋_GBK"/>
          <w:color w:val="000000"/>
          <w:sz w:val="31"/>
          <w:szCs w:val="31"/>
          <w:shd w:val="clear" w:color="auto" w:fill="FFFFFF"/>
        </w:rPr>
      </w:pPr>
    </w:p>
    <w:sectPr w:rsidR="006F5D73" w:rsidRPr="00B460BA" w:rsidSect="00E27B1D">
      <w:headerReference w:type="default" r:id="rId9"/>
      <w:footerReference w:type="default" r:id="rId10"/>
      <w:pgSz w:w="11906" w:h="16838"/>
      <w:pgMar w:top="1962" w:right="1474" w:bottom="1848"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97" w:rsidRDefault="00FA2797">
      <w:r>
        <w:separator/>
      </w:r>
    </w:p>
  </w:endnote>
  <w:endnote w:type="continuationSeparator" w:id="0">
    <w:p w:rsidR="00FA2797" w:rsidRDefault="00FA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8E" w:rsidRDefault="00C5388E" w:rsidP="00C5388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0528" behindDoc="0" locked="0" layoutInCell="1" allowOverlap="1" wp14:anchorId="1EA06E4C" wp14:editId="0BB41D46">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388E" w:rsidRDefault="00C5388E" w:rsidP="00C5388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10</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5388E" w:rsidRDefault="00C5388E" w:rsidP="00C5388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10</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6F5D73" w:rsidRPr="00C5388E" w:rsidRDefault="00C5388E" w:rsidP="00C5388E">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9504" behindDoc="0" locked="0" layoutInCell="1" allowOverlap="1" wp14:anchorId="48FA50C2" wp14:editId="45F8F1A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97" w:rsidRDefault="00FA2797">
      <w:r>
        <w:separator/>
      </w:r>
    </w:p>
  </w:footnote>
  <w:footnote w:type="continuationSeparator" w:id="0">
    <w:p w:rsidR="00FA2797" w:rsidRDefault="00FA2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1D" w:rsidRDefault="00E27B1D" w:rsidP="00E27B1D">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7456" behindDoc="0" locked="0" layoutInCell="1" allowOverlap="1" wp14:anchorId="2E72DDDE" wp14:editId="07B66A0A">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27B1D" w:rsidRDefault="00E27B1D" w:rsidP="00E27B1D">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C0EB3AE" wp14:editId="5B10274D">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E27B1D" w:rsidRPr="00E27B1D" w:rsidRDefault="00E27B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447B6"/>
    <w:rsid w:val="000C0A8F"/>
    <w:rsid w:val="00172A27"/>
    <w:rsid w:val="001C2890"/>
    <w:rsid w:val="002C7DA5"/>
    <w:rsid w:val="00503340"/>
    <w:rsid w:val="006F5D73"/>
    <w:rsid w:val="00777A40"/>
    <w:rsid w:val="00883CF1"/>
    <w:rsid w:val="00B460BA"/>
    <w:rsid w:val="00C5388E"/>
    <w:rsid w:val="00DB31B0"/>
    <w:rsid w:val="00DF10CB"/>
    <w:rsid w:val="00E27B1D"/>
    <w:rsid w:val="00FA2797"/>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DF10CB"/>
    <w:rPr>
      <w:sz w:val="18"/>
      <w:szCs w:val="18"/>
    </w:rPr>
  </w:style>
  <w:style w:type="character" w:customStyle="1" w:styleId="Char1">
    <w:name w:val="批注框文本 Char"/>
    <w:basedOn w:val="a0"/>
    <w:link w:val="a9"/>
    <w:rsid w:val="00DF10CB"/>
    <w:rPr>
      <w:rFonts w:asciiTheme="minorHAnsi" w:eastAsiaTheme="minorEastAsia" w:hAnsiTheme="minorHAnsi" w:cstheme="minorBidi"/>
      <w:kern w:val="2"/>
      <w:sz w:val="18"/>
      <w:szCs w:val="18"/>
    </w:rPr>
  </w:style>
  <w:style w:type="paragraph" w:customStyle="1" w:styleId="aa">
    <w:name w:val="@号"/>
    <w:link w:val="Char2"/>
    <w:qFormat/>
    <w:rsid w:val="000C0A8F"/>
    <w:pPr>
      <w:widowControl w:val="0"/>
      <w:spacing w:line="540" w:lineRule="exact"/>
      <w:jc w:val="center"/>
    </w:pPr>
    <w:rPr>
      <w:rFonts w:eastAsia="方正仿宋_GBK"/>
      <w:kern w:val="2"/>
      <w:sz w:val="32"/>
      <w:szCs w:val="32"/>
    </w:rPr>
  </w:style>
  <w:style w:type="character" w:customStyle="1" w:styleId="Char2">
    <w:name w:val="@号 Char"/>
    <w:basedOn w:val="a0"/>
    <w:link w:val="aa"/>
    <w:rsid w:val="000C0A8F"/>
    <w:rPr>
      <w:rFonts w:eastAsia="方正仿宋_GBK"/>
      <w:kern w:val="2"/>
      <w:sz w:val="32"/>
      <w:szCs w:val="32"/>
    </w:rPr>
  </w:style>
  <w:style w:type="paragraph" w:customStyle="1" w:styleId="ab">
    <w:name w:val="@落款"/>
    <w:link w:val="Char3"/>
    <w:qFormat/>
    <w:rsid w:val="000C0A8F"/>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0C0A8F"/>
    <w:rPr>
      <w:rFonts w:eastAsia="方正仿宋_GBK" w:cs="方正仿宋_GBK"/>
      <w:sz w:val="32"/>
      <w:szCs w:val="32"/>
    </w:rPr>
  </w:style>
  <w:style w:type="character" w:customStyle="1" w:styleId="Char0">
    <w:name w:val="页眉 Char"/>
    <w:basedOn w:val="a0"/>
    <w:link w:val="a5"/>
    <w:rsid w:val="000C0A8F"/>
    <w:rPr>
      <w:rFonts w:asciiTheme="minorHAnsi" w:eastAsiaTheme="minorEastAsia" w:hAnsiTheme="minorHAnsi" w:cstheme="minorBidi"/>
      <w:kern w:val="2"/>
      <w:sz w:val="18"/>
      <w:szCs w:val="24"/>
    </w:rPr>
  </w:style>
  <w:style w:type="character" w:styleId="ac">
    <w:name w:val="Hyperlink"/>
    <w:uiPriority w:val="99"/>
    <w:unhideWhenUsed/>
    <w:rsid w:val="000C0A8F"/>
    <w:rPr>
      <w:color w:val="0000FF"/>
      <w:u w:val="single"/>
    </w:rPr>
  </w:style>
  <w:style w:type="character" w:customStyle="1" w:styleId="1Char">
    <w:name w:val="标题 1 Char"/>
    <w:basedOn w:val="a0"/>
    <w:link w:val="1"/>
    <w:uiPriority w:val="9"/>
    <w:rsid w:val="000C0A8F"/>
    <w:rPr>
      <w:rFonts w:asciiTheme="minorHAnsi" w:eastAsia="黑体" w:hAnsiTheme="minorHAnsi" w:cstheme="minorBidi"/>
      <w:b/>
      <w:bCs/>
      <w:kern w:val="2"/>
      <w:sz w:val="21"/>
      <w:szCs w:val="32"/>
    </w:rPr>
  </w:style>
  <w:style w:type="character" w:customStyle="1" w:styleId="Char4">
    <w:name w:val="日期 Char"/>
    <w:basedOn w:val="a0"/>
    <w:link w:val="ad"/>
    <w:uiPriority w:val="99"/>
    <w:rsid w:val="000C0A8F"/>
    <w:rPr>
      <w:rFonts w:ascii="Calibri" w:hAnsi="Calibri"/>
    </w:rPr>
  </w:style>
  <w:style w:type="character" w:customStyle="1" w:styleId="Char">
    <w:name w:val="页脚 Char"/>
    <w:basedOn w:val="a0"/>
    <w:link w:val="a4"/>
    <w:rsid w:val="000C0A8F"/>
    <w:rPr>
      <w:rFonts w:asciiTheme="minorHAnsi" w:eastAsiaTheme="minorEastAsia" w:hAnsiTheme="minorHAnsi" w:cstheme="minorBidi"/>
      <w:kern w:val="2"/>
      <w:sz w:val="18"/>
      <w:szCs w:val="24"/>
    </w:rPr>
  </w:style>
  <w:style w:type="character" w:customStyle="1" w:styleId="apple-converted-space">
    <w:name w:val="apple-converted-space"/>
    <w:basedOn w:val="a0"/>
    <w:rsid w:val="000C0A8F"/>
  </w:style>
  <w:style w:type="character" w:customStyle="1" w:styleId="nomobile">
    <w:name w:val="nomobile"/>
    <w:basedOn w:val="a0"/>
    <w:rsid w:val="000C0A8F"/>
  </w:style>
  <w:style w:type="character" w:customStyle="1" w:styleId="font11">
    <w:name w:val="font11"/>
    <w:rsid w:val="000C0A8F"/>
    <w:rPr>
      <w:rFonts w:ascii="宋体" w:eastAsia="宋体" w:hAnsi="宋体" w:cs="宋体" w:hint="eastAsia"/>
      <w:color w:val="000000"/>
      <w:sz w:val="24"/>
      <w:szCs w:val="24"/>
    </w:rPr>
  </w:style>
  <w:style w:type="character" w:customStyle="1" w:styleId="font21">
    <w:name w:val="font21"/>
    <w:rsid w:val="000C0A8F"/>
    <w:rPr>
      <w:rFonts w:ascii="宋体" w:eastAsia="宋体" w:hAnsi="宋体" w:cs="宋体" w:hint="eastAsia"/>
      <w:color w:val="000000"/>
      <w:sz w:val="24"/>
      <w:szCs w:val="24"/>
    </w:rPr>
  </w:style>
  <w:style w:type="paragraph" w:styleId="ad">
    <w:name w:val="Date"/>
    <w:basedOn w:val="a"/>
    <w:next w:val="a"/>
    <w:link w:val="Char4"/>
    <w:uiPriority w:val="99"/>
    <w:unhideWhenUsed/>
    <w:rsid w:val="000C0A8F"/>
    <w:pPr>
      <w:ind w:leftChars="2500" w:left="100"/>
    </w:pPr>
    <w:rPr>
      <w:rFonts w:ascii="Calibri" w:eastAsia="宋体" w:hAnsi="Calibri" w:cs="Times New Roman"/>
      <w:kern w:val="0"/>
      <w:sz w:val="20"/>
      <w:szCs w:val="20"/>
    </w:rPr>
  </w:style>
  <w:style w:type="character" w:customStyle="1" w:styleId="Char10">
    <w:name w:val="日期 Char1"/>
    <w:basedOn w:val="a0"/>
    <w:rsid w:val="000C0A8F"/>
    <w:rPr>
      <w:rFonts w:asciiTheme="minorHAnsi" w:eastAsiaTheme="minorEastAsia" w:hAnsiTheme="minorHAnsi" w:cstheme="minorBidi"/>
      <w:kern w:val="2"/>
      <w:sz w:val="21"/>
      <w:szCs w:val="24"/>
    </w:rPr>
  </w:style>
  <w:style w:type="paragraph" w:styleId="HTML">
    <w:name w:val="HTML Preformatted"/>
    <w:basedOn w:val="a"/>
    <w:link w:val="HTMLChar"/>
    <w:uiPriority w:val="99"/>
    <w:unhideWhenUsed/>
    <w:rsid w:val="00E27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E27B1D"/>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DF10CB"/>
    <w:rPr>
      <w:sz w:val="18"/>
      <w:szCs w:val="18"/>
    </w:rPr>
  </w:style>
  <w:style w:type="character" w:customStyle="1" w:styleId="Char1">
    <w:name w:val="批注框文本 Char"/>
    <w:basedOn w:val="a0"/>
    <w:link w:val="a9"/>
    <w:rsid w:val="00DF10CB"/>
    <w:rPr>
      <w:rFonts w:asciiTheme="minorHAnsi" w:eastAsiaTheme="minorEastAsia" w:hAnsiTheme="minorHAnsi" w:cstheme="minorBidi"/>
      <w:kern w:val="2"/>
      <w:sz w:val="18"/>
      <w:szCs w:val="18"/>
    </w:rPr>
  </w:style>
  <w:style w:type="paragraph" w:customStyle="1" w:styleId="aa">
    <w:name w:val="@号"/>
    <w:link w:val="Char2"/>
    <w:qFormat/>
    <w:rsid w:val="000C0A8F"/>
    <w:pPr>
      <w:widowControl w:val="0"/>
      <w:spacing w:line="540" w:lineRule="exact"/>
      <w:jc w:val="center"/>
    </w:pPr>
    <w:rPr>
      <w:rFonts w:eastAsia="方正仿宋_GBK"/>
      <w:kern w:val="2"/>
      <w:sz w:val="32"/>
      <w:szCs w:val="32"/>
    </w:rPr>
  </w:style>
  <w:style w:type="character" w:customStyle="1" w:styleId="Char2">
    <w:name w:val="@号 Char"/>
    <w:basedOn w:val="a0"/>
    <w:link w:val="aa"/>
    <w:rsid w:val="000C0A8F"/>
    <w:rPr>
      <w:rFonts w:eastAsia="方正仿宋_GBK"/>
      <w:kern w:val="2"/>
      <w:sz w:val="32"/>
      <w:szCs w:val="32"/>
    </w:rPr>
  </w:style>
  <w:style w:type="paragraph" w:customStyle="1" w:styleId="ab">
    <w:name w:val="@落款"/>
    <w:link w:val="Char3"/>
    <w:qFormat/>
    <w:rsid w:val="000C0A8F"/>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0C0A8F"/>
    <w:rPr>
      <w:rFonts w:eastAsia="方正仿宋_GBK" w:cs="方正仿宋_GBK"/>
      <w:sz w:val="32"/>
      <w:szCs w:val="32"/>
    </w:rPr>
  </w:style>
  <w:style w:type="character" w:customStyle="1" w:styleId="Char0">
    <w:name w:val="页眉 Char"/>
    <w:basedOn w:val="a0"/>
    <w:link w:val="a5"/>
    <w:rsid w:val="000C0A8F"/>
    <w:rPr>
      <w:rFonts w:asciiTheme="minorHAnsi" w:eastAsiaTheme="minorEastAsia" w:hAnsiTheme="minorHAnsi" w:cstheme="minorBidi"/>
      <w:kern w:val="2"/>
      <w:sz w:val="18"/>
      <w:szCs w:val="24"/>
    </w:rPr>
  </w:style>
  <w:style w:type="character" w:styleId="ac">
    <w:name w:val="Hyperlink"/>
    <w:uiPriority w:val="99"/>
    <w:unhideWhenUsed/>
    <w:rsid w:val="000C0A8F"/>
    <w:rPr>
      <w:color w:val="0000FF"/>
      <w:u w:val="single"/>
    </w:rPr>
  </w:style>
  <w:style w:type="character" w:customStyle="1" w:styleId="1Char">
    <w:name w:val="标题 1 Char"/>
    <w:basedOn w:val="a0"/>
    <w:link w:val="1"/>
    <w:uiPriority w:val="9"/>
    <w:rsid w:val="000C0A8F"/>
    <w:rPr>
      <w:rFonts w:asciiTheme="minorHAnsi" w:eastAsia="黑体" w:hAnsiTheme="minorHAnsi" w:cstheme="minorBidi"/>
      <w:b/>
      <w:bCs/>
      <w:kern w:val="2"/>
      <w:sz w:val="21"/>
      <w:szCs w:val="32"/>
    </w:rPr>
  </w:style>
  <w:style w:type="character" w:customStyle="1" w:styleId="Char4">
    <w:name w:val="日期 Char"/>
    <w:basedOn w:val="a0"/>
    <w:link w:val="ad"/>
    <w:uiPriority w:val="99"/>
    <w:rsid w:val="000C0A8F"/>
    <w:rPr>
      <w:rFonts w:ascii="Calibri" w:hAnsi="Calibri"/>
    </w:rPr>
  </w:style>
  <w:style w:type="character" w:customStyle="1" w:styleId="Char">
    <w:name w:val="页脚 Char"/>
    <w:basedOn w:val="a0"/>
    <w:link w:val="a4"/>
    <w:rsid w:val="000C0A8F"/>
    <w:rPr>
      <w:rFonts w:asciiTheme="minorHAnsi" w:eastAsiaTheme="minorEastAsia" w:hAnsiTheme="minorHAnsi" w:cstheme="minorBidi"/>
      <w:kern w:val="2"/>
      <w:sz w:val="18"/>
      <w:szCs w:val="24"/>
    </w:rPr>
  </w:style>
  <w:style w:type="character" w:customStyle="1" w:styleId="apple-converted-space">
    <w:name w:val="apple-converted-space"/>
    <w:basedOn w:val="a0"/>
    <w:rsid w:val="000C0A8F"/>
  </w:style>
  <w:style w:type="character" w:customStyle="1" w:styleId="nomobile">
    <w:name w:val="nomobile"/>
    <w:basedOn w:val="a0"/>
    <w:rsid w:val="000C0A8F"/>
  </w:style>
  <w:style w:type="character" w:customStyle="1" w:styleId="font11">
    <w:name w:val="font11"/>
    <w:rsid w:val="000C0A8F"/>
    <w:rPr>
      <w:rFonts w:ascii="宋体" w:eastAsia="宋体" w:hAnsi="宋体" w:cs="宋体" w:hint="eastAsia"/>
      <w:color w:val="000000"/>
      <w:sz w:val="24"/>
      <w:szCs w:val="24"/>
    </w:rPr>
  </w:style>
  <w:style w:type="character" w:customStyle="1" w:styleId="font21">
    <w:name w:val="font21"/>
    <w:rsid w:val="000C0A8F"/>
    <w:rPr>
      <w:rFonts w:ascii="宋体" w:eastAsia="宋体" w:hAnsi="宋体" w:cs="宋体" w:hint="eastAsia"/>
      <w:color w:val="000000"/>
      <w:sz w:val="24"/>
      <w:szCs w:val="24"/>
    </w:rPr>
  </w:style>
  <w:style w:type="paragraph" w:styleId="ad">
    <w:name w:val="Date"/>
    <w:basedOn w:val="a"/>
    <w:next w:val="a"/>
    <w:link w:val="Char4"/>
    <w:uiPriority w:val="99"/>
    <w:unhideWhenUsed/>
    <w:rsid w:val="000C0A8F"/>
    <w:pPr>
      <w:ind w:leftChars="2500" w:left="100"/>
    </w:pPr>
    <w:rPr>
      <w:rFonts w:ascii="Calibri" w:eastAsia="宋体" w:hAnsi="Calibri" w:cs="Times New Roman"/>
      <w:kern w:val="0"/>
      <w:sz w:val="20"/>
      <w:szCs w:val="20"/>
    </w:rPr>
  </w:style>
  <w:style w:type="character" w:customStyle="1" w:styleId="Char10">
    <w:name w:val="日期 Char1"/>
    <w:basedOn w:val="a0"/>
    <w:rsid w:val="000C0A8F"/>
    <w:rPr>
      <w:rFonts w:asciiTheme="minorHAnsi" w:eastAsiaTheme="minorEastAsia" w:hAnsiTheme="minorHAnsi" w:cstheme="minorBidi"/>
      <w:kern w:val="2"/>
      <w:sz w:val="21"/>
      <w:szCs w:val="24"/>
    </w:rPr>
  </w:style>
  <w:style w:type="paragraph" w:styleId="HTML">
    <w:name w:val="HTML Preformatted"/>
    <w:basedOn w:val="a"/>
    <w:link w:val="HTMLChar"/>
    <w:uiPriority w:val="99"/>
    <w:unhideWhenUsed/>
    <w:rsid w:val="00E27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E27B1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8</cp:revision>
  <cp:lastPrinted>2022-06-13T10:39:00Z</cp:lastPrinted>
  <dcterms:created xsi:type="dcterms:W3CDTF">2021-09-10T18:41:00Z</dcterms:created>
  <dcterms:modified xsi:type="dcterms:W3CDTF">2022-06-13T10:39:00Z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